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widowControl/>
        <w:suppressLineNumbers w:val="0"/>
        <w:spacing w:before="454" w:beforeAutospacing="0" w:after="454" w:afterAutospacing="0"/>
        <w:ind w:left="454" w:right="454"/>
        <w:jc w:val="center"/>
        <w:outlineLvl w:val="0"/>
        <w:rPr>
          <w:sz w:val="40"/>
          <w:szCs w:val="40"/>
        </w:rPr>
      </w:pPr>
      <w:r>
        <w:rPr>
          <w:sz w:val="40"/>
          <w:szCs w:val="40"/>
        </w:rPr>
        <w:t>深圳市眼科医院医用设备提升-睑板腺功能障碍检测仪项目</w:t>
      </w:r>
    </w:p>
    <w:p>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bdr w:val="none" w:color="auto" w:sz="0" w:space="0"/>
        </w:rPr>
        <w:t>招标文件信息</w:t>
      </w:r>
    </w:p>
    <w:tbl>
      <w:tblPr>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2723" w:type="dxa"/>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项目编号：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SZCG2021200970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项目名称：</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深圳市眼科医院医用设备提升-睑板腺功能障碍检测仪项目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包 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采购方式：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货币类型：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评标方法：</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暗标模式：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暗标A</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资格性审查表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投标人不符合资格要求，或未提交相应的资格证明资料（详见招标公告投标人资格要求，即申请人的资格要求）</w:t>
            </w:r>
          </w:p>
        </w:tc>
      </w:tr>
    </w:tbl>
    <w:p>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符合性审查表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分项报价或投标总价高于相应预算金额（或设定的预算金额下的最高限价）；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投标文件中出现违反暗标项目的信息屏蔽要求的（详见第二章招标项目需求“暗标要求”）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法律、法规、规章、规范性文件规定的其他情形。</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评标信息</w:t>
      </w:r>
    </w:p>
    <w:tbl>
      <w:tblPr>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autofit"/>
        <w:tblCellMar>
          <w:top w:w="45" w:type="dxa"/>
          <w:left w:w="45" w:type="dxa"/>
          <w:bottom w:w="45" w:type="dxa"/>
          <w:right w:w="45" w:type="dxa"/>
        </w:tblCellMar>
      </w:tblPr>
      <w:tblGrid>
        <w:gridCol w:w="8860"/>
        <w:gridCol w:w="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suppressLineNumbers w:val="0"/>
              <w:jc w:val="left"/>
              <w:rPr>
                <w:b/>
                <w:bCs/>
                <w:sz w:val="24"/>
                <w:szCs w:val="24"/>
              </w:rPr>
            </w:pPr>
            <w:r>
              <w:rPr>
                <w:rFonts w:ascii="宋体" w:hAnsi="宋体" w:eastAsia="宋体" w:cs="宋体"/>
                <w:b/>
                <w:bCs/>
                <w:kern w:val="0"/>
                <w:sz w:val="24"/>
                <w:szCs w:val="24"/>
                <w:bdr w:val="none" w:color="auto" w:sz="0" w:space="0"/>
                <w:lang w:val="en-US" w:eastAsia="zh-CN" w:bidi="ar"/>
              </w:rPr>
              <w:t>评标方法：综合评分法（新价格分算法）</w:t>
            </w:r>
          </w:p>
        </w:tc>
        <w:tc>
          <w:tcPr>
            <w:tcW w:w="0" w:type="auto"/>
            <w:shd w:val="clear"/>
            <w:vAlign w:val="center"/>
          </w:tcPr>
          <w:p>
            <w:pPr>
              <w:jc w:val="right"/>
              <w:rPr>
                <w:rFonts w:hint="eastAsia" w:ascii="宋体"/>
                <w:b/>
                <w:bCs/>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gridSpan w:val="2"/>
            <w:shd w:val="clear"/>
            <w:vAlign w:val="center"/>
          </w:tcPr>
          <w:p>
            <w:pPr>
              <w:pStyle w:val="38"/>
              <w:keepNext w:val="0"/>
              <w:keepLines w:val="0"/>
              <w:widowControl/>
              <w:numPr>
                <w:numId w:val="0"/>
              </w:numPr>
              <w:suppressLineNumbers w:val="0"/>
              <w:spacing w:line="324" w:lineRule="auto"/>
              <w:ind w:left="0" w:firstLine="420"/>
              <w:rPr>
                <w:sz w:val="21"/>
                <w:szCs w:val="21"/>
              </w:rPr>
            </w:pPr>
            <w:r>
              <w:rPr>
                <w:sz w:val="21"/>
                <w:szCs w:val="21"/>
                <w:bdr w:val="none" w:color="auto" w:sz="0" w:space="0"/>
              </w:rPr>
              <w:t xml:space="preserve">综合评分法，是指投标文件满足招标文件全部实质性要求，且按照评审因素的量化指标评审得分最高的投标人为中标候选人的评标方法。 </w:t>
            </w:r>
          </w:p>
          <w:p>
            <w:pPr>
              <w:pStyle w:val="38"/>
              <w:keepNext w:val="0"/>
              <w:keepLines w:val="0"/>
              <w:widowControl/>
              <w:suppressLineNumbers w:val="0"/>
              <w:ind w:left="0" w:firstLine="420"/>
              <w:rPr>
                <w:sz w:val="21"/>
                <w:szCs w:val="21"/>
              </w:rPr>
            </w:pPr>
            <w:r>
              <w:rPr>
                <w:sz w:val="21"/>
                <w:szCs w:val="21"/>
                <w:bdr w:val="none" w:color="auto" w:sz="0" w:space="0"/>
              </w:rPr>
              <w:t>价格分计算方法：</w:t>
            </w:r>
          </w:p>
          <w:p>
            <w:pPr>
              <w:pStyle w:val="38"/>
              <w:keepNext w:val="0"/>
              <w:keepLines w:val="0"/>
              <w:widowControl/>
              <w:numPr>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sz w:val="24"/>
          <w:szCs w:val="24"/>
        </w:rPr>
      </w:pPr>
    </w:p>
    <w:tbl>
      <w:tblPr>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665"/>
        <w:gridCol w:w="663"/>
        <w:gridCol w:w="2672"/>
        <w:gridCol w:w="1094"/>
        <w:gridCol w:w="3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投标人需充分说明技术保障措施，包括①项目组织管理方案、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②项目进度计划、③项目质量控制措施、④项目进度控制措施、⑤项目技术实力共5项保障措施: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1、保障措施等于5项，得100分；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2、保障措施3-4项的，得50分；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3、保障措施小于3项的，不得分。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投标人应如实填写《技术要求偏离表》，评审委员会根据技术需求参数响应情况进行打分，各项技术参数指标及要求全部满足的得100分， 带▲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参数为重点参数，每负偏离一项扣15分；其他一般参数每偏离一项扣7分，扣完为止；正偏离不加分。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1.投标人应如实填写《商务要求偏离表（免费保修期内售后服务要求）》，评审委员会根据响应情况进行打分。在满足免费保修期的基础上，每增加一年加20分，最高得60分。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2.其他要求全部满足要求的得40分，每负偏离一项扣10分。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投标人应如实填写《商务要求偏离表（免费保修期外售后服务要求）》，评审委员会根据响应情况进行打分，全部满足要求的得100分，每负偏离一项扣20分。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投标人应如实填写《商务要求偏离表（其他商务要求）》，评审委员会根据响应情况进行打分，全部满足要求的得100分，每负偏离一项扣7分。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投标书目录</w:t>
      </w:r>
    </w:p>
    <w:tbl>
      <w:tblPr>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一、投标函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二、政府采购投标及履约承诺函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三、分项报价清单</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四、投标供应商情况及资格证明文件</w:t>
            </w:r>
          </w:p>
        </w:tc>
      </w:tr>
    </w:tbl>
    <w:p>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bookmarkStart w:id="134" w:name="_GoBack"/>
      <w:bookmarkEnd w:id="134"/>
    </w:p>
    <w:p>
      <w:pPr>
        <w:pStyle w:val="2"/>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（医疗设备类暗标）</w:t>
      </w:r>
    </w:p>
    <w:p/>
    <w:p/>
    <w:p/>
    <w:p/>
    <w:p/>
    <w:p/>
    <w:p/>
    <w:p/>
    <w:p/>
    <w:p/>
    <w:p/>
    <w:p/>
    <w:p/>
    <w:p/>
    <w:p/>
    <w:p/>
    <w:p>
      <w:pPr>
        <w:jc w:val="center"/>
        <w:rPr>
          <w:b/>
          <w:sz w:val="44"/>
          <w:szCs w:val="44"/>
        </w:rPr>
      </w:pPr>
      <w:bookmarkStart w:id="0"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r>
        <w:rPr>
          <w:rFonts w:hint="eastAsia"/>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widowControl/>
        <w:jc w:val="left"/>
        <w:rPr>
          <w:rFonts w:ascii="宋体" w:hAnsi="宋体"/>
          <w:b/>
          <w:kern w:val="0"/>
          <w:sz w:val="28"/>
          <w:szCs w:val="28"/>
        </w:rPr>
      </w:pPr>
      <w: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一、评标定标信息</w:t>
      </w:r>
    </w:p>
    <w:p>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jc w:val="center"/>
              <w:rPr>
                <w:rFonts w:ascii="等线" w:hAnsi="等线" w:eastAsia="等线"/>
                <w:kern w:val="0"/>
                <w:sz w:val="20"/>
              </w:rPr>
            </w:pPr>
            <w:r>
              <w:rPr>
                <w:rFonts w:hint="eastAsia" w:ascii="等线" w:hAnsi="等线" w:eastAsia="等线"/>
                <w:kern w:val="0"/>
                <w:sz w:val="20"/>
              </w:rPr>
              <w:t>评标方法</w:t>
            </w:r>
          </w:p>
        </w:tc>
        <w:tc>
          <w:tcPr>
            <w:tcW w:w="4265" w:type="dxa"/>
          </w:tcPr>
          <w:p>
            <w:pPr>
              <w:jc w:val="center"/>
              <w:rPr>
                <w:rFonts w:ascii="等线" w:hAnsi="等线" w:eastAsia="等线"/>
                <w:kern w:val="0"/>
                <w:sz w:val="20"/>
              </w:rPr>
            </w:pPr>
            <w:r>
              <w:rPr>
                <w:rFonts w:hint="eastAsia" w:ascii="等线" w:hAnsi="等线" w:eastAsia="等线"/>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pPr>
              <w:jc w:val="center"/>
              <w:rPr>
                <w:rFonts w:ascii="等线" w:hAnsi="等线" w:eastAsia="等线"/>
                <w:kern w:val="0"/>
                <w:sz w:val="20"/>
              </w:rPr>
            </w:pPr>
            <w:r>
              <w:rPr>
                <w:rFonts w:ascii="等线" w:hAnsi="等线" w:eastAsia="等线"/>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pPr>
              <w:jc w:val="center"/>
              <w:rPr>
                <w:rFonts w:ascii="等线" w:hAnsi="等线" w:eastAsia="等线"/>
                <w:kern w:val="0"/>
                <w:sz w:val="20"/>
              </w:rPr>
            </w:pPr>
            <w:r>
              <w:rPr>
                <w:rFonts w:ascii="等线" w:hAnsi="等线" w:eastAsia="等线"/>
              </w:rPr>
              <w:t>1</w:t>
            </w:r>
          </w:p>
        </w:tc>
      </w:tr>
    </w:tbl>
    <w:p/>
    <w:p/>
    <w:p>
      <w:pPr>
        <w:jc w:val="center"/>
        <w:rPr>
          <w:b/>
        </w:rPr>
      </w:pPr>
      <w:r>
        <w:rPr>
          <w:rFonts w:hint="eastAsia"/>
          <w:b/>
        </w:rPr>
        <w:t>二、关于享受优惠政策的主体及价格扣除比例</w:t>
      </w:r>
    </w:p>
    <w:p>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pPr>
        <w:ind w:firstLine="420" w:firstLineChars="200"/>
      </w:pPr>
      <w:r>
        <w:rPr>
          <w:rFonts w:hint="eastAsia"/>
        </w:rPr>
        <w:t>（</w:t>
      </w:r>
      <w:r>
        <w:t>5</w:t>
      </w:r>
      <w:r>
        <w:rPr>
          <w:rFonts w:hint="eastAsia"/>
        </w:rPr>
        <w:t>）供应商不重复享受多项价格评审优惠政策。</w:t>
      </w:r>
    </w:p>
    <w:p>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pPr>
        <w:jc w:val="center"/>
        <w:rPr>
          <w:b/>
          <w:strike/>
        </w:rPr>
      </w:pPr>
    </w:p>
    <w:p>
      <w:pPr>
        <w:jc w:val="center"/>
        <w:rPr>
          <w:b/>
        </w:rPr>
      </w:pPr>
      <w:r>
        <w:rPr>
          <w:rFonts w:hint="eastAsia"/>
          <w:b/>
        </w:rPr>
        <w:t>三、其他说明</w:t>
      </w:r>
    </w:p>
    <w:p>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p>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outlineLvl w:val="0"/>
        <w:rPr>
          <w:rFonts w:ascii="宋体" w:hAnsi="宋体"/>
          <w:szCs w:val="21"/>
        </w:rPr>
      </w:pPr>
      <w:r>
        <w:rPr>
          <w:rFonts w:hint="eastAsia" w:ascii="宋体" w:hAnsi="宋体"/>
          <w:szCs w:val="21"/>
        </w:rPr>
        <w:t>第一章  招标公告</w:t>
      </w:r>
    </w:p>
    <w:p>
      <w:pPr>
        <w:ind w:left="630" w:leftChars="300" w:firstLine="630" w:firstLineChars="300"/>
        <w:outlineLvl w:val="0"/>
        <w:rPr>
          <w:rFonts w:ascii="宋体" w:hAnsi="宋体"/>
          <w:szCs w:val="21"/>
        </w:rPr>
      </w:pPr>
      <w:r>
        <w:rPr>
          <w:rFonts w:hint="eastAsia" w:ascii="宋体" w:hAnsi="宋体"/>
          <w:szCs w:val="21"/>
        </w:rPr>
        <w:t>第二章  招标项目需求</w:t>
      </w:r>
    </w:p>
    <w:p>
      <w:pPr>
        <w:ind w:left="630" w:leftChars="300" w:firstLine="630" w:firstLineChars="300"/>
        <w:outlineLvl w:val="0"/>
        <w:rPr>
          <w:rFonts w:ascii="宋体" w:hAnsi="宋体"/>
          <w:szCs w:val="21"/>
        </w:rPr>
      </w:pPr>
      <w:r>
        <w:rPr>
          <w:rFonts w:hint="eastAsia" w:ascii="宋体" w:hAnsi="宋体"/>
          <w:szCs w:val="21"/>
        </w:rPr>
        <w:t>第三章  投标文件格式、附件</w:t>
      </w:r>
    </w:p>
    <w:p>
      <w:pPr>
        <w:ind w:left="630" w:leftChars="300" w:firstLine="630" w:firstLineChars="300"/>
        <w:outlineLvl w:val="0"/>
        <w:rPr>
          <w:rFonts w:ascii="宋体" w:hAnsi="宋体"/>
          <w:szCs w:val="21"/>
        </w:rPr>
      </w:pPr>
      <w:r>
        <w:rPr>
          <w:rFonts w:hint="eastAsia" w:ascii="宋体" w:hAnsi="宋体"/>
          <w:szCs w:val="21"/>
        </w:rPr>
        <w:t>第四章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bookmarkEnd w:id="2"/>
    <w:p>
      <w:pPr>
        <w:ind w:left="630" w:leftChars="300" w:firstLine="630" w:firstLineChars="300"/>
        <w:rPr>
          <w:rFonts w:ascii="宋体" w:hAnsi="宋体"/>
          <w:szCs w:val="21"/>
        </w:rPr>
      </w:pPr>
    </w:p>
    <w:p>
      <w:pPr>
        <w:rPr>
          <w:sz w:val="24"/>
        </w:rPr>
      </w:pPr>
    </w:p>
    <w:p>
      <w:pPr>
        <w:rPr>
          <w:b/>
          <w:color w:val="FF0000"/>
        </w:rPr>
      </w:pPr>
      <w:r>
        <w:rPr>
          <w:rFonts w:hint="eastAsia"/>
          <w:b/>
          <w:color w:val="FF0000"/>
        </w:rPr>
        <w:t>备注：</w:t>
      </w:r>
    </w:p>
    <w:p>
      <w:pPr>
        <w:ind w:firstLine="420" w:firstLineChars="200"/>
        <w:rPr>
          <w:b/>
          <w:color w:val="FF0000"/>
        </w:rPr>
      </w:pPr>
      <w:r>
        <w:rPr>
          <w:rFonts w:hint="eastAsia" w:ascii="宋体" w:hAnsi="宋体"/>
          <w:color w:val="FF0000"/>
          <w:szCs w:val="21"/>
        </w:rPr>
        <w:t>1.本招标文件分为第一册“专用条款”和第二册“通用条款”。</w:t>
      </w:r>
    </w:p>
    <w:p>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pPr>
        <w:pStyle w:val="4"/>
        <w:rPr>
          <w:color w:val="FF0000"/>
          <w:sz w:val="24"/>
        </w:rPr>
      </w:pPr>
      <w:r>
        <w:rPr>
          <w:color w:val="FF0000"/>
        </w:rPr>
        <w:br w:type="page"/>
      </w:r>
      <w:bookmarkStart w:id="3" w:name="bt投标文件签署授权委托书"/>
      <w:bookmarkEnd w:id="3"/>
      <w:bookmarkStart w:id="4" w:name="bt合同条款"/>
      <w:bookmarkEnd w:id="4"/>
      <w:bookmarkStart w:id="5" w:name="bt合同格式"/>
      <w:bookmarkEnd w:id="5"/>
      <w:bookmarkStart w:id="6" w:name="bt技术标投标文件格式"/>
      <w:bookmarkEnd w:id="6"/>
      <w:bookmarkStart w:id="7" w:name="bt投标人情况介绍"/>
      <w:bookmarkEnd w:id="7"/>
      <w:bookmarkStart w:id="8" w:name="bt合同条款及格式"/>
      <w:bookmarkEnd w:id="8"/>
      <w:bookmarkStart w:id="9" w:name="bt项目管理班子配备情况"/>
      <w:bookmarkEnd w:id="9"/>
      <w:bookmarkStart w:id="10" w:name="bt其他资料2"/>
      <w:bookmarkEnd w:id="10"/>
      <w:bookmarkStart w:id="11" w:name="bt说明"/>
      <w:bookmarkEnd w:id="11"/>
      <w:bookmarkStart w:id="12" w:name="bt投标函"/>
      <w:bookmarkEnd w:id="12"/>
      <w:bookmarkStart w:id="13" w:name="合同格式"/>
      <w:bookmarkEnd w:id="13"/>
      <w:bookmarkStart w:id="14" w:name="bt开标一览表"/>
      <w:bookmarkEnd w:id="14"/>
      <w:bookmarkStart w:id="15" w:name="bt投标人须知"/>
      <w:bookmarkEnd w:id="15"/>
      <w:bookmarkStart w:id="16" w:name="bt其他资料由投标人自定"/>
      <w:bookmarkEnd w:id="16"/>
      <w:bookmarkStart w:id="17" w:name="bt本工程承诺书"/>
      <w:bookmarkEnd w:id="17"/>
      <w:bookmarkStart w:id="18" w:name="bt投标报价汇总表"/>
      <w:bookmarkEnd w:id="18"/>
      <w:bookmarkStart w:id="19" w:name="bt商务标投标文件格式"/>
      <w:bookmarkEnd w:id="19"/>
      <w:r>
        <w:rPr>
          <w:rFonts w:hint="eastAsia"/>
        </w:rPr>
        <w:t>第一册  专用条款</w:t>
      </w:r>
    </w:p>
    <w:p>
      <w:pPr>
        <w:pStyle w:val="2"/>
      </w:pPr>
      <w:r>
        <w:rPr>
          <w:rFonts w:hint="eastAsia"/>
        </w:rPr>
        <w:t>第一章  招标公告</w:t>
      </w:r>
    </w:p>
    <w:p>
      <w:pPr>
        <w:keepNext/>
        <w:keepLines/>
        <w:spacing w:before="260" w:after="260"/>
        <w:outlineLvl w:val="2"/>
        <w:rPr>
          <w:rFonts w:ascii="宋体" w:hAnsi="宋体"/>
          <w:b/>
          <w:bCs/>
          <w:sz w:val="28"/>
          <w:szCs w:val="32"/>
        </w:rPr>
      </w:pPr>
      <w:r>
        <w:rPr>
          <w:rFonts w:ascii="宋体" w:hAnsi="宋体"/>
          <w:b/>
          <w:bCs/>
          <w:sz w:val="28"/>
          <w:szCs w:val="32"/>
        </w:rPr>
        <w:t>投标人资格要求：</w:t>
      </w:r>
    </w:p>
    <w:p>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pPr>
        <w:spacing w:before="60" w:beforeLines="25" w:after="60" w:afterLines="25"/>
        <w:ind w:firstLine="392" w:firstLineChars="187"/>
        <w:rPr>
          <w:szCs w:val="20"/>
        </w:rPr>
      </w:pPr>
    </w:p>
    <w:p>
      <w:pPr>
        <w:spacing w:before="60" w:beforeLines="25" w:after="60" w:afterLines="25"/>
        <w:ind w:firstLine="392" w:firstLineChars="187"/>
        <w:rPr>
          <w:szCs w:val="20"/>
        </w:rPr>
      </w:pPr>
      <w:r>
        <w:rPr>
          <w:rFonts w:hint="eastAsia"/>
          <w:szCs w:val="20"/>
        </w:rPr>
        <w:t>完整公告内容详见：http://www.szzfcg.cn</w:t>
      </w:r>
    </w:p>
    <w:p>
      <w:pPr>
        <w:spacing w:before="60" w:beforeLines="25" w:after="60" w:afterLines="25"/>
        <w:ind w:firstLine="392" w:firstLineChars="187"/>
        <w:rPr>
          <w:szCs w:val="20"/>
        </w:rPr>
      </w:pPr>
    </w:p>
    <w:p>
      <w:pPr>
        <w:pStyle w:val="3"/>
        <w:spacing w:before="60" w:beforeLines="25" w:after="60" w:afterLines="25"/>
        <w:ind w:firstLine="392" w:firstLineChars="187"/>
      </w:pPr>
    </w:p>
    <w:p>
      <w:pPr>
        <w:pStyle w:val="3"/>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2"/>
      </w:pPr>
      <w:r>
        <w:rPr>
          <w:rFonts w:hint="eastAsia"/>
        </w:rPr>
        <w:t>第二章  招标项目需求</w:t>
      </w:r>
    </w:p>
    <w:p>
      <w:pPr>
        <w:pStyle w:val="2"/>
        <w:spacing w:before="120" w:beforeLines="50" w:after="120" w:afterLines="50"/>
        <w:rPr>
          <w:sz w:val="28"/>
          <w:szCs w:val="28"/>
        </w:rPr>
      </w:pPr>
      <w:bookmarkStart w:id="20" w:name="_Toc100052364"/>
      <w:bookmarkStart w:id="21" w:name="_Toc73521547"/>
      <w:bookmarkStart w:id="22" w:name="_Toc73521635"/>
      <w:bookmarkStart w:id="23" w:name="_Toc73517639"/>
      <w:bookmarkStart w:id="24" w:name="_Toc101074876"/>
      <w:bookmarkStart w:id="25" w:name="_Toc60560625"/>
      <w:bookmarkStart w:id="26" w:name="_Toc60631620"/>
      <w:bookmarkStart w:id="27" w:name="_Toc73518117"/>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color w:val="000000" w:themeColor="text1"/>
                <w14:textFill>
                  <w14:solidFill>
                    <w14:schemeClr w14:val="tx1"/>
                  </w14:solidFill>
                </w14:textFill>
              </w:rPr>
              <w:t>合同金额的</w:t>
            </w:r>
            <w:r>
              <w:rPr>
                <w:rFonts w:hint="eastAsia"/>
                <w:color w:val="000000" w:themeColor="text1"/>
                <w:u w:val="single"/>
                <w14:textFill>
                  <w14:solidFill>
                    <w14:schemeClr w14:val="tx1"/>
                  </w14:solidFill>
                </w14:textFill>
              </w:rPr>
              <w:t xml:space="preserve">  5  </w:t>
            </w:r>
            <w:r>
              <w:rPr>
                <w:rFonts w:hint="eastAsia"/>
                <w:color w:val="000000" w:themeColor="text1"/>
                <w14:textFill>
                  <w14:solidFill>
                    <w14:schemeClr w14:val="tx1"/>
                  </w14:solidFill>
                </w14:textFill>
              </w:rPr>
              <w:t>%，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 0.5‰的利息。因中标人原因而未能达到本项目验收标准或验收不通过的，履约保证金不予退还。</w:t>
            </w:r>
          </w:p>
        </w:tc>
      </w:tr>
    </w:tbl>
    <w:p>
      <w:pPr>
        <w:rPr>
          <w:b/>
        </w:rPr>
      </w:pPr>
      <w:r>
        <w:rPr>
          <w:rFonts w:hint="eastAsia"/>
          <w:szCs w:val="21"/>
        </w:rPr>
        <w:t>备注：本表为通用条款相关内容的补充和明确，如与通用条款相冲突的以本表为准。</w:t>
      </w:r>
    </w:p>
    <w:p>
      <w:pPr>
        <w:rPr>
          <w:b/>
        </w:rPr>
      </w:pPr>
    </w:p>
    <w:p>
      <w:pPr>
        <w:pStyle w:val="2"/>
        <w:spacing w:before="120" w:beforeLines="50" w:after="120" w:afterLines="50"/>
        <w:rPr>
          <w:sz w:val="28"/>
          <w:szCs w:val="28"/>
        </w:rPr>
      </w:pPr>
      <w:r>
        <w:rPr>
          <w:rFonts w:hint="eastAsia"/>
          <w:sz w:val="28"/>
          <w:szCs w:val="28"/>
        </w:rPr>
        <w:t>二、货物清单</w:t>
      </w:r>
    </w:p>
    <w:p>
      <w:r>
        <w:rPr>
          <w:rFonts w:hint="eastAsia" w:ascii="宋体" w:hAnsi="宋体"/>
          <w:b/>
          <w:color w:val="FF0000"/>
          <w:szCs w:val="21"/>
        </w:rPr>
        <w:t>（一）货物总清单</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45"/>
        <w:gridCol w:w="2950"/>
        <w:gridCol w:w="426"/>
        <w:gridCol w:w="426"/>
        <w:gridCol w:w="75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2045" w:type="dxa"/>
            <w:vAlign w:val="center"/>
          </w:tcPr>
          <w:p>
            <w:pPr>
              <w:jc w:val="center"/>
              <w:rPr>
                <w:bCs/>
                <w:szCs w:val="21"/>
              </w:rPr>
            </w:pPr>
            <w:r>
              <w:rPr>
                <w:rFonts w:hint="eastAsia"/>
                <w:szCs w:val="21"/>
              </w:rPr>
              <w:t>采购计划编号</w:t>
            </w:r>
          </w:p>
        </w:tc>
        <w:tc>
          <w:tcPr>
            <w:tcW w:w="2950" w:type="dxa"/>
            <w:vAlign w:val="center"/>
          </w:tcPr>
          <w:p>
            <w:pPr>
              <w:jc w:val="center"/>
              <w:rPr>
                <w:bCs/>
                <w:szCs w:val="21"/>
              </w:rPr>
            </w:pPr>
            <w:r>
              <w:rPr>
                <w:rFonts w:hint="eastAsia"/>
                <w:bCs/>
                <w:szCs w:val="21"/>
              </w:rPr>
              <w:t>货物名称</w:t>
            </w:r>
          </w:p>
        </w:tc>
        <w:tc>
          <w:tcPr>
            <w:tcW w:w="426" w:type="dxa"/>
            <w:vAlign w:val="center"/>
          </w:tcPr>
          <w:p>
            <w:pPr>
              <w:jc w:val="center"/>
              <w:rPr>
                <w:bCs/>
                <w:szCs w:val="21"/>
              </w:rPr>
            </w:pPr>
            <w:r>
              <w:rPr>
                <w:rFonts w:hint="eastAsia"/>
                <w:bCs/>
                <w:szCs w:val="21"/>
              </w:rPr>
              <w:t>数量</w:t>
            </w:r>
          </w:p>
        </w:tc>
        <w:tc>
          <w:tcPr>
            <w:tcW w:w="426" w:type="dxa"/>
            <w:vAlign w:val="center"/>
          </w:tcPr>
          <w:p>
            <w:pPr>
              <w:jc w:val="center"/>
              <w:rPr>
                <w:bCs/>
                <w:szCs w:val="21"/>
              </w:rPr>
            </w:pPr>
            <w:r>
              <w:rPr>
                <w:rFonts w:hint="eastAsia"/>
                <w:bCs/>
                <w:szCs w:val="21"/>
              </w:rPr>
              <w:t>单位</w:t>
            </w:r>
          </w:p>
        </w:tc>
        <w:tc>
          <w:tcPr>
            <w:tcW w:w="755" w:type="dxa"/>
            <w:vAlign w:val="center"/>
          </w:tcPr>
          <w:p>
            <w:pPr>
              <w:jc w:val="center"/>
              <w:rPr>
                <w:b/>
                <w:bCs/>
                <w:color w:val="FF0000"/>
                <w:szCs w:val="21"/>
              </w:rPr>
            </w:pPr>
            <w:r>
              <w:rPr>
                <w:rFonts w:hint="eastAsia"/>
                <w:b/>
                <w:bCs/>
                <w:color w:val="FF0000"/>
                <w:szCs w:val="21"/>
              </w:rPr>
              <w:t>备注</w:t>
            </w:r>
          </w:p>
        </w:tc>
        <w:tc>
          <w:tcPr>
            <w:tcW w:w="1449" w:type="dxa"/>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tcPr>
          <w:p>
            <w:pPr>
              <w:jc w:val="center"/>
              <w:rPr>
                <w:bCs/>
                <w:szCs w:val="21"/>
              </w:rPr>
            </w:pPr>
            <w:r>
              <w:rPr>
                <w:rFonts w:hint="eastAsia"/>
                <w:bCs/>
                <w:szCs w:val="21"/>
              </w:rPr>
              <w:t>1</w:t>
            </w:r>
          </w:p>
        </w:tc>
        <w:tc>
          <w:tcPr>
            <w:tcW w:w="2045" w:type="dxa"/>
          </w:tcPr>
          <w:p>
            <w:pPr>
              <w:jc w:val="center"/>
              <w:rPr>
                <w:bCs/>
                <w:szCs w:val="21"/>
              </w:rPr>
            </w:pPr>
            <w:r>
              <w:rPr>
                <w:rFonts w:hint="eastAsia"/>
                <w:bCs/>
                <w:szCs w:val="21"/>
              </w:rPr>
              <w:t xml:space="preserve">PLAN-2021-440301-0102018021-01125 </w:t>
            </w:r>
          </w:p>
        </w:tc>
        <w:tc>
          <w:tcPr>
            <w:tcW w:w="2950" w:type="dxa"/>
          </w:tcPr>
          <w:p>
            <w:pPr>
              <w:jc w:val="center"/>
              <w:rPr>
                <w:bCs/>
                <w:szCs w:val="21"/>
              </w:rPr>
            </w:pPr>
            <w:r>
              <w:rPr>
                <w:rFonts w:hint="eastAsia"/>
                <w:bCs/>
                <w:szCs w:val="21"/>
                <w:lang w:val="en-US" w:eastAsia="zh-CN"/>
              </w:rPr>
              <w:t>深圳市眼科医院</w:t>
            </w:r>
            <w:r>
              <w:rPr>
                <w:rFonts w:hint="eastAsia"/>
                <w:bCs/>
                <w:szCs w:val="21"/>
              </w:rPr>
              <w:t>医用设备提升-睑板腺功能障碍检测仪一台</w:t>
            </w:r>
          </w:p>
        </w:tc>
        <w:tc>
          <w:tcPr>
            <w:tcW w:w="426" w:type="dxa"/>
          </w:tcPr>
          <w:p>
            <w:pPr>
              <w:jc w:val="center"/>
              <w:rPr>
                <w:bCs/>
                <w:szCs w:val="21"/>
              </w:rPr>
            </w:pPr>
            <w:r>
              <w:rPr>
                <w:rFonts w:hint="eastAsia"/>
                <w:bCs/>
                <w:szCs w:val="21"/>
              </w:rPr>
              <w:t>1</w:t>
            </w:r>
          </w:p>
        </w:tc>
        <w:tc>
          <w:tcPr>
            <w:tcW w:w="426" w:type="dxa"/>
          </w:tcPr>
          <w:p>
            <w:pPr>
              <w:jc w:val="center"/>
              <w:rPr>
                <w:bCs/>
                <w:szCs w:val="21"/>
              </w:rPr>
            </w:pPr>
            <w:r>
              <w:rPr>
                <w:rFonts w:hint="eastAsia"/>
                <w:bCs/>
                <w:szCs w:val="21"/>
              </w:rPr>
              <w:t>台</w:t>
            </w:r>
          </w:p>
        </w:tc>
        <w:tc>
          <w:tcPr>
            <w:tcW w:w="755" w:type="dxa"/>
          </w:tcPr>
          <w:p>
            <w:pPr>
              <w:jc w:val="center"/>
              <w:rPr>
                <w:bCs/>
                <w:szCs w:val="21"/>
              </w:rPr>
            </w:pPr>
            <w:r>
              <w:rPr>
                <w:rFonts w:hint="eastAsia"/>
                <w:bCs/>
                <w:szCs w:val="21"/>
              </w:rPr>
              <w:t>接受进口</w:t>
            </w:r>
          </w:p>
        </w:tc>
        <w:tc>
          <w:tcPr>
            <w:tcW w:w="1449" w:type="dxa"/>
          </w:tcPr>
          <w:p>
            <w:r>
              <w:rPr>
                <w:rFonts w:hint="eastAsia"/>
              </w:rPr>
              <w:t>1,200,000.00</w:t>
            </w:r>
          </w:p>
        </w:tc>
      </w:tr>
    </w:tbl>
    <w:p>
      <w:pPr>
        <w:pStyle w:val="3"/>
      </w:pPr>
    </w:p>
    <w:p>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67"/>
        <w:gridCol w:w="2225"/>
        <w:gridCol w:w="450"/>
        <w:gridCol w:w="505"/>
        <w:gridCol w:w="719"/>
        <w:gridCol w:w="146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1967" w:type="dxa"/>
            <w:vAlign w:val="center"/>
          </w:tcPr>
          <w:p>
            <w:pPr>
              <w:jc w:val="center"/>
              <w:rPr>
                <w:bCs/>
                <w:szCs w:val="21"/>
              </w:rPr>
            </w:pPr>
            <w:r>
              <w:rPr>
                <w:rFonts w:hint="eastAsia"/>
                <w:bCs/>
                <w:szCs w:val="21"/>
              </w:rPr>
              <w:t>采购计划编号</w:t>
            </w:r>
          </w:p>
        </w:tc>
        <w:tc>
          <w:tcPr>
            <w:tcW w:w="2225" w:type="dxa"/>
            <w:vAlign w:val="center"/>
          </w:tcPr>
          <w:p>
            <w:pPr>
              <w:jc w:val="center"/>
              <w:rPr>
                <w:bCs/>
                <w:szCs w:val="21"/>
              </w:rPr>
            </w:pPr>
            <w:r>
              <w:rPr>
                <w:rFonts w:hint="eastAsia"/>
                <w:bCs/>
                <w:szCs w:val="21"/>
              </w:rPr>
              <w:t>货物名称</w:t>
            </w:r>
          </w:p>
        </w:tc>
        <w:tc>
          <w:tcPr>
            <w:tcW w:w="450" w:type="dxa"/>
            <w:vAlign w:val="center"/>
          </w:tcPr>
          <w:p>
            <w:pPr>
              <w:jc w:val="center"/>
              <w:rPr>
                <w:bCs/>
                <w:szCs w:val="21"/>
              </w:rPr>
            </w:pPr>
            <w:r>
              <w:rPr>
                <w:rFonts w:hint="eastAsia"/>
                <w:bCs/>
                <w:szCs w:val="21"/>
              </w:rPr>
              <w:t>数量</w:t>
            </w:r>
          </w:p>
        </w:tc>
        <w:tc>
          <w:tcPr>
            <w:tcW w:w="505" w:type="dxa"/>
            <w:vAlign w:val="center"/>
          </w:tcPr>
          <w:p>
            <w:pPr>
              <w:jc w:val="center"/>
              <w:rPr>
                <w:bCs/>
                <w:szCs w:val="21"/>
              </w:rPr>
            </w:pPr>
            <w:r>
              <w:rPr>
                <w:rFonts w:hint="eastAsia"/>
                <w:bCs/>
                <w:szCs w:val="21"/>
              </w:rPr>
              <w:t>单位</w:t>
            </w:r>
          </w:p>
        </w:tc>
        <w:tc>
          <w:tcPr>
            <w:tcW w:w="719" w:type="dxa"/>
            <w:vAlign w:val="center"/>
          </w:tcPr>
          <w:p>
            <w:pPr>
              <w:jc w:val="center"/>
              <w:rPr>
                <w:bCs/>
                <w:szCs w:val="21"/>
              </w:rPr>
            </w:pPr>
            <w:r>
              <w:rPr>
                <w:rFonts w:hint="eastAsia"/>
                <w:bCs/>
                <w:szCs w:val="21"/>
              </w:rPr>
              <w:t>备注</w:t>
            </w:r>
          </w:p>
        </w:tc>
        <w:tc>
          <w:tcPr>
            <w:tcW w:w="1469" w:type="dxa"/>
            <w:vAlign w:val="top"/>
          </w:tcPr>
          <w:p>
            <w:pPr>
              <w:jc w:val="center"/>
              <w:rPr>
                <w:rFonts w:hint="eastAsia"/>
                <w:bCs/>
                <w:szCs w:val="21"/>
              </w:rPr>
            </w:pPr>
            <w:r>
              <w:rPr>
                <w:rFonts w:hint="eastAsia"/>
                <w:szCs w:val="21"/>
              </w:rPr>
              <w:t>财政预算限额（元）</w:t>
            </w:r>
          </w:p>
        </w:tc>
        <w:tc>
          <w:tcPr>
            <w:tcW w:w="700" w:type="dxa"/>
            <w:vAlign w:val="center"/>
          </w:tcPr>
          <w:p>
            <w:pPr>
              <w:jc w:val="center"/>
              <w:rPr>
                <w:bCs/>
                <w:szCs w:val="21"/>
              </w:rPr>
            </w:pPr>
            <w:r>
              <w:rPr>
                <w:rFonts w:hint="eastAsia"/>
                <w:b/>
                <w:bCs/>
                <w:color w:val="FF0000"/>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jc w:val="center"/>
              <w:rPr>
                <w:bCs/>
                <w:szCs w:val="21"/>
              </w:rPr>
            </w:pPr>
            <w:r>
              <w:rPr>
                <w:rFonts w:hint="eastAsia"/>
                <w:bCs/>
                <w:szCs w:val="21"/>
              </w:rPr>
              <w:t>1</w:t>
            </w:r>
          </w:p>
        </w:tc>
        <w:tc>
          <w:tcPr>
            <w:tcW w:w="1967" w:type="dxa"/>
          </w:tcPr>
          <w:p>
            <w:pPr>
              <w:jc w:val="center"/>
              <w:rPr>
                <w:bCs/>
                <w:szCs w:val="21"/>
              </w:rPr>
            </w:pPr>
            <w:r>
              <w:rPr>
                <w:rFonts w:hint="eastAsia"/>
                <w:bCs/>
                <w:szCs w:val="21"/>
              </w:rPr>
              <w:t>PLAN-2021-440301-0102018021-01125</w:t>
            </w:r>
          </w:p>
        </w:tc>
        <w:tc>
          <w:tcPr>
            <w:tcW w:w="2225" w:type="dxa"/>
            <w:vAlign w:val="top"/>
          </w:tcPr>
          <w:p>
            <w:pPr>
              <w:jc w:val="center"/>
              <w:rPr>
                <w:bCs/>
                <w:szCs w:val="21"/>
              </w:rPr>
            </w:pPr>
            <w:r>
              <w:rPr>
                <w:rFonts w:hint="eastAsia"/>
                <w:bCs/>
                <w:szCs w:val="21"/>
              </w:rPr>
              <w:t>睑板腺功能障碍检测仪</w:t>
            </w:r>
          </w:p>
        </w:tc>
        <w:tc>
          <w:tcPr>
            <w:tcW w:w="450" w:type="dxa"/>
          </w:tcPr>
          <w:p>
            <w:pPr>
              <w:jc w:val="center"/>
              <w:rPr>
                <w:bCs/>
                <w:szCs w:val="21"/>
              </w:rPr>
            </w:pPr>
            <w:r>
              <w:rPr>
                <w:rFonts w:hint="eastAsia"/>
                <w:bCs/>
                <w:szCs w:val="21"/>
              </w:rPr>
              <w:t>1</w:t>
            </w:r>
          </w:p>
        </w:tc>
        <w:tc>
          <w:tcPr>
            <w:tcW w:w="505" w:type="dxa"/>
          </w:tcPr>
          <w:p>
            <w:pPr>
              <w:jc w:val="center"/>
              <w:rPr>
                <w:bCs/>
                <w:szCs w:val="21"/>
              </w:rPr>
            </w:pPr>
            <w:r>
              <w:rPr>
                <w:rFonts w:hint="eastAsia"/>
                <w:bCs/>
                <w:szCs w:val="21"/>
              </w:rPr>
              <w:t>台</w:t>
            </w:r>
          </w:p>
        </w:tc>
        <w:tc>
          <w:tcPr>
            <w:tcW w:w="719" w:type="dxa"/>
          </w:tcPr>
          <w:p>
            <w:pPr>
              <w:jc w:val="center"/>
              <w:rPr>
                <w:bCs/>
                <w:szCs w:val="21"/>
              </w:rPr>
            </w:pPr>
            <w:r>
              <w:rPr>
                <w:rFonts w:hint="eastAsia"/>
                <w:bCs/>
                <w:szCs w:val="21"/>
              </w:rPr>
              <w:t>接受进口</w:t>
            </w:r>
          </w:p>
        </w:tc>
        <w:tc>
          <w:tcPr>
            <w:tcW w:w="1469" w:type="dxa"/>
            <w:vAlign w:val="top"/>
          </w:tcPr>
          <w:p>
            <w:pPr>
              <w:rPr>
                <w:rFonts w:hint="eastAsia"/>
                <w:bCs/>
                <w:szCs w:val="21"/>
              </w:rPr>
            </w:pPr>
            <w:r>
              <w:rPr>
                <w:rFonts w:hint="eastAsia"/>
              </w:rPr>
              <w:t>1,200,000.00</w:t>
            </w:r>
          </w:p>
        </w:tc>
        <w:tc>
          <w:tcPr>
            <w:tcW w:w="700" w:type="dxa"/>
          </w:tcPr>
          <w:p>
            <w:pPr>
              <w:jc w:val="center"/>
              <w:rPr>
                <w:bCs/>
                <w:szCs w:val="21"/>
              </w:rPr>
            </w:pPr>
            <w:r>
              <w:rPr>
                <w:rFonts w:hint="eastAsia"/>
              </w:rPr>
              <w:t>零售业</w:t>
            </w:r>
          </w:p>
        </w:tc>
      </w:tr>
    </w:tbl>
    <w:p>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单一产品采购项目，不设置核心产品。</w:t>
      </w:r>
    </w:p>
    <w:p>
      <w:pPr>
        <w:rPr>
          <w:rFonts w:ascii="宋体" w:hAnsi="宋体"/>
          <w:b/>
          <w:color w:val="FF0000"/>
          <w:szCs w:val="21"/>
        </w:rPr>
      </w:pPr>
    </w:p>
    <w:p>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ind w:left="420" w:hanging="420" w:hangingChars="200"/>
              <w:rPr>
                <w:rFonts w:ascii="宋体" w:hAnsi="宋体"/>
                <w:kern w:val="0"/>
                <w:szCs w:val="21"/>
              </w:rPr>
            </w:pPr>
            <w:r>
              <w:rPr>
                <w:rFonts w:hint="eastAsia" w:ascii="宋体" w:hAnsi="宋体"/>
                <w:kern w:val="0"/>
                <w:szCs w:val="21"/>
              </w:rPr>
              <w:t xml:space="preserve">          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pPr>
        <w:rPr>
          <w:sz w:val="24"/>
          <w:szCs w:val="32"/>
        </w:rPr>
      </w:pPr>
      <w:r>
        <w:rPr>
          <w:rFonts w:hint="eastAsia"/>
          <w:sz w:val="24"/>
          <w:szCs w:val="32"/>
        </w:rPr>
        <w:t>注：上表所列内容为不可负偏离条款</w:t>
      </w:r>
      <w:bookmarkEnd w:id="28"/>
    </w:p>
    <w:p>
      <w:pPr>
        <w:pStyle w:val="2"/>
        <w:spacing w:before="120" w:beforeLines="50" w:after="120" w:afterLines="50"/>
        <w:rPr>
          <w:sz w:val="28"/>
          <w:szCs w:val="28"/>
        </w:rPr>
      </w:pPr>
      <w:r>
        <w:rPr>
          <w:rFonts w:hint="eastAsia"/>
          <w:sz w:val="28"/>
          <w:szCs w:val="28"/>
        </w:rPr>
        <w:t>四、具体技术要求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pPr>
        <w:ind w:firstLine="422" w:firstLineChars="200"/>
        <w:rPr>
          <w:b/>
          <w:szCs w:val="21"/>
        </w:rPr>
      </w:pPr>
      <w:r>
        <w:rPr>
          <w:rFonts w:hint="eastAsia"/>
          <w:b/>
          <w:szCs w:val="21"/>
        </w:rPr>
        <w:t>2、招标技术要求中，用红色加粗字体标注的技术条款为要求提供证明资料的条款，共</w:t>
      </w:r>
      <w:r>
        <w:rPr>
          <w:rFonts w:hint="eastAsia"/>
          <w:highlight w:val="yellow"/>
        </w:rPr>
        <w:t>5</w:t>
      </w:r>
      <w:r>
        <w:rPr>
          <w:rFonts w:hint="eastAsia"/>
          <w:b/>
          <w:szCs w:val="21"/>
          <w:highlight w:val="yellow"/>
        </w:rPr>
        <w:t>项</w:t>
      </w:r>
      <w:r>
        <w:rPr>
          <w:rFonts w:hint="eastAsia"/>
          <w:b/>
          <w:szCs w:val="21"/>
        </w:rPr>
        <w:t>，其余为未要求提供证明资料的条款，无需提供相关证明资料。</w:t>
      </w:r>
    </w:p>
    <w:p>
      <w:pPr>
        <w:ind w:firstLine="422" w:firstLineChars="200"/>
        <w:rPr>
          <w:b/>
        </w:rPr>
      </w:pPr>
      <w:r>
        <w:rPr>
          <w:rFonts w:hint="eastAsia"/>
          <w:b/>
        </w:rPr>
        <w:t>3、评分时，如对一项招标技术要求（以划分框为准）中的内容存在两处（或以上）负偏离的，在评分时只作一项负偏离扣分。</w:t>
      </w:r>
    </w:p>
    <w:p>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tbl>
      <w:tblPr>
        <w:tblStyle w:val="43"/>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16"/>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81"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016"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686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016"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睑板腺功能障碍检测仪</w:t>
            </w: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▲1、该设备采用具有白光干涉技术原理，降噪采集，精确定量测量泪膜油脂层的厚度，最小单位达到纳米级别（1ICU = 1nm），脂质层厚度与可分泌睑脂的睑板腺数量、干眼症状及睑板腺缺失程度有相关性；（要求提供产品彩页关键信息或产品制造商官网关键信息截图）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▲2、通过分析泪膜脂质层的涂布，给出泪膜油脂层最大、平均、最小ICU图谱；（要求提供产品彩页关键信息或产品制造商官网关键信息截图）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▲3、测量脂质层厚度范围为0-240+nm，显示脂质层厚度范围为0-100+nm；（要求提供产品彩页关键信息或产品制造商官网关键信息截图）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4、不完全眨眼测量为动态摄像后自动测量，避免了人为计数的干扰，其数值显示方式：不完全眨眼次数/总眨眼次数，存在不完全瞬目的人群干眼患病率更高，OSDI评分更高、NIBUT更低、睑板腺缺失率更高。（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5、干眼检测视频回放，泪膜涂布动态影像:良好的患者教育工具，通过动态视频的回放,让患者清楚看到自己睑板腺分泌油脂的水平和不完全眨眼次数，同时对照正常水平，使患者对自己病理状态有切身了解。增加患者做进一步治疗的依从性。（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6、PDF 格式及HL7兼容数据库系统报告储存格式，可外接 DVI 或HDMI视频接口输出图像，使用 HL7 数据传输协议传输电子病例。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7、摄像头亮度、摄像头饱和度以及摄像头对比度都是0-100 连续可调，下颌托支架上下高度可调，显示器枢臂位置180度可调。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8、具备触摸屏显示器，显示屏分辨率＞720P（1280X720P）。仪器操作系统可支持捕捉视频、预览捕捉的图像、重录视频。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 w:type="dxa"/>
            <w:vMerge w:val="continue"/>
            <w:vAlign w:val="center"/>
          </w:tcPr>
          <w:p>
            <w:pPr>
              <w:jc w:val="center"/>
              <w:rPr>
                <w:rFonts w:asciiTheme="minorEastAsia" w:hAnsiTheme="minorEastAsia" w:eastAsiaTheme="minorEastAsia" w:cstheme="minorEastAsia"/>
                <w:bCs/>
                <w:szCs w:val="21"/>
              </w:rPr>
            </w:pPr>
          </w:p>
        </w:tc>
        <w:tc>
          <w:tcPr>
            <w:tcW w:w="1016" w:type="dxa"/>
            <w:vMerge w:val="continue"/>
          </w:tcPr>
          <w:p>
            <w:pPr>
              <w:rPr>
                <w:rFonts w:asciiTheme="minorEastAsia" w:hAnsiTheme="minorEastAsia" w:eastAsiaTheme="minorEastAsia" w:cstheme="minorEastAsia"/>
                <w:bCs/>
                <w:szCs w:val="21"/>
              </w:rPr>
            </w:pPr>
          </w:p>
        </w:tc>
        <w:tc>
          <w:tcPr>
            <w:tcW w:w="6863"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、配备打印机和升价桌，可直接出具患者彩色诊断报告。</w:t>
            </w:r>
          </w:p>
        </w:tc>
      </w:tr>
    </w:tbl>
    <w:p>
      <w:pPr>
        <w:pStyle w:val="2"/>
        <w:spacing w:before="120" w:beforeLines="50" w:after="120" w:afterLines="50"/>
        <w:rPr>
          <w:sz w:val="28"/>
          <w:szCs w:val="28"/>
        </w:rPr>
      </w:pPr>
      <w:r>
        <w:rPr>
          <w:rFonts w:hint="eastAsia"/>
          <w:sz w:val="28"/>
          <w:szCs w:val="28"/>
        </w:rPr>
        <w:t>五、商务需求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rPr>
          <w:sz w:val="28"/>
          <w:szCs w:val="28"/>
        </w:rPr>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04"/>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7" w:type="dxa"/>
            <w:vAlign w:val="center"/>
          </w:tcPr>
          <w:p>
            <w:pPr>
              <w:jc w:val="center"/>
              <w:rPr>
                <w:b/>
              </w:rPr>
            </w:pPr>
            <w:r>
              <w:rPr>
                <w:rFonts w:hint="eastAsia"/>
                <w:b/>
              </w:rPr>
              <w:t>序号</w:t>
            </w:r>
          </w:p>
        </w:tc>
        <w:tc>
          <w:tcPr>
            <w:tcW w:w="1504" w:type="dxa"/>
            <w:vAlign w:val="center"/>
          </w:tcPr>
          <w:p>
            <w:pPr>
              <w:jc w:val="center"/>
              <w:rPr>
                <w:b/>
              </w:rPr>
            </w:pPr>
            <w:r>
              <w:rPr>
                <w:rFonts w:hint="eastAsia"/>
                <w:b/>
              </w:rPr>
              <w:t>目录</w:t>
            </w:r>
          </w:p>
        </w:tc>
        <w:tc>
          <w:tcPr>
            <w:tcW w:w="6539"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7" w:type="dxa"/>
            <w:vMerge w:val="restart"/>
            <w:vAlign w:val="center"/>
          </w:tcPr>
          <w:p>
            <w:pPr>
              <w:jc w:val="center"/>
              <w:rPr>
                <w:bCs/>
              </w:rPr>
            </w:pPr>
            <w:r>
              <w:rPr>
                <w:rFonts w:hint="eastAsia"/>
                <w:bCs/>
              </w:rPr>
              <w:t>1</w:t>
            </w:r>
          </w:p>
        </w:tc>
        <w:tc>
          <w:tcPr>
            <w:tcW w:w="1504" w:type="dxa"/>
            <w:vMerge w:val="restart"/>
          </w:tcPr>
          <w:p>
            <w:r>
              <w:rPr>
                <w:rFonts w:hint="eastAsia"/>
              </w:rPr>
              <w:t>维修响应及维护服务</w:t>
            </w:r>
          </w:p>
        </w:tc>
        <w:tc>
          <w:tcPr>
            <w:tcW w:w="6539" w:type="dxa"/>
          </w:tcPr>
          <w:p>
            <w:pPr>
              <w:rPr>
                <w:bCs/>
              </w:rPr>
            </w:pPr>
            <w:r>
              <w:rPr>
                <w:rFonts w:hint="eastAsia"/>
                <w:bCs/>
              </w:rPr>
              <w:t>1.1 各投标人应在投标文件中列明各主机、配件和易耗品的保 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7" w:type="dxa"/>
            <w:vMerge w:val="continue"/>
            <w:vAlign w:val="center"/>
          </w:tcPr>
          <w:p>
            <w:pPr>
              <w:jc w:val="center"/>
              <w:rPr>
                <w:bCs/>
              </w:rPr>
            </w:pPr>
          </w:p>
        </w:tc>
        <w:tc>
          <w:tcPr>
            <w:tcW w:w="1504" w:type="dxa"/>
            <w:vMerge w:val="continue"/>
          </w:tcPr>
          <w:p/>
        </w:tc>
        <w:tc>
          <w:tcPr>
            <w:tcW w:w="6539" w:type="dxa"/>
          </w:tcPr>
          <w:p>
            <w:pPr>
              <w:rPr>
                <w:bCs/>
                <w:szCs w:val="21"/>
              </w:rPr>
            </w:pPr>
            <w:r>
              <w:rPr>
                <w:rFonts w:hint="eastAsia"/>
                <w:bCs/>
                <w:szCs w:val="21"/>
              </w:rPr>
              <w:t>★1.2</w:t>
            </w:r>
            <w:r>
              <w:rPr>
                <w:rFonts w:hint="eastAsia"/>
                <w:bCs/>
              </w:rPr>
              <w:t>承诺提供整机免费保修期不少于</w:t>
            </w:r>
            <w:r>
              <w:rPr>
                <w:rFonts w:hint="eastAsia"/>
                <w:bCs/>
                <w:color w:val="FF0000"/>
                <w:u w:val="single"/>
              </w:rPr>
              <w:t xml:space="preserve"> 2 </w:t>
            </w:r>
            <w:r>
              <w:rPr>
                <w:rFonts w:hint="eastAsia"/>
                <w:bCs/>
                <w:color w:val="FF0000"/>
              </w:rPr>
              <w:t>年</w:t>
            </w:r>
            <w:r>
              <w:rPr>
                <w:rFonts w:hint="eastAsia"/>
                <w:bCs/>
              </w:rPr>
              <w:t xml:space="preserve">，终身维修，保修期内,年度定期预防性维护保养次数应不少于 3 次。保修期内免费 更换零配件、免工时费。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7" w:type="dxa"/>
            <w:vMerge w:val="continue"/>
            <w:vAlign w:val="center"/>
          </w:tcPr>
          <w:p>
            <w:pPr>
              <w:jc w:val="center"/>
              <w:rPr>
                <w:bCs/>
              </w:rPr>
            </w:pPr>
          </w:p>
        </w:tc>
        <w:tc>
          <w:tcPr>
            <w:tcW w:w="1504" w:type="dxa"/>
            <w:vMerge w:val="continue"/>
          </w:tcPr>
          <w:p/>
        </w:tc>
        <w:tc>
          <w:tcPr>
            <w:tcW w:w="6539"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7" w:type="dxa"/>
            <w:vMerge w:val="continue"/>
            <w:vAlign w:val="center"/>
          </w:tcPr>
          <w:p>
            <w:pPr>
              <w:jc w:val="center"/>
              <w:rPr>
                <w:bCs/>
              </w:rPr>
            </w:pPr>
          </w:p>
        </w:tc>
        <w:tc>
          <w:tcPr>
            <w:tcW w:w="1504" w:type="dxa"/>
            <w:vMerge w:val="continue"/>
          </w:tcPr>
          <w:p/>
        </w:tc>
        <w:tc>
          <w:tcPr>
            <w:tcW w:w="6539"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7" w:type="dxa"/>
            <w:vMerge w:val="continue"/>
            <w:vAlign w:val="center"/>
          </w:tcPr>
          <w:p>
            <w:pPr>
              <w:jc w:val="center"/>
              <w:rPr>
                <w:bCs/>
              </w:rPr>
            </w:pPr>
          </w:p>
        </w:tc>
        <w:tc>
          <w:tcPr>
            <w:tcW w:w="1504" w:type="dxa"/>
            <w:vMerge w:val="continue"/>
          </w:tcPr>
          <w:p/>
        </w:tc>
        <w:tc>
          <w:tcPr>
            <w:tcW w:w="6539" w:type="dxa"/>
          </w:tcPr>
          <w:p>
            <w:pPr>
              <w:rPr>
                <w:rFonts w:hint="default" w:eastAsia="宋体"/>
                <w:bCs/>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77" w:type="dxa"/>
            <w:vAlign w:val="center"/>
          </w:tcPr>
          <w:p>
            <w:pPr>
              <w:jc w:val="center"/>
              <w:rPr>
                <w:b/>
              </w:rPr>
            </w:pPr>
            <w:r>
              <w:rPr>
                <w:rFonts w:hint="eastAsia"/>
                <w:b/>
              </w:rPr>
              <w:t>2</w:t>
            </w:r>
          </w:p>
        </w:tc>
        <w:tc>
          <w:tcPr>
            <w:tcW w:w="1504" w:type="dxa"/>
            <w:vAlign w:val="center"/>
          </w:tcPr>
          <w:p>
            <w:r>
              <w:rPr>
                <w:rFonts w:hint="eastAsia"/>
                <w:szCs w:val="21"/>
              </w:rPr>
              <w:t>质量保证</w:t>
            </w:r>
          </w:p>
        </w:tc>
        <w:tc>
          <w:tcPr>
            <w:tcW w:w="6539"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77" w:type="dxa"/>
            <w:vAlign w:val="center"/>
          </w:tcPr>
          <w:p>
            <w:pPr>
              <w:jc w:val="center"/>
              <w:rPr>
                <w:bCs/>
              </w:rPr>
            </w:pPr>
            <w:r>
              <w:rPr>
                <w:rFonts w:hint="eastAsia"/>
                <w:bCs/>
              </w:rPr>
              <w:t>3</w:t>
            </w:r>
          </w:p>
        </w:tc>
        <w:tc>
          <w:tcPr>
            <w:tcW w:w="1504" w:type="dxa"/>
            <w:vAlign w:val="center"/>
          </w:tcPr>
          <w:p>
            <w:pPr>
              <w:rPr>
                <w:b/>
              </w:rPr>
            </w:pPr>
            <w:r>
              <w:rPr>
                <w:rFonts w:hint="eastAsia"/>
              </w:rPr>
              <w:t>其他</w:t>
            </w:r>
          </w:p>
        </w:tc>
        <w:tc>
          <w:tcPr>
            <w:tcW w:w="6539"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restart"/>
            <w:vAlign w:val="center"/>
          </w:tcPr>
          <w:p>
            <w:pPr>
              <w:jc w:val="center"/>
              <w:rPr>
                <w:bCs/>
              </w:rPr>
            </w:pPr>
            <w:r>
              <w:rPr>
                <w:rFonts w:hint="eastAsia"/>
                <w:bCs/>
              </w:rPr>
              <w:t>1</w:t>
            </w:r>
          </w:p>
        </w:tc>
        <w:tc>
          <w:tcPr>
            <w:tcW w:w="1504" w:type="dxa"/>
            <w:vMerge w:val="restart"/>
          </w:tcPr>
          <w:p>
            <w:pPr>
              <w:rPr>
                <w:b/>
              </w:rPr>
            </w:pPr>
            <w:r>
              <w:rPr>
                <w:rFonts w:hint="eastAsia" w:ascii="宋体" w:hAnsi="宋体"/>
                <w:b/>
                <w:kern w:val="0"/>
                <w:szCs w:val="21"/>
              </w:rPr>
              <w:t>维修零配件、消耗品和延续保修合同的报价</w:t>
            </w:r>
          </w:p>
        </w:tc>
        <w:tc>
          <w:tcPr>
            <w:tcW w:w="6539"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tcPr>
          <w:p>
            <w:pPr>
              <w:rPr>
                <w:b/>
              </w:rPr>
            </w:pPr>
          </w:p>
        </w:tc>
        <w:tc>
          <w:tcPr>
            <w:tcW w:w="6539"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tcPr>
          <w:p>
            <w:pPr>
              <w:rPr>
                <w:b/>
              </w:rPr>
            </w:pPr>
          </w:p>
        </w:tc>
        <w:tc>
          <w:tcPr>
            <w:tcW w:w="6539"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vAlign w:val="center"/>
          </w:tcPr>
          <w:p>
            <w:pPr>
              <w:jc w:val="center"/>
              <w:rPr>
                <w:bCs/>
              </w:rPr>
            </w:pPr>
          </w:p>
        </w:tc>
        <w:tc>
          <w:tcPr>
            <w:tcW w:w="1504" w:type="dxa"/>
            <w:vMerge w:val="continue"/>
          </w:tcPr>
          <w:p>
            <w:pPr>
              <w:rPr>
                <w:b/>
              </w:rPr>
            </w:pPr>
          </w:p>
        </w:tc>
        <w:tc>
          <w:tcPr>
            <w:tcW w:w="6539"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tcPr>
          <w:p>
            <w:pPr>
              <w:rPr>
                <w:b/>
              </w:rPr>
            </w:pPr>
          </w:p>
        </w:tc>
        <w:tc>
          <w:tcPr>
            <w:tcW w:w="6539"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7" w:type="dxa"/>
            <w:vMerge w:val="restart"/>
            <w:vAlign w:val="center"/>
          </w:tcPr>
          <w:p>
            <w:pPr>
              <w:jc w:val="center"/>
              <w:rPr>
                <w:bCs/>
              </w:rPr>
            </w:pPr>
            <w:r>
              <w:rPr>
                <w:rFonts w:hint="eastAsia"/>
                <w:bCs/>
              </w:rPr>
              <w:t>1</w:t>
            </w:r>
          </w:p>
        </w:tc>
        <w:tc>
          <w:tcPr>
            <w:tcW w:w="1504" w:type="dxa"/>
            <w:vMerge w:val="restart"/>
            <w:vAlign w:val="center"/>
          </w:tcPr>
          <w:p>
            <w:r>
              <w:rPr>
                <w:rFonts w:hint="eastAsia"/>
              </w:rPr>
              <w:t>关于交货</w:t>
            </w:r>
          </w:p>
        </w:tc>
        <w:tc>
          <w:tcPr>
            <w:tcW w:w="6539"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7" w:type="dxa"/>
            <w:vMerge w:val="continue"/>
            <w:vAlign w:val="center"/>
          </w:tcPr>
          <w:p>
            <w:pPr>
              <w:jc w:val="center"/>
              <w:rPr>
                <w:bCs/>
              </w:rPr>
            </w:pPr>
            <w:r>
              <w:rPr>
                <w:rFonts w:hint="eastAsia"/>
                <w:bCs/>
              </w:rPr>
              <w:t>+</w:t>
            </w:r>
          </w:p>
        </w:tc>
        <w:tc>
          <w:tcPr>
            <w:tcW w:w="1504" w:type="dxa"/>
            <w:vMerge w:val="continue"/>
            <w:vAlign w:val="center"/>
          </w:tcPr>
          <w:p>
            <w:pPr>
              <w:jc w:val="center"/>
            </w:pPr>
          </w:p>
        </w:tc>
        <w:tc>
          <w:tcPr>
            <w:tcW w:w="6539"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restart"/>
            <w:vAlign w:val="center"/>
          </w:tcPr>
          <w:p>
            <w:pPr>
              <w:jc w:val="center"/>
              <w:rPr>
                <w:bCs/>
              </w:rPr>
            </w:pPr>
            <w:r>
              <w:rPr>
                <w:rFonts w:hint="eastAsia"/>
                <w:bCs/>
              </w:rPr>
              <w:t>2</w:t>
            </w:r>
          </w:p>
        </w:tc>
        <w:tc>
          <w:tcPr>
            <w:tcW w:w="1504" w:type="dxa"/>
            <w:vMerge w:val="restart"/>
            <w:vAlign w:val="center"/>
          </w:tcPr>
          <w:p>
            <w:r>
              <w:rPr>
                <w:rFonts w:hint="eastAsia"/>
              </w:rPr>
              <w:t>运输、安装调试及验收</w:t>
            </w:r>
          </w:p>
        </w:tc>
        <w:tc>
          <w:tcPr>
            <w:tcW w:w="6539"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
              </w:rPr>
            </w:pPr>
          </w:p>
        </w:tc>
        <w:tc>
          <w:tcPr>
            <w:tcW w:w="1504" w:type="dxa"/>
            <w:vMerge w:val="continue"/>
          </w:tcPr>
          <w:p>
            <w:pPr>
              <w:rPr>
                <w:b/>
              </w:rPr>
            </w:pPr>
          </w:p>
        </w:tc>
        <w:tc>
          <w:tcPr>
            <w:tcW w:w="6539"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
              </w:rPr>
            </w:pPr>
          </w:p>
        </w:tc>
        <w:tc>
          <w:tcPr>
            <w:tcW w:w="1504" w:type="dxa"/>
            <w:vMerge w:val="continue"/>
          </w:tcPr>
          <w:p>
            <w:pPr>
              <w:rPr>
                <w:b/>
              </w:rPr>
            </w:pPr>
          </w:p>
        </w:tc>
        <w:tc>
          <w:tcPr>
            <w:tcW w:w="6539"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
              </w:rPr>
            </w:pPr>
          </w:p>
        </w:tc>
        <w:tc>
          <w:tcPr>
            <w:tcW w:w="1504" w:type="dxa"/>
            <w:vMerge w:val="continue"/>
          </w:tcPr>
          <w:p>
            <w:pPr>
              <w:rPr>
                <w:b/>
              </w:rPr>
            </w:pPr>
          </w:p>
        </w:tc>
        <w:tc>
          <w:tcPr>
            <w:tcW w:w="6539"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restart"/>
            <w:vAlign w:val="center"/>
          </w:tcPr>
          <w:p>
            <w:pPr>
              <w:jc w:val="center"/>
              <w:rPr>
                <w:bCs/>
              </w:rPr>
            </w:pPr>
            <w:r>
              <w:rPr>
                <w:rFonts w:hint="eastAsia"/>
                <w:bCs/>
              </w:rPr>
              <w:t>3</w:t>
            </w:r>
          </w:p>
        </w:tc>
        <w:tc>
          <w:tcPr>
            <w:tcW w:w="1504" w:type="dxa"/>
            <w:vMerge w:val="restart"/>
            <w:vAlign w:val="center"/>
          </w:tcPr>
          <w:p>
            <w:pPr>
              <w:jc w:val="center"/>
            </w:pPr>
            <w:r>
              <w:rPr>
                <w:rFonts w:hint="eastAsia"/>
              </w:rPr>
              <w:t>关于违约</w:t>
            </w:r>
          </w:p>
        </w:tc>
        <w:tc>
          <w:tcPr>
            <w:tcW w:w="6539"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bCs/>
              </w:rPr>
            </w:pPr>
            <w:r>
              <w:rPr>
                <w:rFonts w:hint="eastAsia"/>
                <w:bCs/>
              </w:rPr>
              <w:t>3.6中标人逾期交货的，将被没收履约保证金并按主管部门相关规定处理。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jc w:val="center"/>
              <w:rPr>
                <w:bCs/>
              </w:rPr>
            </w:pPr>
          </w:p>
        </w:tc>
        <w:tc>
          <w:tcPr>
            <w:tcW w:w="1504" w:type="dxa"/>
            <w:vMerge w:val="continue"/>
            <w:vAlign w:val="center"/>
          </w:tcPr>
          <w:p>
            <w:pPr>
              <w:jc w:val="center"/>
            </w:pPr>
          </w:p>
        </w:tc>
        <w:tc>
          <w:tcPr>
            <w:tcW w:w="6539"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Align w:val="center"/>
          </w:tcPr>
          <w:p>
            <w:pPr>
              <w:jc w:val="center"/>
              <w:rPr>
                <w:bCs/>
              </w:rPr>
            </w:pPr>
            <w:r>
              <w:rPr>
                <w:rFonts w:hint="eastAsia"/>
                <w:bCs/>
              </w:rPr>
              <w:t>4</w:t>
            </w:r>
          </w:p>
        </w:tc>
        <w:tc>
          <w:tcPr>
            <w:tcW w:w="1504" w:type="dxa"/>
            <w:vAlign w:val="center"/>
          </w:tcPr>
          <w:p>
            <w:pPr>
              <w:jc w:val="center"/>
            </w:pPr>
            <w:r>
              <w:rPr>
                <w:rFonts w:hint="eastAsia"/>
              </w:rPr>
              <w:t>关于付款</w:t>
            </w:r>
          </w:p>
        </w:tc>
        <w:tc>
          <w:tcPr>
            <w:tcW w:w="6539"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Align w:val="center"/>
          </w:tcPr>
          <w:p>
            <w:pPr>
              <w:jc w:val="center"/>
              <w:rPr>
                <w:bCs/>
              </w:rPr>
            </w:pPr>
            <w:r>
              <w:rPr>
                <w:rFonts w:hint="eastAsia"/>
                <w:bCs/>
              </w:rPr>
              <w:t>5</w:t>
            </w:r>
          </w:p>
        </w:tc>
        <w:tc>
          <w:tcPr>
            <w:tcW w:w="1504" w:type="dxa"/>
            <w:vAlign w:val="center"/>
          </w:tcPr>
          <w:p>
            <w:pPr>
              <w:jc w:val="center"/>
            </w:pPr>
            <w:r>
              <w:rPr>
                <w:rFonts w:hint="eastAsia"/>
              </w:rPr>
              <w:t>报价要求</w:t>
            </w:r>
          </w:p>
        </w:tc>
        <w:tc>
          <w:tcPr>
            <w:tcW w:w="6539"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restart"/>
            <w:vAlign w:val="center"/>
          </w:tcPr>
          <w:p>
            <w:pPr>
              <w:jc w:val="center"/>
              <w:rPr>
                <w:b/>
                <w:color w:val="FF0000"/>
              </w:rPr>
            </w:pPr>
            <w:r>
              <w:rPr>
                <w:b/>
                <w:color w:val="FF0000"/>
              </w:rPr>
              <w:t>6</w:t>
            </w:r>
          </w:p>
        </w:tc>
        <w:tc>
          <w:tcPr>
            <w:tcW w:w="1504" w:type="dxa"/>
            <w:vMerge w:val="restart"/>
            <w:vAlign w:val="center"/>
          </w:tcPr>
          <w:p>
            <w:pPr>
              <w:jc w:val="center"/>
              <w:rPr>
                <w:b/>
                <w:color w:val="FF0000"/>
              </w:rPr>
            </w:pPr>
            <w:r>
              <w:rPr>
                <w:rFonts w:hint="eastAsia"/>
                <w:b/>
                <w:color w:val="FF0000"/>
              </w:rPr>
              <w:t>项目（产品）要求</w:t>
            </w:r>
          </w:p>
        </w:tc>
        <w:tc>
          <w:tcPr>
            <w:tcW w:w="6539"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77" w:type="dxa"/>
            <w:vMerge w:val="continue"/>
            <w:vAlign w:val="center"/>
          </w:tcPr>
          <w:p>
            <w:pPr>
              <w:rPr>
                <w:b/>
                <w:color w:val="FF0000"/>
              </w:rPr>
            </w:pPr>
          </w:p>
        </w:tc>
        <w:tc>
          <w:tcPr>
            <w:tcW w:w="1504" w:type="dxa"/>
            <w:vMerge w:val="continue"/>
          </w:tcPr>
          <w:p>
            <w:pPr>
              <w:rPr>
                <w:b/>
                <w:color w:val="FF0000"/>
              </w:rPr>
            </w:pPr>
          </w:p>
        </w:tc>
        <w:tc>
          <w:tcPr>
            <w:tcW w:w="6539"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pPr>
        <w:pStyle w:val="2"/>
        <w:spacing w:before="120" w:beforeLines="50" w:after="120" w:afterLines="50"/>
        <w:rPr>
          <w:sz w:val="28"/>
          <w:szCs w:val="28"/>
        </w:rPr>
      </w:pPr>
      <w:r>
        <w:rPr>
          <w:rFonts w:hint="eastAsia"/>
          <w:sz w:val="28"/>
          <w:szCs w:val="28"/>
        </w:rPr>
        <w:t>六、政策导向</w:t>
      </w:r>
    </w:p>
    <w:p>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pPr>
        <w:ind w:firstLine="405"/>
        <w:rPr>
          <w:rFonts w:ascii="宋体" w:hAnsi="宋体"/>
        </w:rPr>
      </w:pPr>
    </w:p>
    <w:p>
      <w:pPr>
        <w:pStyle w:val="2"/>
        <w:spacing w:before="120" w:beforeLines="50" w:after="120" w:afterLines="50"/>
        <w:rPr>
          <w:sz w:val="28"/>
          <w:szCs w:val="28"/>
        </w:rPr>
      </w:pPr>
      <w:r>
        <w:rPr>
          <w:rFonts w:hint="eastAsia"/>
          <w:sz w:val="28"/>
          <w:szCs w:val="28"/>
        </w:rPr>
        <w:t>七、暗标要求</w:t>
      </w:r>
    </w:p>
    <w:p>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pPr>
        <w:rPr>
          <w:b/>
        </w:rPr>
      </w:pPr>
    </w:p>
    <w:p>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pPr>
        <w:ind w:firstLine="405"/>
        <w:rPr>
          <w:rFonts w:ascii="宋体" w:hAnsi="宋体"/>
        </w:rPr>
      </w:pPr>
    </w:p>
    <w:p>
      <w:pPr>
        <w:pStyle w:val="2"/>
        <w:rPr>
          <w:kern w:val="2"/>
        </w:rPr>
      </w:pPr>
      <w:r>
        <w:rPr>
          <w:rFonts w:hint="eastAsia"/>
          <w:kern w:val="2"/>
        </w:rPr>
        <w:t>第三章 投标文件格式、附件</w:t>
      </w:r>
    </w:p>
    <w:p>
      <w:pPr>
        <w:rPr>
          <w:rStyle w:val="58"/>
          <w:sz w:val="24"/>
        </w:rPr>
      </w:pPr>
      <w:r>
        <w:rPr>
          <w:rStyle w:val="58"/>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2" w:firstLineChars="200"/>
        <w:rPr>
          <w:rFonts w:ascii="宋体" w:hAnsi="宋体"/>
          <w:b/>
          <w:sz w:val="24"/>
        </w:rPr>
      </w:pPr>
    </w:p>
    <w:p>
      <w:pPr>
        <w:rPr>
          <w:rFonts w:ascii="仿宋_GB2312" w:eastAsia="仿宋_GB2312"/>
          <w:sz w:val="24"/>
        </w:rPr>
      </w:pPr>
    </w:p>
    <w:p>
      <w:pPr>
        <w:rPr>
          <w:rFonts w:ascii="黑体" w:eastAsia="黑体"/>
          <w:bCs/>
          <w:sz w:val="28"/>
          <w:szCs w:val="28"/>
        </w:rPr>
      </w:pPr>
      <w:r>
        <w:rPr>
          <w:rStyle w:val="58"/>
          <w:rFonts w:hint="eastAsia"/>
          <w:sz w:val="28"/>
          <w:szCs w:val="28"/>
        </w:rPr>
        <w:t>投标文件组成：</w:t>
      </w:r>
    </w:p>
    <w:p>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pPr>
        <w:ind w:left="718" w:leftChars="342" w:firstLine="1417" w:firstLineChars="675"/>
        <w:rPr>
          <w:szCs w:val="21"/>
        </w:rPr>
      </w:pP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szCs w:val="21"/>
        </w:rPr>
      </w:pPr>
      <w:r>
        <w:rPr>
          <w:rFonts w:hint="eastAsia"/>
          <w:szCs w:val="21"/>
        </w:rPr>
        <w:t>（</w:t>
      </w:r>
      <w:r>
        <w:rPr>
          <w:szCs w:val="21"/>
        </w:rPr>
        <w:t>6</w:t>
      </w:r>
      <w:r>
        <w:rPr>
          <w:rFonts w:hint="eastAsia"/>
          <w:szCs w:val="21"/>
        </w:rPr>
        <w:t>）项目实施方案</w:t>
      </w:r>
    </w:p>
    <w:p>
      <w:pPr>
        <w:ind w:left="718" w:leftChars="342" w:firstLine="1417" w:firstLineChars="675"/>
        <w:rPr>
          <w:szCs w:val="21"/>
        </w:rPr>
      </w:pPr>
      <w:r>
        <w:rPr>
          <w:rFonts w:hint="eastAsia"/>
          <w:szCs w:val="21"/>
        </w:rPr>
        <w:t>（7）投标人认为需要加以说明的其他内容</w:t>
      </w:r>
    </w:p>
    <w:bookmarkEnd w:id="30"/>
    <w:p>
      <w:pPr>
        <w:ind w:firstLine="426" w:firstLineChars="202"/>
        <w:rPr>
          <w:rFonts w:ascii="宋体" w:hAnsi="宋体"/>
          <w:b/>
          <w:szCs w:val="21"/>
        </w:rPr>
      </w:pPr>
      <w:bookmarkStart w:id="34" w:name="_Hlk72257771"/>
      <w:r>
        <w:rPr>
          <w:rFonts w:hint="eastAsia" w:ascii="宋体" w:hAnsi="宋体"/>
          <w:b/>
          <w:szCs w:val="21"/>
        </w:rPr>
        <w:t>备注：</w:t>
      </w:r>
    </w:p>
    <w:p>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      年   月   日</w:t>
      </w:r>
    </w:p>
    <w:p>
      <w:pPr>
        <w:rPr>
          <w:rFonts w:ascii="黑体" w:hAnsi="宋体" w:eastAsia="黑体"/>
        </w:rPr>
      </w:pPr>
    </w:p>
    <w:bookmarkEnd w:id="36"/>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ind w:firstLine="5460" w:firstLineChars="2600"/>
        <w:rPr>
          <w:color w:val="FF0000"/>
        </w:rPr>
      </w:pPr>
      <w:r>
        <w:rPr>
          <w:rFonts w:hint="eastAsia"/>
          <w:color w:val="FF0000"/>
          <w:szCs w:val="21"/>
        </w:rPr>
        <w:t>投标人：</w:t>
      </w:r>
    </w:p>
    <w:p>
      <w:pPr>
        <w:ind w:firstLine="645"/>
        <w:rPr>
          <w:rFonts w:ascii="宋体" w:hAnsi="宋体"/>
          <w:color w:val="FF0000"/>
          <w:szCs w:val="21"/>
        </w:rPr>
      </w:pPr>
      <w:r>
        <w:rPr>
          <w:rFonts w:hint="eastAsia" w:ascii="宋体" w:hAnsi="宋体"/>
          <w:color w:val="FF0000"/>
          <w:szCs w:val="21"/>
        </w:rPr>
        <w:t xml:space="preserve">                                              日期：     年   月   日</w:t>
      </w:r>
    </w:p>
    <w:bookmarkEnd w:id="40"/>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43" w:name="_Hlk72257590"/>
      <w:bookmarkStart w:id="44" w:name="_Hlk72257908"/>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3"/>
    <w:p>
      <w:pPr>
        <w:spacing w:before="120" w:beforeLines="50"/>
        <w:ind w:firstLine="422" w:firstLineChars="200"/>
        <w:rPr>
          <w:b/>
          <w:bCs/>
          <w:color w:val="FF0000"/>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（二）中小企业声明函、残疾人福利性单位声明函及监狱企业声明函（可选）</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 xml:space="preserve">中小企业声明函（货物）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jc w:val="center"/>
        <w:outlineLvl w:val="3"/>
        <w:rPr>
          <w:b/>
          <w:sz w:val="24"/>
        </w:rPr>
      </w:pPr>
    </w:p>
    <w:p>
      <w:pPr>
        <w:jc w:val="center"/>
        <w:outlineLvl w:val="3"/>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pPr>
        <w:rPr>
          <w:b/>
          <w:bCs/>
          <w:color w:val="FF0000"/>
          <w:sz w:val="24"/>
        </w:rPr>
      </w:pPr>
    </w:p>
    <w:p>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pPr>
        <w:numPr>
          <w:ilvl w:val="0"/>
          <w:numId w:val="9"/>
        </w:numPr>
        <w:spacing w:after="120"/>
        <w:ind w:left="420" w:firstLine="420" w:firstLineChars="200"/>
      </w:pPr>
      <w:r>
        <w:rPr>
          <w:rFonts w:hint="eastAsia"/>
        </w:rPr>
        <w:t>本联合体对上述声明的真实性负责。如有虚假，将依法承担相应责任。</w:t>
      </w:r>
      <w:r>
        <w:t xml:space="preserve"> </w:t>
      </w:r>
    </w:p>
    <w:p>
      <w:pPr>
        <w:spacing w:after="120"/>
      </w:pPr>
    </w:p>
    <w:p>
      <w:pPr>
        <w:spacing w:after="120"/>
      </w:pPr>
      <w:r>
        <w:rPr>
          <w:rFonts w:hint="eastAsia"/>
        </w:rPr>
        <w:t>企业名称：</w:t>
      </w:r>
      <w:r>
        <w:t xml:space="preserve">                      </w:t>
      </w:r>
      <w:r>
        <w:rPr>
          <w:rFonts w:hint="eastAsia"/>
        </w:rPr>
        <w:t>企业名称：</w:t>
      </w:r>
      <w:r>
        <w:t xml:space="preserve"> </w:t>
      </w:r>
    </w:p>
    <w:p>
      <w:r>
        <w:rPr>
          <w:rFonts w:hint="eastAsia"/>
        </w:rPr>
        <w:t>日</w:t>
      </w:r>
      <w:r>
        <w:t xml:space="preserve"> </w:t>
      </w:r>
      <w:r>
        <w:rPr>
          <w:rFonts w:hint="eastAsia"/>
        </w:rPr>
        <w:t>期：</w:t>
      </w:r>
      <w:r>
        <w:t xml:space="preserve">                          </w:t>
      </w:r>
      <w:r>
        <w:rPr>
          <w:rFonts w:hint="eastAsia"/>
        </w:rPr>
        <w:t>日期：</w:t>
      </w:r>
      <w:r>
        <w:t xml:space="preserve">  </w:t>
      </w:r>
    </w:p>
    <w:p>
      <w:pPr>
        <w:rPr>
          <w:b/>
          <w:bCs/>
          <w:color w:val="FF0000"/>
          <w:sz w:val="24"/>
        </w:rPr>
      </w:pPr>
    </w:p>
    <w:p>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63"/>
        <w:gridCol w:w="1359"/>
        <w:gridCol w:w="780"/>
        <w:gridCol w:w="680"/>
        <w:gridCol w:w="807"/>
        <w:gridCol w:w="513"/>
        <w:gridCol w:w="413"/>
        <w:gridCol w:w="634"/>
        <w:gridCol w:w="626"/>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426" w:type="dxa"/>
            <w:vAlign w:val="center"/>
          </w:tcPr>
          <w:p>
            <w:pPr>
              <w:jc w:val="center"/>
              <w:rPr>
                <w:bCs/>
                <w:szCs w:val="21"/>
              </w:rPr>
            </w:pPr>
            <w:r>
              <w:rPr>
                <w:rFonts w:hint="eastAsia"/>
                <w:bCs/>
                <w:szCs w:val="21"/>
              </w:rPr>
              <w:t>序号</w:t>
            </w:r>
          </w:p>
        </w:tc>
        <w:tc>
          <w:tcPr>
            <w:tcW w:w="1563" w:type="dxa"/>
            <w:vAlign w:val="center"/>
          </w:tcPr>
          <w:p>
            <w:pPr>
              <w:jc w:val="center"/>
              <w:rPr>
                <w:bCs/>
                <w:szCs w:val="21"/>
              </w:rPr>
            </w:pPr>
            <w:r>
              <w:rPr>
                <w:rFonts w:hint="eastAsia"/>
                <w:szCs w:val="21"/>
              </w:rPr>
              <w:t>采购计划编号</w:t>
            </w:r>
          </w:p>
        </w:tc>
        <w:tc>
          <w:tcPr>
            <w:tcW w:w="1359"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b/>
                <w:color w:val="FF0000"/>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634" w:type="dxa"/>
            <w:vAlign w:val="center"/>
          </w:tcPr>
          <w:p>
            <w:pPr>
              <w:jc w:val="center"/>
              <w:rPr>
                <w:bCs/>
                <w:szCs w:val="21"/>
              </w:rPr>
            </w:pPr>
            <w:r>
              <w:rPr>
                <w:rFonts w:hint="eastAsia"/>
                <w:szCs w:val="21"/>
              </w:rPr>
              <w:t>单价(元)</w:t>
            </w:r>
          </w:p>
        </w:tc>
        <w:tc>
          <w:tcPr>
            <w:tcW w:w="626" w:type="dxa"/>
            <w:vAlign w:val="center"/>
          </w:tcPr>
          <w:p>
            <w:pPr>
              <w:jc w:val="center"/>
              <w:rPr>
                <w:bCs/>
                <w:szCs w:val="21"/>
              </w:rPr>
            </w:pPr>
            <w:r>
              <w:rPr>
                <w:rFonts w:hint="eastAsia"/>
                <w:szCs w:val="21"/>
              </w:rPr>
              <w:t>合价(元)</w:t>
            </w:r>
          </w:p>
        </w:tc>
        <w:tc>
          <w:tcPr>
            <w:tcW w:w="1019" w:type="dxa"/>
            <w:vAlign w:val="center"/>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jc w:val="center"/>
              <w:rPr>
                <w:bCs/>
                <w:szCs w:val="21"/>
              </w:rPr>
            </w:pPr>
            <w:r>
              <w:rPr>
                <w:rFonts w:hint="eastAsia"/>
                <w:bCs/>
                <w:szCs w:val="21"/>
              </w:rPr>
              <w:t>1</w:t>
            </w:r>
          </w:p>
        </w:tc>
        <w:tc>
          <w:tcPr>
            <w:tcW w:w="156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PLAN-2021-440301-0102018021-01125</w:t>
            </w:r>
          </w:p>
        </w:tc>
        <w:tc>
          <w:tcPr>
            <w:tcW w:w="1359"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睑板腺功能障碍检测仪</w:t>
            </w:r>
          </w:p>
        </w:tc>
        <w:tc>
          <w:tcPr>
            <w:tcW w:w="780" w:type="dxa"/>
            <w:vAlign w:val="center"/>
          </w:tcPr>
          <w:p>
            <w:pPr>
              <w:jc w:val="center"/>
              <w:rPr>
                <w:bCs/>
                <w:szCs w:val="21"/>
              </w:rPr>
            </w:pPr>
          </w:p>
        </w:tc>
        <w:tc>
          <w:tcPr>
            <w:tcW w:w="680" w:type="dxa"/>
            <w:vAlign w:val="center"/>
          </w:tcPr>
          <w:p>
            <w:pPr>
              <w:jc w:val="center"/>
              <w:rPr>
                <w:bCs/>
                <w:szCs w:val="21"/>
              </w:rPr>
            </w:pPr>
          </w:p>
        </w:tc>
        <w:tc>
          <w:tcPr>
            <w:tcW w:w="807" w:type="dxa"/>
            <w:vAlign w:val="center"/>
          </w:tcPr>
          <w:p>
            <w:pPr>
              <w:jc w:val="center"/>
              <w:rPr>
                <w:bCs/>
                <w:szCs w:val="21"/>
              </w:rPr>
            </w:pPr>
          </w:p>
        </w:tc>
        <w:tc>
          <w:tcPr>
            <w:tcW w:w="51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1</w:t>
            </w:r>
          </w:p>
        </w:tc>
        <w:tc>
          <w:tcPr>
            <w:tcW w:w="41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1019" w:type="dxa"/>
            <w:vAlign w:val="top"/>
          </w:tcPr>
          <w:p>
            <w:pPr>
              <w:rPr>
                <w:rFonts w:hint="eastAsia" w:ascii="Times New Roman" w:hAnsi="Times New Roman" w:eastAsia="宋体" w:cs="Times New Roman"/>
                <w:bCs/>
                <w:kern w:val="2"/>
                <w:sz w:val="21"/>
                <w:szCs w:val="21"/>
                <w:lang w:val="en-US" w:eastAsia="zh-CN" w:bidi="ar-SA"/>
              </w:rPr>
            </w:pPr>
            <w:r>
              <w:rPr>
                <w:rFonts w:hint="eastAsia"/>
              </w:rPr>
              <w:t>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0" w:type="dxa"/>
            <w:gridSpan w:val="11"/>
          </w:tcPr>
          <w:p>
            <w:pPr>
              <w:rPr>
                <w:bCs/>
                <w:szCs w:val="21"/>
              </w:rPr>
            </w:pPr>
            <w:r>
              <w:rPr>
                <w:rFonts w:hint="eastAsia"/>
                <w:bCs/>
                <w:szCs w:val="21"/>
              </w:rPr>
              <w:t xml:space="preserve">合计（即投标总价；币种：人民币；单位：元） 小写：          大写：          </w:t>
            </w: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kern w:val="0"/>
          <w:szCs w:val="21"/>
        </w:rPr>
      </w:pPr>
      <w:r>
        <w:rPr>
          <w:rFonts w:hint="eastAsia" w:ascii="宋体" w:hAnsi="宋体"/>
          <w:sz w:val="24"/>
        </w:rPr>
        <w:t>备注：招标文件未列明核心产品的，无需填写该项。</w:t>
      </w:r>
    </w:p>
    <w:p>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b/>
          <w:bCs/>
          <w:szCs w:val="21"/>
          <w:u w:val="single"/>
        </w:rPr>
        <w:t>单一产品采购项目，不设置核心产品。</w:t>
      </w:r>
      <w:r>
        <w:rPr>
          <w:rFonts w:hint="eastAsia"/>
          <w:b/>
          <w:bCs/>
          <w:szCs w:val="21"/>
          <w:u w:val="single"/>
        </w:rPr>
        <w:tab/>
      </w:r>
      <w:r>
        <w:rPr>
          <w:rFonts w:hint="eastAsia"/>
          <w:b/>
          <w:bCs/>
          <w:szCs w:val="21"/>
          <w:u w:val="single"/>
        </w:rPr>
        <w:tab/>
      </w:r>
      <w:r>
        <w:rPr>
          <w:rFonts w:hint="eastAsia"/>
          <w:b/>
          <w:bCs/>
          <w:szCs w:val="21"/>
          <w:u w:val="single"/>
        </w:rPr>
        <w:tab/>
      </w:r>
    </w:p>
    <w:p>
      <w:pPr>
        <w:rPr>
          <w:b/>
          <w:sz w:val="24"/>
        </w:rPr>
      </w:pPr>
    </w:p>
    <w:p>
      <w:pPr>
        <w:ind w:firstLine="482" w:firstLineChars="200"/>
        <w:rPr>
          <w:rFonts w:hAnsi="宋体"/>
          <w:b/>
          <w:bCs/>
          <w:sz w:val="24"/>
        </w:rPr>
      </w:pPr>
      <w:r>
        <w:rPr>
          <w:rFonts w:hint="eastAsia" w:hAnsi="宋体"/>
          <w:b/>
          <w:bCs/>
          <w:sz w:val="24"/>
        </w:rPr>
        <w:t>（三）零配件、消耗品和延续保修合同报价清单（不包括在投标总价内）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序号</w:t>
            </w:r>
          </w:p>
        </w:tc>
        <w:tc>
          <w:tcPr>
            <w:tcW w:w="1228" w:type="dxa"/>
            <w:vAlign w:val="center"/>
          </w:tcPr>
          <w:p>
            <w:pPr>
              <w:jc w:val="center"/>
              <w:rPr>
                <w:szCs w:val="21"/>
              </w:rPr>
            </w:pPr>
            <w:r>
              <w:rPr>
                <w:rFonts w:hint="eastAsia"/>
                <w:szCs w:val="21"/>
              </w:rPr>
              <w:t>货物名称</w:t>
            </w:r>
          </w:p>
        </w:tc>
        <w:tc>
          <w:tcPr>
            <w:tcW w:w="1694" w:type="dxa"/>
            <w:vAlign w:val="center"/>
          </w:tcPr>
          <w:p>
            <w:pPr>
              <w:jc w:val="center"/>
              <w:rPr>
                <w:szCs w:val="21"/>
              </w:rPr>
            </w:pPr>
            <w:r>
              <w:rPr>
                <w:rFonts w:hint="eastAsia"/>
                <w:szCs w:val="21"/>
              </w:rPr>
              <w:t>规格/型号</w:t>
            </w:r>
          </w:p>
        </w:tc>
        <w:tc>
          <w:tcPr>
            <w:tcW w:w="900" w:type="dxa"/>
            <w:vAlign w:val="center"/>
          </w:tcPr>
          <w:p>
            <w:pPr>
              <w:jc w:val="center"/>
              <w:rPr>
                <w:szCs w:val="21"/>
              </w:rPr>
            </w:pPr>
            <w:r>
              <w:rPr>
                <w:rFonts w:hint="eastAsia"/>
                <w:szCs w:val="21"/>
              </w:rPr>
              <w:t>原产地</w:t>
            </w:r>
          </w:p>
        </w:tc>
        <w:tc>
          <w:tcPr>
            <w:tcW w:w="1401" w:type="dxa"/>
            <w:vAlign w:val="center"/>
          </w:tcPr>
          <w:p>
            <w:pPr>
              <w:jc w:val="center"/>
              <w:rPr>
                <w:szCs w:val="21"/>
              </w:rPr>
            </w:pPr>
            <w:r>
              <w:rPr>
                <w:rFonts w:hint="eastAsia"/>
                <w:szCs w:val="21"/>
              </w:rPr>
              <w:t>制造商名称</w:t>
            </w:r>
          </w:p>
        </w:tc>
        <w:tc>
          <w:tcPr>
            <w:tcW w:w="709"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1</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2</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bl>
    <w:p>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szCs w:val="21"/>
              </w:rPr>
            </w:pPr>
            <w:r>
              <w:rPr>
                <w:rFonts w:hint="eastAsia"/>
                <w:szCs w:val="21"/>
              </w:rPr>
              <w:t>序号</w:t>
            </w:r>
          </w:p>
        </w:tc>
        <w:tc>
          <w:tcPr>
            <w:tcW w:w="2262" w:type="dxa"/>
          </w:tcPr>
          <w:p>
            <w:pPr>
              <w:jc w:val="center"/>
              <w:rPr>
                <w:szCs w:val="21"/>
              </w:rPr>
            </w:pPr>
            <w:r>
              <w:rPr>
                <w:rFonts w:hint="eastAsia"/>
                <w:szCs w:val="21"/>
              </w:rPr>
              <w:t>服务名称</w:t>
            </w:r>
          </w:p>
        </w:tc>
        <w:tc>
          <w:tcPr>
            <w:tcW w:w="2604" w:type="dxa"/>
          </w:tcPr>
          <w:p>
            <w:pPr>
              <w:jc w:val="center"/>
              <w:rPr>
                <w:szCs w:val="21"/>
              </w:rPr>
            </w:pPr>
            <w:r>
              <w:rPr>
                <w:rFonts w:hint="eastAsia"/>
                <w:szCs w:val="21"/>
              </w:rPr>
              <w:t>服务内容</w:t>
            </w:r>
          </w:p>
        </w:tc>
        <w:tc>
          <w:tcPr>
            <w:tcW w:w="1705" w:type="dxa"/>
          </w:tcPr>
          <w:p>
            <w:pPr>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r>
              <w:rPr>
                <w:rFonts w:hint="eastAsia"/>
                <w:szCs w:val="21"/>
              </w:rPr>
              <w:t>1</w:t>
            </w:r>
          </w:p>
        </w:tc>
        <w:tc>
          <w:tcPr>
            <w:tcW w:w="2262" w:type="dxa"/>
          </w:tcPr>
          <w:p>
            <w:pPr>
              <w:jc w:val="center"/>
              <w:rPr>
                <w:szCs w:val="21"/>
              </w:rPr>
            </w:pPr>
            <w:r>
              <w:rPr>
                <w:rFonts w:hint="eastAsia"/>
                <w:szCs w:val="21"/>
              </w:rPr>
              <w:t>延续保修合同</w:t>
            </w:r>
          </w:p>
        </w:tc>
        <w:tc>
          <w:tcPr>
            <w:tcW w:w="2604" w:type="dxa"/>
          </w:tcPr>
          <w:p>
            <w:pPr>
              <w:jc w:val="center"/>
              <w:rPr>
                <w:rFonts w:hAnsi="宋体"/>
                <w:b/>
                <w:bCs/>
                <w:sz w:val="24"/>
              </w:rPr>
            </w:pPr>
          </w:p>
        </w:tc>
        <w:tc>
          <w:tcPr>
            <w:tcW w:w="1705" w:type="dxa"/>
          </w:tcPr>
          <w:p>
            <w:pPr>
              <w:jc w:val="center"/>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p>
        </w:tc>
        <w:tc>
          <w:tcPr>
            <w:tcW w:w="2262" w:type="dxa"/>
          </w:tcPr>
          <w:p>
            <w:pPr>
              <w:jc w:val="center"/>
              <w:rPr>
                <w:szCs w:val="21"/>
              </w:rPr>
            </w:pPr>
          </w:p>
        </w:tc>
        <w:tc>
          <w:tcPr>
            <w:tcW w:w="2604" w:type="dxa"/>
          </w:tcPr>
          <w:p>
            <w:pPr>
              <w:jc w:val="center"/>
              <w:rPr>
                <w:rFonts w:hAnsi="宋体"/>
                <w:b/>
                <w:bCs/>
                <w:sz w:val="24"/>
              </w:rPr>
            </w:pPr>
          </w:p>
        </w:tc>
        <w:tc>
          <w:tcPr>
            <w:tcW w:w="1705" w:type="dxa"/>
          </w:tcPr>
          <w:p>
            <w:pPr>
              <w:jc w:val="center"/>
              <w:rPr>
                <w:rFonts w:hAnsi="宋体"/>
                <w:b/>
                <w:bCs/>
                <w:sz w:val="24"/>
              </w:rPr>
            </w:pPr>
          </w:p>
        </w:tc>
      </w:tr>
    </w:tbl>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p/>
    <w:p/>
    <w:p>
      <w:pPr>
        <w:ind w:firstLine="723" w:firstLineChars="300"/>
        <w:rPr>
          <w:b/>
          <w:color w:val="FF0000"/>
          <w:sz w:val="24"/>
        </w:rPr>
      </w:pPr>
      <w:r>
        <w:rPr>
          <w:rFonts w:hint="eastAsia"/>
          <w:b/>
          <w:color w:val="FF0000"/>
          <w:sz w:val="24"/>
        </w:rPr>
        <w:t>（信息公开部分的内容到此为止！以下为信息不公开部分。）</w:t>
      </w:r>
    </w:p>
    <w:bookmarkEnd w:id="49"/>
    <w:p>
      <w:r>
        <w:br w:type="page"/>
      </w:r>
    </w:p>
    <w:p>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pPr>
        <w:spacing w:line="360" w:lineRule="auto"/>
        <w:ind w:firstLine="420"/>
        <w:rPr>
          <w:szCs w:val="21"/>
        </w:rPr>
      </w:pPr>
      <w:r>
        <w:rPr>
          <w:rFonts w:hint="eastAsia"/>
          <w:szCs w:val="21"/>
        </w:rPr>
        <w:t>代理人无转委托权，特此委托。</w:t>
      </w:r>
    </w:p>
    <w:p>
      <w:pPr>
        <w:spacing w:line="360" w:lineRule="auto"/>
        <w:ind w:firstLine="420"/>
        <w:rPr>
          <w:szCs w:val="21"/>
        </w:rPr>
      </w:pPr>
    </w:p>
    <w:p>
      <w:pPr>
        <w:spacing w:line="360" w:lineRule="auto"/>
        <w:ind w:left="540" w:leftChars="257"/>
        <w:rPr>
          <w:szCs w:val="21"/>
          <w:u w:val="single"/>
        </w:rPr>
      </w:pPr>
      <w:r>
        <w:rPr>
          <w:rFonts w:hint="eastAsia"/>
          <w:szCs w:val="21"/>
        </w:rPr>
        <w:t>代理人：</w:t>
      </w:r>
    </w:p>
    <w:p>
      <w:pPr>
        <w:spacing w:line="360" w:lineRule="auto"/>
        <w:ind w:left="540" w:leftChars="257"/>
        <w:rPr>
          <w:szCs w:val="21"/>
        </w:rPr>
      </w:pPr>
      <w:r>
        <w:rPr>
          <w:rFonts w:hint="eastAsia"/>
          <w:szCs w:val="21"/>
        </w:rPr>
        <w:t>联系电话：                  手机：</w:t>
      </w:r>
    </w:p>
    <w:p>
      <w:pPr>
        <w:spacing w:line="360" w:lineRule="auto"/>
        <w:ind w:left="540" w:leftChars="257"/>
        <w:rPr>
          <w:szCs w:val="21"/>
          <w:u w:val="single"/>
        </w:rPr>
      </w:pPr>
      <w:r>
        <w:rPr>
          <w:rFonts w:hint="eastAsia"/>
          <w:szCs w:val="21"/>
        </w:rPr>
        <w:t>身份证号码：               职务：</w:t>
      </w:r>
    </w:p>
    <w:p>
      <w:pPr>
        <w:spacing w:line="360" w:lineRule="auto"/>
        <w:ind w:left="540" w:leftChars="257"/>
        <w:rPr>
          <w:szCs w:val="21"/>
        </w:rPr>
      </w:pPr>
      <w:r>
        <w:rPr>
          <w:rFonts w:hint="eastAsia"/>
          <w:szCs w:val="21"/>
        </w:rPr>
        <w:t>授权委托日期：    年    月     日</w:t>
      </w:r>
    </w:p>
    <w:p/>
    <w:p>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pPr>
        <w:rPr>
          <w:sz w:val="24"/>
        </w:rPr>
      </w:pPr>
    </w:p>
    <w:p>
      <w:pPr>
        <w:keepNext/>
        <w:keepLines/>
        <w:spacing w:before="260" w:after="260"/>
        <w:jc w:val="center"/>
        <w:outlineLvl w:val="2"/>
        <w:rPr>
          <w:rFonts w:ascii="宋体" w:hAnsi="宋体"/>
          <w:b/>
          <w:bCs/>
          <w:sz w:val="24"/>
          <w:szCs w:val="32"/>
        </w:rPr>
      </w:pPr>
      <w:r>
        <w:rPr>
          <w:rFonts w:hint="eastAsia" w:ascii="黑体" w:hAnsi="宋体" w:eastAsia="黑体"/>
          <w:bCs/>
          <w:sz w:val="24"/>
        </w:rPr>
        <w:t>四、技术要求偏离表</w:t>
      </w:r>
    </w:p>
    <w:tbl>
      <w:tblPr>
        <w:tblStyle w:val="43"/>
        <w:tblpPr w:leftFromText="180" w:rightFromText="180" w:vertAnchor="text" w:horzAnchor="page" w:tblpX="2084" w:tblpY="2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53"/>
        <w:gridCol w:w="4955"/>
        <w:gridCol w:w="1022"/>
        <w:gridCol w:w="78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7" w:type="dxa"/>
            <w:vAlign w:val="center"/>
          </w:tcPr>
          <w:p>
            <w:pPr>
              <w:jc w:val="center"/>
              <w:rPr>
                <w:rFonts w:asciiTheme="minorEastAsia" w:hAnsiTheme="minorEastAsia" w:eastAsiaTheme="minorEastAsia" w:cstheme="minorEastAsia"/>
                <w:szCs w:val="21"/>
              </w:rPr>
            </w:pPr>
            <w:r>
              <w:rPr>
                <w:rFonts w:hint="eastAsia"/>
                <w:sz w:val="24"/>
              </w:rPr>
              <w:t>序号</w:t>
            </w:r>
          </w:p>
        </w:tc>
        <w:tc>
          <w:tcPr>
            <w:tcW w:w="853" w:type="dxa"/>
            <w:vAlign w:val="center"/>
          </w:tcPr>
          <w:p>
            <w:pPr>
              <w:jc w:val="center"/>
              <w:rPr>
                <w:rFonts w:asciiTheme="minorEastAsia" w:hAnsiTheme="minorEastAsia" w:eastAsiaTheme="minorEastAsia" w:cstheme="minorEastAsia"/>
                <w:szCs w:val="21"/>
              </w:rPr>
            </w:pPr>
            <w:r>
              <w:rPr>
                <w:rFonts w:hint="eastAsia"/>
                <w:sz w:val="24"/>
              </w:rPr>
              <w:t>货物名称</w:t>
            </w:r>
          </w:p>
        </w:tc>
        <w:tc>
          <w:tcPr>
            <w:tcW w:w="4955" w:type="dxa"/>
            <w:vAlign w:val="center"/>
          </w:tcPr>
          <w:p>
            <w:pPr>
              <w:jc w:val="center"/>
              <w:rPr>
                <w:rFonts w:asciiTheme="minorEastAsia" w:hAnsiTheme="minorEastAsia" w:eastAsiaTheme="minorEastAsia" w:cstheme="minorEastAsia"/>
                <w:szCs w:val="21"/>
              </w:rPr>
            </w:pPr>
            <w:r>
              <w:rPr>
                <w:rFonts w:hint="eastAsia"/>
                <w:sz w:val="24"/>
              </w:rPr>
              <w:t>招标技术要求</w:t>
            </w:r>
          </w:p>
        </w:tc>
        <w:tc>
          <w:tcPr>
            <w:tcW w:w="1022" w:type="dxa"/>
            <w:vAlign w:val="center"/>
          </w:tcPr>
          <w:p>
            <w:pPr>
              <w:jc w:val="center"/>
              <w:rPr>
                <w:rFonts w:hint="eastAsia" w:asciiTheme="minorEastAsia" w:hAnsiTheme="minorEastAsia" w:eastAsiaTheme="minorEastAsia" w:cstheme="minorEastAsia"/>
                <w:szCs w:val="21"/>
              </w:rPr>
            </w:pPr>
            <w:r>
              <w:rPr>
                <w:rFonts w:hint="eastAsia"/>
                <w:sz w:val="24"/>
              </w:rPr>
              <w:t>投标技术响应</w:t>
            </w:r>
          </w:p>
        </w:tc>
        <w:tc>
          <w:tcPr>
            <w:tcW w:w="786" w:type="dxa"/>
            <w:vAlign w:val="center"/>
          </w:tcPr>
          <w:p>
            <w:pPr>
              <w:jc w:val="center"/>
              <w:rPr>
                <w:rFonts w:hint="eastAsia" w:asciiTheme="minorEastAsia" w:hAnsiTheme="minorEastAsia" w:eastAsiaTheme="minorEastAsia" w:cstheme="minorEastAsia"/>
                <w:szCs w:val="21"/>
              </w:rPr>
            </w:pPr>
            <w:r>
              <w:rPr>
                <w:rFonts w:hint="eastAsia"/>
                <w:sz w:val="24"/>
              </w:rPr>
              <w:t>偏离情况</w:t>
            </w:r>
          </w:p>
        </w:tc>
        <w:tc>
          <w:tcPr>
            <w:tcW w:w="456" w:type="dxa"/>
            <w:vAlign w:val="center"/>
          </w:tcPr>
          <w:p>
            <w:pPr>
              <w:jc w:val="center"/>
              <w:rPr>
                <w:rFonts w:hint="eastAsia" w:asciiTheme="minorEastAsia" w:hAnsiTheme="minorEastAsia" w:eastAsiaTheme="minorEastAsia" w:cstheme="minorEastAsia"/>
                <w:szCs w:val="21"/>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853"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睑板腺功能障碍检测仪</w:t>
            </w: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▲1、该设备采用具有白光干涉技术原理，降噪采集，精确定量测量泪膜油脂层的厚度，最小单位达到纳米级别（1ICU = 1nm），脂质层厚度与可分泌睑脂的睑板腺数量、干眼症状及睑板腺缺失程度有相关性；（要求提供产品彩页关键信息或产品制造商官网关键信息截图）</w:t>
            </w:r>
          </w:p>
        </w:tc>
        <w:tc>
          <w:tcPr>
            <w:tcW w:w="1022" w:type="dxa"/>
          </w:tcPr>
          <w:p>
            <w:pPr>
              <w:rPr>
                <w:rFonts w:hint="eastAsia" w:asciiTheme="minorEastAsia" w:hAnsiTheme="minorEastAsia" w:eastAsiaTheme="minorEastAsia" w:cstheme="minorEastAsia"/>
                <w:b/>
                <w:bCs/>
                <w:color w:val="FF0000"/>
                <w:szCs w:val="21"/>
              </w:rPr>
            </w:pPr>
          </w:p>
        </w:tc>
        <w:tc>
          <w:tcPr>
            <w:tcW w:w="786" w:type="dxa"/>
          </w:tcPr>
          <w:p>
            <w:pPr>
              <w:rPr>
                <w:rFonts w:hint="eastAsia" w:asciiTheme="minorEastAsia" w:hAnsiTheme="minorEastAsia" w:eastAsiaTheme="minorEastAsia" w:cstheme="minorEastAsia"/>
                <w:b/>
                <w:bCs/>
                <w:color w:val="FF0000"/>
                <w:szCs w:val="21"/>
              </w:rPr>
            </w:pPr>
          </w:p>
        </w:tc>
        <w:tc>
          <w:tcPr>
            <w:tcW w:w="0" w:type="auto"/>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▲2、通过分析泪膜脂质层的涂布，给出泪膜油脂层最大、平均、最小ICU图谱；（要求提供产品彩页关键信息或产品制造商官网关键信息截图）</w:t>
            </w:r>
          </w:p>
        </w:tc>
        <w:tc>
          <w:tcPr>
            <w:tcW w:w="1022" w:type="dxa"/>
          </w:tcPr>
          <w:p>
            <w:pPr>
              <w:rPr>
                <w:rFonts w:hint="eastAsia" w:asciiTheme="minorEastAsia" w:hAnsiTheme="minorEastAsia" w:eastAsiaTheme="minorEastAsia" w:cstheme="minorEastAsia"/>
                <w:b/>
                <w:bCs/>
                <w:color w:val="FF0000"/>
                <w:szCs w:val="21"/>
              </w:rPr>
            </w:pPr>
          </w:p>
        </w:tc>
        <w:tc>
          <w:tcPr>
            <w:tcW w:w="786" w:type="dxa"/>
          </w:tcPr>
          <w:p>
            <w:pPr>
              <w:rPr>
                <w:rFonts w:hint="eastAsia" w:asciiTheme="minorEastAsia" w:hAnsiTheme="minorEastAsia" w:eastAsiaTheme="minorEastAsia" w:cstheme="minorEastAsia"/>
                <w:b/>
                <w:bCs/>
                <w:color w:val="FF0000"/>
                <w:szCs w:val="21"/>
              </w:rPr>
            </w:pPr>
          </w:p>
        </w:tc>
        <w:tc>
          <w:tcPr>
            <w:tcW w:w="0" w:type="auto"/>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▲3、测量脂质层厚度范围为0-240+nm，显示脂质层厚度范围为0-100+nm；（要求提供产品彩页关键信息或产品制造商官网关键信息截图）</w:t>
            </w:r>
          </w:p>
        </w:tc>
        <w:tc>
          <w:tcPr>
            <w:tcW w:w="1022" w:type="dxa"/>
          </w:tcPr>
          <w:p>
            <w:pPr>
              <w:rPr>
                <w:rFonts w:hint="eastAsia" w:asciiTheme="minorEastAsia" w:hAnsiTheme="minorEastAsia" w:eastAsiaTheme="minorEastAsia" w:cstheme="minorEastAsia"/>
                <w:b/>
                <w:bCs/>
                <w:color w:val="FF0000"/>
                <w:szCs w:val="21"/>
              </w:rPr>
            </w:pPr>
          </w:p>
        </w:tc>
        <w:tc>
          <w:tcPr>
            <w:tcW w:w="786" w:type="dxa"/>
          </w:tcPr>
          <w:p>
            <w:pPr>
              <w:rPr>
                <w:rFonts w:hint="eastAsia" w:asciiTheme="minorEastAsia" w:hAnsiTheme="minorEastAsia" w:eastAsiaTheme="minorEastAsia" w:cstheme="minorEastAsia"/>
                <w:b/>
                <w:bCs/>
                <w:color w:val="FF0000"/>
                <w:szCs w:val="21"/>
              </w:rPr>
            </w:pPr>
          </w:p>
        </w:tc>
        <w:tc>
          <w:tcPr>
            <w:tcW w:w="0" w:type="auto"/>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4、不完全眨眼测量为动态摄像后自动测量，避免了人为计数的干扰，其数值显示方式：不完全眨眼次数/总眨眼次数，存在不完全瞬目的人群干眼患病率更高，OSDI评分更高、NIBUT更低、睑板腺缺失率更高。（要求提供产品彩页关键信息或产品制造商官网关键信息截图）</w:t>
            </w:r>
          </w:p>
        </w:tc>
        <w:tc>
          <w:tcPr>
            <w:tcW w:w="1022" w:type="dxa"/>
          </w:tcPr>
          <w:p>
            <w:pPr>
              <w:rPr>
                <w:rFonts w:hint="eastAsia" w:asciiTheme="minorEastAsia" w:hAnsiTheme="minorEastAsia" w:eastAsiaTheme="minorEastAsia" w:cstheme="minorEastAsia"/>
                <w:b/>
                <w:bCs/>
                <w:color w:val="FF0000"/>
                <w:szCs w:val="21"/>
              </w:rPr>
            </w:pPr>
          </w:p>
        </w:tc>
        <w:tc>
          <w:tcPr>
            <w:tcW w:w="786" w:type="dxa"/>
          </w:tcPr>
          <w:p>
            <w:pPr>
              <w:rPr>
                <w:rFonts w:hint="eastAsia" w:asciiTheme="minorEastAsia" w:hAnsiTheme="minorEastAsia" w:eastAsiaTheme="minorEastAsia" w:cstheme="minorEastAsia"/>
                <w:b/>
                <w:bCs/>
                <w:color w:val="FF0000"/>
                <w:szCs w:val="21"/>
              </w:rPr>
            </w:pPr>
          </w:p>
        </w:tc>
        <w:tc>
          <w:tcPr>
            <w:tcW w:w="0" w:type="auto"/>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5、干眼检测视频回放，泪膜涂布动态影像:良好的患者教育工具，通过动态视频的回放,让患者清楚看到自己睑板腺分泌油脂的水平和不完全眨眼次数，同时对照正常水平，使患者对自己病理状态有切身了解。增加患者做进一步治疗的依从性。（要求提供产品彩页关键信息或产品制造商官网关键信息截图）</w:t>
            </w:r>
          </w:p>
        </w:tc>
        <w:tc>
          <w:tcPr>
            <w:tcW w:w="1022" w:type="dxa"/>
          </w:tcPr>
          <w:p>
            <w:pPr>
              <w:rPr>
                <w:rFonts w:hint="eastAsia" w:asciiTheme="minorEastAsia" w:hAnsiTheme="minorEastAsia" w:eastAsiaTheme="minorEastAsia" w:cstheme="minorEastAsia"/>
                <w:b/>
                <w:bCs/>
                <w:color w:val="FF0000"/>
                <w:szCs w:val="21"/>
              </w:rPr>
            </w:pPr>
          </w:p>
        </w:tc>
        <w:tc>
          <w:tcPr>
            <w:tcW w:w="786" w:type="dxa"/>
          </w:tcPr>
          <w:p>
            <w:pPr>
              <w:rPr>
                <w:rFonts w:hint="eastAsia" w:asciiTheme="minorEastAsia" w:hAnsiTheme="minorEastAsia" w:eastAsiaTheme="minorEastAsia" w:cstheme="minorEastAsia"/>
                <w:b/>
                <w:bCs/>
                <w:color w:val="FF0000"/>
                <w:szCs w:val="21"/>
              </w:rPr>
            </w:pPr>
          </w:p>
        </w:tc>
        <w:tc>
          <w:tcPr>
            <w:tcW w:w="0" w:type="auto"/>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6、PDF 格式及HL7兼容数据库系统报告储存格式，可外接 DVI 或HDMI视频接口输出图像，使用 HL7 数据传输协议传输电子病例。</w:t>
            </w:r>
          </w:p>
        </w:tc>
        <w:tc>
          <w:tcPr>
            <w:tcW w:w="1022" w:type="dxa"/>
          </w:tcPr>
          <w:p>
            <w:pPr>
              <w:rPr>
                <w:rFonts w:hint="eastAsia" w:asciiTheme="minorEastAsia" w:hAnsiTheme="minorEastAsia" w:eastAsiaTheme="minorEastAsia" w:cstheme="minorEastAsia"/>
                <w:szCs w:val="21"/>
              </w:rPr>
            </w:pPr>
          </w:p>
        </w:tc>
        <w:tc>
          <w:tcPr>
            <w:tcW w:w="786" w:type="dxa"/>
          </w:tcPr>
          <w:p>
            <w:pPr>
              <w:rPr>
                <w:rFonts w:hint="eastAsia" w:asciiTheme="minorEastAsia" w:hAnsiTheme="minorEastAsia" w:eastAsiaTheme="minorEastAsia" w:cstheme="minorEastAsia"/>
                <w:szCs w:val="21"/>
              </w:rPr>
            </w:pPr>
          </w:p>
        </w:tc>
        <w:tc>
          <w:tcPr>
            <w:tcW w:w="0" w:type="auto"/>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7、摄像头亮度、摄像头饱和度以及摄像头对比度都是0-100 连续可调，下颌托支架上下高度可调，显示器枢臂位置180度可调。</w:t>
            </w:r>
          </w:p>
        </w:tc>
        <w:tc>
          <w:tcPr>
            <w:tcW w:w="1022" w:type="dxa"/>
          </w:tcPr>
          <w:p>
            <w:pPr>
              <w:rPr>
                <w:rFonts w:hint="eastAsia" w:asciiTheme="minorEastAsia" w:hAnsiTheme="minorEastAsia" w:eastAsiaTheme="minorEastAsia" w:cstheme="minorEastAsia"/>
                <w:szCs w:val="21"/>
              </w:rPr>
            </w:pPr>
          </w:p>
        </w:tc>
        <w:tc>
          <w:tcPr>
            <w:tcW w:w="786" w:type="dxa"/>
          </w:tcPr>
          <w:p>
            <w:pPr>
              <w:rPr>
                <w:rFonts w:hint="eastAsia" w:asciiTheme="minorEastAsia" w:hAnsiTheme="minorEastAsia" w:eastAsiaTheme="minorEastAsia" w:cstheme="minorEastAsia"/>
                <w:szCs w:val="21"/>
              </w:rPr>
            </w:pPr>
          </w:p>
        </w:tc>
        <w:tc>
          <w:tcPr>
            <w:tcW w:w="0" w:type="auto"/>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8、具备触摸屏显示器，显示屏分辨率＞720P（1280X720P）。仪器操作系统可支持捕捉视频、预览捕捉的图像、重录视频。</w:t>
            </w:r>
          </w:p>
        </w:tc>
        <w:tc>
          <w:tcPr>
            <w:tcW w:w="1022" w:type="dxa"/>
          </w:tcPr>
          <w:p>
            <w:pPr>
              <w:rPr>
                <w:rFonts w:hint="eastAsia" w:asciiTheme="minorEastAsia" w:hAnsiTheme="minorEastAsia" w:eastAsiaTheme="minorEastAsia" w:cstheme="minorEastAsia"/>
                <w:szCs w:val="21"/>
              </w:rPr>
            </w:pPr>
          </w:p>
        </w:tc>
        <w:tc>
          <w:tcPr>
            <w:tcW w:w="786" w:type="dxa"/>
          </w:tcPr>
          <w:p>
            <w:pPr>
              <w:rPr>
                <w:rFonts w:hint="eastAsia" w:asciiTheme="minorEastAsia" w:hAnsiTheme="minorEastAsia" w:eastAsiaTheme="minorEastAsia" w:cstheme="minorEastAsia"/>
                <w:szCs w:val="21"/>
              </w:rPr>
            </w:pPr>
          </w:p>
        </w:tc>
        <w:tc>
          <w:tcPr>
            <w:tcW w:w="0" w:type="auto"/>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853" w:type="dxa"/>
            <w:vMerge w:val="continue"/>
          </w:tcPr>
          <w:p>
            <w:pPr>
              <w:rPr>
                <w:rFonts w:asciiTheme="minorEastAsia" w:hAnsiTheme="minorEastAsia" w:eastAsiaTheme="minorEastAsia" w:cstheme="minorEastAsia"/>
                <w:bCs/>
                <w:szCs w:val="21"/>
              </w:rPr>
            </w:pPr>
          </w:p>
        </w:tc>
        <w:tc>
          <w:tcPr>
            <w:tcW w:w="4955"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、配备打印机和升价桌，可直接出具患者彩色诊断报告。</w:t>
            </w:r>
          </w:p>
        </w:tc>
        <w:tc>
          <w:tcPr>
            <w:tcW w:w="1022" w:type="dxa"/>
          </w:tcPr>
          <w:p>
            <w:pPr>
              <w:rPr>
                <w:rFonts w:hint="eastAsia" w:asciiTheme="minorEastAsia" w:hAnsiTheme="minorEastAsia" w:eastAsiaTheme="minorEastAsia" w:cstheme="minorEastAsia"/>
                <w:szCs w:val="21"/>
                <w:lang w:val="en-US" w:eastAsia="zh-CN"/>
              </w:rPr>
            </w:pPr>
          </w:p>
        </w:tc>
        <w:tc>
          <w:tcPr>
            <w:tcW w:w="786" w:type="dxa"/>
          </w:tcPr>
          <w:p>
            <w:pPr>
              <w:rPr>
                <w:rFonts w:hint="eastAsia" w:asciiTheme="minorEastAsia" w:hAnsiTheme="minorEastAsia" w:eastAsiaTheme="minorEastAsia" w:cstheme="minorEastAsia"/>
                <w:szCs w:val="21"/>
                <w:lang w:val="en-US" w:eastAsia="zh-CN"/>
              </w:rPr>
            </w:pPr>
          </w:p>
        </w:tc>
        <w:tc>
          <w:tcPr>
            <w:tcW w:w="0" w:type="auto"/>
          </w:tcPr>
          <w:p>
            <w:pPr>
              <w:rPr>
                <w:rFonts w:hint="eastAsia" w:asciiTheme="minorEastAsia" w:hAnsiTheme="minorEastAsia" w:eastAsiaTheme="minorEastAsia" w:cstheme="minorEastAsia"/>
                <w:szCs w:val="21"/>
                <w:lang w:val="en-US" w:eastAsia="zh-CN"/>
              </w:rPr>
            </w:pPr>
          </w:p>
        </w:tc>
      </w:tr>
    </w:tbl>
    <w:p>
      <w:pPr>
        <w:rPr>
          <w:color w:val="FF0000"/>
          <w:sz w:val="24"/>
        </w:rPr>
      </w:pPr>
      <w:bookmarkStart w:id="57" w:name="_Hlk72095977"/>
      <w:r>
        <w:rPr>
          <w:rFonts w:hint="eastAsia"/>
          <w:color w:val="FF0000"/>
          <w:sz w:val="24"/>
        </w:rPr>
        <w:t>证明资料【如有的话，提供的证明资料应统一编号（排序），格式自定】</w:t>
      </w:r>
      <w:bookmarkEnd w:id="57"/>
      <w:r>
        <w:rPr>
          <w:rFonts w:hint="eastAsia"/>
          <w:color w:val="FF0000"/>
          <w:sz w:val="24"/>
        </w:rPr>
        <w:t>：</w:t>
      </w:r>
    </w:p>
    <w:p>
      <w:pPr>
        <w:ind w:firstLine="482" w:firstLineChars="200"/>
        <w:rPr>
          <w:b/>
          <w:sz w:val="24"/>
        </w:rPr>
      </w:pPr>
    </w:p>
    <w:p>
      <w:pPr>
        <w:ind w:firstLine="482" w:firstLineChars="200"/>
        <w:rPr>
          <w:b/>
          <w:sz w:val="24"/>
        </w:rPr>
      </w:pPr>
      <w:r>
        <w:rPr>
          <w:rFonts w:hint="eastAsia"/>
          <w:b/>
          <w:sz w:val="24"/>
        </w:rPr>
        <w:t>《技术要求偏离表》编制指引：</w:t>
      </w:r>
    </w:p>
    <w:p>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对应“招标项目需求”中的“具体技术要求”章节</w:t>
      </w:r>
      <w:bookmarkEnd w:id="58"/>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pPr>
        <w:ind w:firstLine="482" w:firstLineChars="200"/>
        <w:rPr>
          <w:b/>
          <w:sz w:val="24"/>
        </w:rPr>
      </w:pPr>
      <w:r>
        <w:rPr>
          <w:rFonts w:hint="eastAsia"/>
          <w:b/>
          <w:sz w:val="24"/>
        </w:rPr>
        <w:t>（1）除照片、图片（截图）及不需加盖公章的文字说明（技术说明）外，其它证明资料均要求为原件扫描件；</w:t>
      </w:r>
    </w:p>
    <w:p>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b/>
          <w:sz w:val="24"/>
        </w:rPr>
      </w:pPr>
      <w:r>
        <w:rPr>
          <w:rFonts w:hint="eastAsia"/>
          <w:b/>
          <w:sz w:val="24"/>
        </w:rPr>
        <w:t>其它证明资料的形式要求参照以上要求执行；</w:t>
      </w:r>
    </w:p>
    <w:p>
      <w:pPr>
        <w:ind w:firstLine="482" w:firstLineChars="200"/>
        <w:rPr>
          <w:b/>
          <w:sz w:val="24"/>
        </w:rPr>
      </w:pPr>
      <w:r>
        <w:rPr>
          <w:rFonts w:hint="eastAsia"/>
          <w:b/>
          <w:sz w:val="24"/>
        </w:rPr>
        <w:t>（4）证明资料均要求原件备查。</w:t>
      </w:r>
    </w:p>
    <w:p>
      <w:pPr>
        <w:ind w:firstLine="482" w:firstLineChars="200"/>
        <w:rPr>
          <w:b/>
          <w:sz w:val="24"/>
        </w:rPr>
      </w:pPr>
      <w:r>
        <w:rPr>
          <w:rFonts w:hint="eastAsia"/>
          <w:b/>
          <w:sz w:val="24"/>
        </w:rPr>
        <w:t>8、其它注意事项：</w:t>
      </w:r>
    </w:p>
    <w:p>
      <w:pPr>
        <w:ind w:firstLine="482" w:firstLineChars="200"/>
        <w:rPr>
          <w:b/>
          <w:sz w:val="24"/>
        </w:rPr>
      </w:pPr>
      <w:r>
        <w:rPr>
          <w:rFonts w:hint="eastAsia"/>
          <w:b/>
          <w:sz w:val="24"/>
        </w:rPr>
        <w:t>（1）评审委员会有权对投标人的响应情况作出判断（评审结论）；</w:t>
      </w:r>
    </w:p>
    <w:p>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pPr>
        <w:rPr>
          <w:sz w:val="24"/>
        </w:rPr>
      </w:pPr>
    </w:p>
    <w:p>
      <w:pPr>
        <w:keepNext/>
        <w:keepLines/>
        <w:spacing w:before="260" w:after="260"/>
        <w:jc w:val="center"/>
        <w:outlineLvl w:val="2"/>
        <w:rPr>
          <w:b/>
          <w:sz w:val="24"/>
        </w:rPr>
      </w:pPr>
      <w:r>
        <w:rPr>
          <w:rFonts w:hint="eastAsia" w:ascii="黑体" w:hAnsi="宋体" w:eastAsia="黑体"/>
          <w:sz w:val="24"/>
          <w:szCs w:val="20"/>
        </w:rPr>
        <w:t>五、商务要求偏离表</w:t>
      </w:r>
    </w:p>
    <w:tbl>
      <w:tblPr>
        <w:tblStyle w:val="43"/>
        <w:tblW w:w="8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72"/>
        <w:gridCol w:w="5203"/>
        <w:gridCol w:w="1004"/>
        <w:gridCol w:w="73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8" w:type="dxa"/>
            <w:vAlign w:val="center"/>
          </w:tcPr>
          <w:p>
            <w:pPr>
              <w:jc w:val="center"/>
              <w:rPr>
                <w:b/>
                <w:bCs/>
              </w:rPr>
            </w:pPr>
            <w:r>
              <w:rPr>
                <w:rFonts w:hint="eastAsia"/>
                <w:b/>
                <w:bCs/>
                <w:sz w:val="24"/>
              </w:rPr>
              <w:t>序号</w:t>
            </w:r>
          </w:p>
        </w:tc>
        <w:tc>
          <w:tcPr>
            <w:tcW w:w="872" w:type="dxa"/>
            <w:vAlign w:val="center"/>
          </w:tcPr>
          <w:p>
            <w:pPr>
              <w:jc w:val="center"/>
              <w:rPr>
                <w:b/>
                <w:bCs/>
              </w:rPr>
            </w:pPr>
            <w:r>
              <w:rPr>
                <w:rFonts w:hint="eastAsia"/>
                <w:b/>
                <w:bCs/>
              </w:rPr>
              <w:t>商务需求项</w:t>
            </w:r>
          </w:p>
        </w:tc>
        <w:tc>
          <w:tcPr>
            <w:tcW w:w="5203" w:type="dxa"/>
            <w:vAlign w:val="center"/>
          </w:tcPr>
          <w:p>
            <w:pPr>
              <w:jc w:val="center"/>
              <w:rPr>
                <w:b/>
                <w:bCs/>
              </w:rPr>
            </w:pPr>
            <w:r>
              <w:rPr>
                <w:rFonts w:hint="eastAsia"/>
                <w:b/>
                <w:bCs/>
                <w:sz w:val="24"/>
              </w:rPr>
              <w:t>招标商务要求</w:t>
            </w:r>
          </w:p>
        </w:tc>
        <w:tc>
          <w:tcPr>
            <w:tcW w:w="1004" w:type="dxa"/>
            <w:vAlign w:val="center"/>
          </w:tcPr>
          <w:p>
            <w:pPr>
              <w:jc w:val="center"/>
              <w:rPr>
                <w:rFonts w:hint="eastAsia"/>
                <w:b/>
                <w:bCs/>
              </w:rPr>
            </w:pPr>
            <w:r>
              <w:rPr>
                <w:rFonts w:hint="eastAsia"/>
                <w:b/>
                <w:bCs/>
                <w:sz w:val="24"/>
              </w:rPr>
              <w:t>投标商务响应</w:t>
            </w:r>
          </w:p>
        </w:tc>
        <w:tc>
          <w:tcPr>
            <w:tcW w:w="737" w:type="dxa"/>
            <w:vAlign w:val="center"/>
          </w:tcPr>
          <w:p>
            <w:pPr>
              <w:jc w:val="center"/>
              <w:rPr>
                <w:rFonts w:hint="eastAsia"/>
                <w:b/>
                <w:bCs/>
              </w:rPr>
            </w:pPr>
            <w:r>
              <w:rPr>
                <w:rFonts w:hint="eastAsia"/>
                <w:b/>
                <w:bCs/>
              </w:rPr>
              <w:t>偏离情况</w:t>
            </w:r>
          </w:p>
        </w:tc>
        <w:tc>
          <w:tcPr>
            <w:tcW w:w="427" w:type="dxa"/>
            <w:vAlign w:val="center"/>
          </w:tcPr>
          <w:p>
            <w:pPr>
              <w:jc w:val="center"/>
              <w:rPr>
                <w:rFonts w:hint="eastAsia"/>
                <w:b/>
                <w:bCs/>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01" w:type="dxa"/>
            <w:gridSpan w:val="6"/>
          </w:tcPr>
          <w:p>
            <w:pPr>
              <w:rPr>
                <w:rFonts w:hint="eastAsia"/>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restart"/>
            <w:vAlign w:val="center"/>
          </w:tcPr>
          <w:p>
            <w:pPr>
              <w:jc w:val="center"/>
              <w:rPr>
                <w:bCs/>
              </w:rPr>
            </w:pPr>
            <w:r>
              <w:rPr>
                <w:rFonts w:hint="eastAsia"/>
                <w:bCs/>
              </w:rPr>
              <w:t>1</w:t>
            </w:r>
          </w:p>
        </w:tc>
        <w:tc>
          <w:tcPr>
            <w:tcW w:w="872" w:type="dxa"/>
            <w:vMerge w:val="restart"/>
          </w:tcPr>
          <w:p>
            <w:r>
              <w:rPr>
                <w:rFonts w:hint="eastAsia"/>
              </w:rPr>
              <w:t>维修响应及维护服务</w:t>
            </w:r>
          </w:p>
        </w:tc>
        <w:tc>
          <w:tcPr>
            <w:tcW w:w="5203" w:type="dxa"/>
          </w:tcPr>
          <w:p>
            <w:pPr>
              <w:rPr>
                <w:bCs/>
              </w:rPr>
            </w:pPr>
            <w:r>
              <w:rPr>
                <w:rFonts w:hint="eastAsia"/>
                <w:bCs/>
              </w:rPr>
              <w:t>1.1 各投标人应在投标文件中列明各主机、配件和易耗品的保 修期限。</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Cs/>
              </w:rPr>
            </w:pPr>
          </w:p>
        </w:tc>
        <w:tc>
          <w:tcPr>
            <w:tcW w:w="872" w:type="dxa"/>
            <w:vMerge w:val="continue"/>
          </w:tcPr>
          <w:p/>
        </w:tc>
        <w:tc>
          <w:tcPr>
            <w:tcW w:w="5203" w:type="dxa"/>
          </w:tcPr>
          <w:p>
            <w:pPr>
              <w:rPr>
                <w:bCs/>
                <w:szCs w:val="21"/>
              </w:rPr>
            </w:pPr>
            <w:r>
              <w:rPr>
                <w:rFonts w:hint="eastAsia"/>
                <w:bCs/>
                <w:szCs w:val="21"/>
              </w:rPr>
              <w:t>★1.2</w:t>
            </w:r>
            <w:r>
              <w:rPr>
                <w:rFonts w:hint="eastAsia"/>
                <w:bCs/>
              </w:rPr>
              <w:t>承诺提供整机免费保修期不少于</w:t>
            </w:r>
            <w:r>
              <w:rPr>
                <w:rFonts w:hint="eastAsia"/>
                <w:bCs/>
                <w:color w:val="FF0000"/>
                <w:u w:val="single"/>
              </w:rPr>
              <w:t xml:space="preserve"> 2 </w:t>
            </w:r>
            <w:r>
              <w:rPr>
                <w:rFonts w:hint="eastAsia"/>
                <w:bCs/>
                <w:color w:val="FF0000"/>
              </w:rPr>
              <w:t>年</w:t>
            </w:r>
            <w:r>
              <w:rPr>
                <w:rFonts w:hint="eastAsia"/>
                <w:bCs/>
              </w:rPr>
              <w:t xml:space="preserve">，终身维修，保修期内,年度定期预防性维护保养次数应不少于 3 次。保修期内免费 更换零配件、免工时费。 </w:t>
            </w:r>
          </w:p>
        </w:tc>
        <w:tc>
          <w:tcPr>
            <w:tcW w:w="1004" w:type="dxa"/>
          </w:tcPr>
          <w:p>
            <w:pPr>
              <w:rPr>
                <w:rFonts w:hint="eastAsia"/>
                <w:bCs/>
                <w:szCs w:val="21"/>
              </w:rPr>
            </w:pPr>
          </w:p>
        </w:tc>
        <w:tc>
          <w:tcPr>
            <w:tcW w:w="737" w:type="dxa"/>
          </w:tcPr>
          <w:p>
            <w:pPr>
              <w:rPr>
                <w:rFonts w:hint="eastAsia"/>
                <w:bCs/>
                <w:szCs w:val="21"/>
              </w:rPr>
            </w:pPr>
          </w:p>
        </w:tc>
        <w:tc>
          <w:tcPr>
            <w:tcW w:w="42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Cs/>
              </w:rPr>
            </w:pPr>
          </w:p>
        </w:tc>
        <w:tc>
          <w:tcPr>
            <w:tcW w:w="872" w:type="dxa"/>
            <w:vMerge w:val="continue"/>
          </w:tcPr>
          <w:p/>
        </w:tc>
        <w:tc>
          <w:tcPr>
            <w:tcW w:w="5203"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Cs/>
              </w:rPr>
            </w:pPr>
          </w:p>
        </w:tc>
        <w:tc>
          <w:tcPr>
            <w:tcW w:w="872" w:type="dxa"/>
            <w:vMerge w:val="continue"/>
          </w:tcPr>
          <w:p/>
        </w:tc>
        <w:tc>
          <w:tcPr>
            <w:tcW w:w="5203"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8" w:type="dxa"/>
            <w:vMerge w:val="continue"/>
            <w:vAlign w:val="center"/>
          </w:tcPr>
          <w:p>
            <w:pPr>
              <w:jc w:val="center"/>
              <w:rPr>
                <w:bCs/>
              </w:rPr>
            </w:pPr>
          </w:p>
        </w:tc>
        <w:tc>
          <w:tcPr>
            <w:tcW w:w="872" w:type="dxa"/>
            <w:vMerge w:val="continue"/>
          </w:tcPr>
          <w:p/>
        </w:tc>
        <w:tc>
          <w:tcPr>
            <w:tcW w:w="5203" w:type="dxa"/>
          </w:tcPr>
          <w:p>
            <w:pPr>
              <w:rPr>
                <w:rFonts w:hint="default" w:eastAsia="宋体"/>
                <w:bCs/>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p>
        </w:tc>
        <w:tc>
          <w:tcPr>
            <w:tcW w:w="1004" w:type="dxa"/>
          </w:tcPr>
          <w:p>
            <w:pPr>
              <w:rPr>
                <w:rFonts w:hint="eastAsia"/>
                <w:bCs/>
                <w:highlight w:val="none"/>
                <w:lang w:val="en-US" w:eastAsia="zh-CN"/>
              </w:rPr>
            </w:pPr>
          </w:p>
        </w:tc>
        <w:tc>
          <w:tcPr>
            <w:tcW w:w="737" w:type="dxa"/>
          </w:tcPr>
          <w:p>
            <w:pPr>
              <w:rPr>
                <w:rFonts w:hint="eastAsia"/>
                <w:bCs/>
                <w:highlight w:val="none"/>
                <w:lang w:val="en-US" w:eastAsia="zh-CN"/>
              </w:rPr>
            </w:pPr>
          </w:p>
        </w:tc>
        <w:tc>
          <w:tcPr>
            <w:tcW w:w="427" w:type="dxa"/>
          </w:tcPr>
          <w:p>
            <w:pPr>
              <w:rPr>
                <w:rFonts w:hint="eastAsia"/>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dxa"/>
            <w:vAlign w:val="center"/>
          </w:tcPr>
          <w:p>
            <w:pPr>
              <w:jc w:val="center"/>
              <w:rPr>
                <w:b/>
              </w:rPr>
            </w:pPr>
            <w:r>
              <w:rPr>
                <w:rFonts w:hint="eastAsia"/>
                <w:b/>
              </w:rPr>
              <w:t>2</w:t>
            </w:r>
          </w:p>
        </w:tc>
        <w:tc>
          <w:tcPr>
            <w:tcW w:w="872" w:type="dxa"/>
            <w:vAlign w:val="center"/>
          </w:tcPr>
          <w:p>
            <w:r>
              <w:rPr>
                <w:rFonts w:hint="eastAsia"/>
                <w:szCs w:val="21"/>
              </w:rPr>
              <w:t>质量保证</w:t>
            </w:r>
          </w:p>
        </w:tc>
        <w:tc>
          <w:tcPr>
            <w:tcW w:w="5203"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1004" w:type="dxa"/>
            <w:vAlign w:val="center"/>
          </w:tcPr>
          <w:p>
            <w:pPr>
              <w:rPr>
                <w:rFonts w:hint="eastAsia"/>
                <w:bCs/>
              </w:rPr>
            </w:pPr>
          </w:p>
        </w:tc>
        <w:tc>
          <w:tcPr>
            <w:tcW w:w="737" w:type="dxa"/>
            <w:vAlign w:val="center"/>
          </w:tcPr>
          <w:p>
            <w:pPr>
              <w:rPr>
                <w:rFonts w:hint="eastAsia"/>
                <w:bCs/>
              </w:rPr>
            </w:pPr>
          </w:p>
        </w:tc>
        <w:tc>
          <w:tcPr>
            <w:tcW w:w="427" w:type="dxa"/>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dxa"/>
            <w:vAlign w:val="center"/>
          </w:tcPr>
          <w:p>
            <w:pPr>
              <w:jc w:val="center"/>
              <w:rPr>
                <w:bCs/>
              </w:rPr>
            </w:pPr>
            <w:r>
              <w:rPr>
                <w:rFonts w:hint="eastAsia"/>
                <w:bCs/>
              </w:rPr>
              <w:t>3</w:t>
            </w:r>
          </w:p>
        </w:tc>
        <w:tc>
          <w:tcPr>
            <w:tcW w:w="872" w:type="dxa"/>
            <w:vAlign w:val="center"/>
          </w:tcPr>
          <w:p>
            <w:pPr>
              <w:rPr>
                <w:b/>
              </w:rPr>
            </w:pPr>
            <w:r>
              <w:rPr>
                <w:rFonts w:hint="eastAsia"/>
              </w:rPr>
              <w:t>其他</w:t>
            </w:r>
          </w:p>
        </w:tc>
        <w:tc>
          <w:tcPr>
            <w:tcW w:w="5203" w:type="dxa"/>
            <w:vAlign w:val="center"/>
          </w:tcPr>
          <w:p>
            <w:pPr>
              <w:rPr>
                <w:b/>
              </w:rPr>
            </w:pPr>
            <w:r>
              <w:rPr>
                <w:rFonts w:hint="eastAsia"/>
                <w:bCs/>
                <w:szCs w:val="21"/>
              </w:rPr>
              <w:t>投标人应按其投标文件中的承诺，进行其他售后服务工作。</w:t>
            </w:r>
          </w:p>
        </w:tc>
        <w:tc>
          <w:tcPr>
            <w:tcW w:w="1004" w:type="dxa"/>
            <w:vAlign w:val="center"/>
          </w:tcPr>
          <w:p>
            <w:pPr>
              <w:rPr>
                <w:rFonts w:hint="eastAsia"/>
                <w:bCs/>
                <w:szCs w:val="21"/>
              </w:rPr>
            </w:pPr>
          </w:p>
        </w:tc>
        <w:tc>
          <w:tcPr>
            <w:tcW w:w="737" w:type="dxa"/>
            <w:vAlign w:val="center"/>
          </w:tcPr>
          <w:p>
            <w:pPr>
              <w:rPr>
                <w:rFonts w:hint="eastAsia"/>
                <w:bCs/>
                <w:szCs w:val="21"/>
              </w:rPr>
            </w:pPr>
          </w:p>
        </w:tc>
        <w:tc>
          <w:tcPr>
            <w:tcW w:w="427"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01" w:type="dxa"/>
            <w:gridSpan w:val="6"/>
          </w:tcPr>
          <w:p>
            <w:pPr>
              <w:rPr>
                <w:rFonts w:hint="eastAsia"/>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Cs/>
              </w:rPr>
            </w:pPr>
            <w:r>
              <w:rPr>
                <w:rFonts w:hint="eastAsia"/>
                <w:bCs/>
              </w:rPr>
              <w:t>1</w:t>
            </w:r>
          </w:p>
        </w:tc>
        <w:tc>
          <w:tcPr>
            <w:tcW w:w="872" w:type="dxa"/>
            <w:vMerge w:val="restart"/>
          </w:tcPr>
          <w:p>
            <w:pPr>
              <w:rPr>
                <w:b/>
              </w:rPr>
            </w:pPr>
            <w:r>
              <w:rPr>
                <w:rFonts w:hint="eastAsia" w:ascii="宋体" w:hAnsi="宋体"/>
                <w:b/>
                <w:kern w:val="0"/>
                <w:szCs w:val="21"/>
              </w:rPr>
              <w:t>维修零配件、消耗品和延续保修合同的报价</w:t>
            </w:r>
          </w:p>
        </w:tc>
        <w:tc>
          <w:tcPr>
            <w:tcW w:w="5203"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1004" w:type="dxa"/>
          </w:tcPr>
          <w:p>
            <w:pPr>
              <w:spacing w:line="300" w:lineRule="exact"/>
              <w:rPr>
                <w:rFonts w:hint="eastAsia" w:ascii="宋体" w:hAnsi="宋体"/>
                <w:kern w:val="0"/>
                <w:szCs w:val="21"/>
              </w:rPr>
            </w:pPr>
          </w:p>
        </w:tc>
        <w:tc>
          <w:tcPr>
            <w:tcW w:w="737" w:type="dxa"/>
          </w:tcPr>
          <w:p>
            <w:pPr>
              <w:spacing w:line="300" w:lineRule="exact"/>
              <w:rPr>
                <w:rFonts w:hint="eastAsia" w:ascii="宋体" w:hAnsi="宋体"/>
                <w:kern w:val="0"/>
                <w:szCs w:val="21"/>
              </w:rPr>
            </w:pPr>
          </w:p>
        </w:tc>
        <w:tc>
          <w:tcPr>
            <w:tcW w:w="427"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tcPr>
          <w:p>
            <w:pPr>
              <w:rPr>
                <w:b/>
              </w:rPr>
            </w:pPr>
          </w:p>
        </w:tc>
        <w:tc>
          <w:tcPr>
            <w:tcW w:w="5203"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1004" w:type="dxa"/>
          </w:tcPr>
          <w:p>
            <w:pPr>
              <w:spacing w:line="300" w:lineRule="exact"/>
              <w:rPr>
                <w:rFonts w:hint="eastAsia" w:ascii="宋体" w:hAnsi="宋体"/>
                <w:kern w:val="0"/>
                <w:szCs w:val="21"/>
              </w:rPr>
            </w:pPr>
          </w:p>
        </w:tc>
        <w:tc>
          <w:tcPr>
            <w:tcW w:w="737" w:type="dxa"/>
          </w:tcPr>
          <w:p>
            <w:pPr>
              <w:spacing w:line="300" w:lineRule="exact"/>
              <w:rPr>
                <w:rFonts w:hint="eastAsia" w:ascii="宋体" w:hAnsi="宋体"/>
                <w:kern w:val="0"/>
                <w:szCs w:val="21"/>
              </w:rPr>
            </w:pPr>
          </w:p>
        </w:tc>
        <w:tc>
          <w:tcPr>
            <w:tcW w:w="427"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tcPr>
          <w:p>
            <w:pPr>
              <w:rPr>
                <w:b/>
              </w:rPr>
            </w:pPr>
          </w:p>
        </w:tc>
        <w:tc>
          <w:tcPr>
            <w:tcW w:w="5203"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1004" w:type="dxa"/>
          </w:tcPr>
          <w:p>
            <w:pPr>
              <w:spacing w:line="300" w:lineRule="exact"/>
              <w:rPr>
                <w:rFonts w:hint="eastAsia" w:ascii="宋体" w:hAnsi="宋体"/>
                <w:kern w:val="0"/>
                <w:szCs w:val="21"/>
              </w:rPr>
            </w:pPr>
          </w:p>
        </w:tc>
        <w:tc>
          <w:tcPr>
            <w:tcW w:w="737" w:type="dxa"/>
          </w:tcPr>
          <w:p>
            <w:pPr>
              <w:spacing w:line="300" w:lineRule="exact"/>
              <w:rPr>
                <w:rFonts w:hint="eastAsia" w:ascii="宋体" w:hAnsi="宋体"/>
                <w:kern w:val="0"/>
                <w:szCs w:val="21"/>
              </w:rPr>
            </w:pPr>
          </w:p>
        </w:tc>
        <w:tc>
          <w:tcPr>
            <w:tcW w:w="427"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dxa"/>
            <w:vMerge w:val="continue"/>
            <w:vAlign w:val="center"/>
          </w:tcPr>
          <w:p>
            <w:pPr>
              <w:jc w:val="center"/>
              <w:rPr>
                <w:bCs/>
              </w:rPr>
            </w:pPr>
          </w:p>
        </w:tc>
        <w:tc>
          <w:tcPr>
            <w:tcW w:w="872" w:type="dxa"/>
            <w:vMerge w:val="continue"/>
          </w:tcPr>
          <w:p>
            <w:pPr>
              <w:rPr>
                <w:b/>
              </w:rPr>
            </w:pPr>
          </w:p>
        </w:tc>
        <w:tc>
          <w:tcPr>
            <w:tcW w:w="5203" w:type="dxa"/>
          </w:tcPr>
          <w:p>
            <w:pPr>
              <w:rPr>
                <w:b/>
              </w:rPr>
            </w:pPr>
            <w:r>
              <w:rPr>
                <w:rFonts w:hint="eastAsia" w:ascii="宋体" w:hAnsi="宋体"/>
                <w:kern w:val="0"/>
                <w:szCs w:val="21"/>
              </w:rPr>
              <w:t>1.4设备制造商维修的货物经采购人验收合格，且设备制造商提供维修专用发票后，采购人支付维修费用。</w:t>
            </w:r>
          </w:p>
        </w:tc>
        <w:tc>
          <w:tcPr>
            <w:tcW w:w="1004" w:type="dxa"/>
          </w:tcPr>
          <w:p>
            <w:pPr>
              <w:rPr>
                <w:rFonts w:hint="eastAsia" w:ascii="宋体" w:hAnsi="宋体"/>
                <w:kern w:val="0"/>
                <w:szCs w:val="21"/>
              </w:rPr>
            </w:pPr>
          </w:p>
        </w:tc>
        <w:tc>
          <w:tcPr>
            <w:tcW w:w="737" w:type="dxa"/>
          </w:tcPr>
          <w:p>
            <w:pPr>
              <w:rPr>
                <w:rFonts w:hint="eastAsia" w:ascii="宋体" w:hAnsi="宋体"/>
                <w:kern w:val="0"/>
                <w:szCs w:val="21"/>
              </w:rPr>
            </w:pPr>
          </w:p>
        </w:tc>
        <w:tc>
          <w:tcPr>
            <w:tcW w:w="427" w:type="dxa"/>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tcPr>
          <w:p>
            <w:pPr>
              <w:rPr>
                <w:b/>
              </w:rPr>
            </w:pPr>
          </w:p>
        </w:tc>
        <w:tc>
          <w:tcPr>
            <w:tcW w:w="5203"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1004" w:type="dxa"/>
          </w:tcPr>
          <w:p>
            <w:pPr>
              <w:rPr>
                <w:rFonts w:hint="eastAsia" w:ascii="宋体" w:hAnsi="宋体"/>
                <w:kern w:val="0"/>
                <w:szCs w:val="21"/>
              </w:rPr>
            </w:pPr>
          </w:p>
        </w:tc>
        <w:tc>
          <w:tcPr>
            <w:tcW w:w="737" w:type="dxa"/>
          </w:tcPr>
          <w:p>
            <w:pPr>
              <w:rPr>
                <w:rFonts w:hint="eastAsia" w:ascii="宋体" w:hAnsi="宋体"/>
                <w:kern w:val="0"/>
                <w:szCs w:val="21"/>
              </w:rPr>
            </w:pPr>
          </w:p>
        </w:tc>
        <w:tc>
          <w:tcPr>
            <w:tcW w:w="427" w:type="dxa"/>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01" w:type="dxa"/>
            <w:gridSpan w:val="6"/>
          </w:tcPr>
          <w:p>
            <w:pPr>
              <w:rPr>
                <w:rFonts w:hint="eastAsia"/>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8" w:type="dxa"/>
            <w:vMerge w:val="restart"/>
            <w:vAlign w:val="center"/>
          </w:tcPr>
          <w:p>
            <w:pPr>
              <w:jc w:val="center"/>
              <w:rPr>
                <w:bCs/>
              </w:rPr>
            </w:pPr>
            <w:r>
              <w:rPr>
                <w:rFonts w:hint="eastAsia"/>
                <w:bCs/>
              </w:rPr>
              <w:t>1</w:t>
            </w:r>
          </w:p>
        </w:tc>
        <w:tc>
          <w:tcPr>
            <w:tcW w:w="872" w:type="dxa"/>
            <w:vMerge w:val="restart"/>
            <w:vAlign w:val="center"/>
          </w:tcPr>
          <w:p>
            <w:r>
              <w:rPr>
                <w:rFonts w:hint="eastAsia"/>
              </w:rPr>
              <w:t>关于交货</w:t>
            </w:r>
          </w:p>
        </w:tc>
        <w:tc>
          <w:tcPr>
            <w:tcW w:w="5203"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1004" w:type="dxa"/>
          </w:tcPr>
          <w:p>
            <w:pPr>
              <w:rPr>
                <w:rFonts w:hint="eastAsia"/>
                <w:bCs/>
                <w:szCs w:val="21"/>
              </w:rPr>
            </w:pPr>
          </w:p>
        </w:tc>
        <w:tc>
          <w:tcPr>
            <w:tcW w:w="737" w:type="dxa"/>
          </w:tcPr>
          <w:p>
            <w:pPr>
              <w:rPr>
                <w:rFonts w:hint="eastAsia"/>
                <w:bCs/>
                <w:szCs w:val="21"/>
              </w:rPr>
            </w:pPr>
          </w:p>
        </w:tc>
        <w:tc>
          <w:tcPr>
            <w:tcW w:w="42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1004" w:type="dxa"/>
          </w:tcPr>
          <w:p>
            <w:pPr>
              <w:rPr>
                <w:rFonts w:hint="eastAsia"/>
                <w:bCs/>
                <w:szCs w:val="21"/>
              </w:rPr>
            </w:pPr>
          </w:p>
        </w:tc>
        <w:tc>
          <w:tcPr>
            <w:tcW w:w="737" w:type="dxa"/>
          </w:tcPr>
          <w:p>
            <w:pPr>
              <w:rPr>
                <w:rFonts w:hint="eastAsia"/>
                <w:bCs/>
                <w:szCs w:val="21"/>
              </w:rPr>
            </w:pPr>
          </w:p>
        </w:tc>
        <w:tc>
          <w:tcPr>
            <w:tcW w:w="42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8" w:type="dxa"/>
            <w:vMerge w:val="continue"/>
            <w:vAlign w:val="center"/>
          </w:tcPr>
          <w:p>
            <w:pPr>
              <w:jc w:val="center"/>
              <w:rPr>
                <w:bCs/>
              </w:rPr>
            </w:pPr>
            <w:r>
              <w:rPr>
                <w:rFonts w:hint="eastAsia"/>
                <w:bCs/>
              </w:rPr>
              <w:t>+</w:t>
            </w:r>
          </w:p>
        </w:tc>
        <w:tc>
          <w:tcPr>
            <w:tcW w:w="872" w:type="dxa"/>
            <w:vMerge w:val="continue"/>
            <w:vAlign w:val="center"/>
          </w:tcPr>
          <w:p>
            <w:pPr>
              <w:jc w:val="center"/>
            </w:pPr>
          </w:p>
        </w:tc>
        <w:tc>
          <w:tcPr>
            <w:tcW w:w="5203"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1004" w:type="dxa"/>
          </w:tcPr>
          <w:p>
            <w:pPr>
              <w:rPr>
                <w:rFonts w:hint="eastAsia"/>
                <w:bCs/>
                <w:szCs w:val="21"/>
              </w:rPr>
            </w:pPr>
          </w:p>
        </w:tc>
        <w:tc>
          <w:tcPr>
            <w:tcW w:w="737" w:type="dxa"/>
          </w:tcPr>
          <w:p>
            <w:pPr>
              <w:rPr>
                <w:rFonts w:hint="eastAsia"/>
                <w:bCs/>
                <w:szCs w:val="21"/>
              </w:rPr>
            </w:pPr>
          </w:p>
        </w:tc>
        <w:tc>
          <w:tcPr>
            <w:tcW w:w="42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Cs/>
              </w:rPr>
            </w:pPr>
            <w:r>
              <w:rPr>
                <w:rFonts w:hint="eastAsia"/>
                <w:bCs/>
              </w:rPr>
              <w:t>2</w:t>
            </w:r>
          </w:p>
        </w:tc>
        <w:tc>
          <w:tcPr>
            <w:tcW w:w="872" w:type="dxa"/>
            <w:vMerge w:val="restart"/>
            <w:vAlign w:val="center"/>
          </w:tcPr>
          <w:p>
            <w:r>
              <w:rPr>
                <w:rFonts w:hint="eastAsia"/>
              </w:rPr>
              <w:t>运输、安装调试及验收</w:t>
            </w:r>
          </w:p>
        </w:tc>
        <w:tc>
          <w:tcPr>
            <w:tcW w:w="5203"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1004" w:type="dxa"/>
          </w:tcPr>
          <w:p>
            <w:pPr>
              <w:spacing w:line="340" w:lineRule="exact"/>
              <w:rPr>
                <w:rFonts w:hint="eastAsia"/>
                <w:bCs/>
                <w:szCs w:val="21"/>
              </w:rPr>
            </w:pPr>
          </w:p>
        </w:tc>
        <w:tc>
          <w:tcPr>
            <w:tcW w:w="737" w:type="dxa"/>
          </w:tcPr>
          <w:p>
            <w:pPr>
              <w:spacing w:line="340" w:lineRule="exact"/>
              <w:rPr>
                <w:rFonts w:hint="eastAsia"/>
                <w:bCs/>
                <w:szCs w:val="21"/>
              </w:rPr>
            </w:pPr>
          </w:p>
        </w:tc>
        <w:tc>
          <w:tcPr>
            <w:tcW w:w="42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rPr>
            </w:pPr>
          </w:p>
        </w:tc>
        <w:tc>
          <w:tcPr>
            <w:tcW w:w="872" w:type="dxa"/>
            <w:vMerge w:val="continue"/>
          </w:tcPr>
          <w:p>
            <w:pPr>
              <w:rPr>
                <w:b/>
              </w:rPr>
            </w:pPr>
          </w:p>
        </w:tc>
        <w:tc>
          <w:tcPr>
            <w:tcW w:w="5203"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1004" w:type="dxa"/>
          </w:tcPr>
          <w:p>
            <w:pPr>
              <w:spacing w:line="340" w:lineRule="exact"/>
              <w:rPr>
                <w:rFonts w:hint="eastAsia"/>
                <w:bCs/>
                <w:szCs w:val="21"/>
              </w:rPr>
            </w:pPr>
          </w:p>
        </w:tc>
        <w:tc>
          <w:tcPr>
            <w:tcW w:w="737" w:type="dxa"/>
          </w:tcPr>
          <w:p>
            <w:pPr>
              <w:spacing w:line="340" w:lineRule="exact"/>
              <w:rPr>
                <w:rFonts w:hint="eastAsia"/>
                <w:bCs/>
                <w:szCs w:val="21"/>
              </w:rPr>
            </w:pPr>
          </w:p>
        </w:tc>
        <w:tc>
          <w:tcPr>
            <w:tcW w:w="42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rPr>
            </w:pPr>
          </w:p>
        </w:tc>
        <w:tc>
          <w:tcPr>
            <w:tcW w:w="872" w:type="dxa"/>
            <w:vMerge w:val="continue"/>
          </w:tcPr>
          <w:p>
            <w:pPr>
              <w:rPr>
                <w:b/>
              </w:rPr>
            </w:pPr>
          </w:p>
        </w:tc>
        <w:tc>
          <w:tcPr>
            <w:tcW w:w="5203"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1004" w:type="dxa"/>
          </w:tcPr>
          <w:p>
            <w:pPr>
              <w:spacing w:line="340" w:lineRule="exact"/>
              <w:rPr>
                <w:rFonts w:hint="eastAsia"/>
                <w:bCs/>
                <w:szCs w:val="21"/>
              </w:rPr>
            </w:pPr>
          </w:p>
        </w:tc>
        <w:tc>
          <w:tcPr>
            <w:tcW w:w="737" w:type="dxa"/>
          </w:tcPr>
          <w:p>
            <w:pPr>
              <w:spacing w:line="340" w:lineRule="exact"/>
              <w:rPr>
                <w:rFonts w:hint="eastAsia"/>
                <w:bCs/>
                <w:szCs w:val="21"/>
              </w:rPr>
            </w:pPr>
          </w:p>
        </w:tc>
        <w:tc>
          <w:tcPr>
            <w:tcW w:w="42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
              </w:rPr>
            </w:pPr>
          </w:p>
        </w:tc>
        <w:tc>
          <w:tcPr>
            <w:tcW w:w="872" w:type="dxa"/>
            <w:vMerge w:val="continue"/>
          </w:tcPr>
          <w:p>
            <w:pPr>
              <w:rPr>
                <w:b/>
              </w:rPr>
            </w:pPr>
          </w:p>
        </w:tc>
        <w:tc>
          <w:tcPr>
            <w:tcW w:w="5203"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1004" w:type="dxa"/>
          </w:tcPr>
          <w:p>
            <w:pPr>
              <w:spacing w:line="340" w:lineRule="exact"/>
              <w:rPr>
                <w:rFonts w:hint="eastAsia"/>
                <w:bCs/>
                <w:szCs w:val="21"/>
              </w:rPr>
            </w:pPr>
          </w:p>
        </w:tc>
        <w:tc>
          <w:tcPr>
            <w:tcW w:w="737" w:type="dxa"/>
          </w:tcPr>
          <w:p>
            <w:pPr>
              <w:spacing w:line="340" w:lineRule="exact"/>
              <w:rPr>
                <w:rFonts w:hint="eastAsia"/>
                <w:bCs/>
                <w:szCs w:val="21"/>
              </w:rPr>
            </w:pPr>
          </w:p>
        </w:tc>
        <w:tc>
          <w:tcPr>
            <w:tcW w:w="427"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Cs/>
              </w:rPr>
            </w:pPr>
            <w:r>
              <w:rPr>
                <w:rFonts w:hint="eastAsia"/>
                <w:bCs/>
              </w:rPr>
              <w:t>3</w:t>
            </w:r>
          </w:p>
        </w:tc>
        <w:tc>
          <w:tcPr>
            <w:tcW w:w="872" w:type="dxa"/>
            <w:vMerge w:val="restart"/>
            <w:vAlign w:val="center"/>
          </w:tcPr>
          <w:p>
            <w:pPr>
              <w:jc w:val="center"/>
            </w:pPr>
            <w:r>
              <w:rPr>
                <w:rFonts w:hint="eastAsia"/>
              </w:rPr>
              <w:t>关于违约</w:t>
            </w:r>
          </w:p>
        </w:tc>
        <w:tc>
          <w:tcPr>
            <w:tcW w:w="5203"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1004" w:type="dxa"/>
          </w:tcPr>
          <w:p>
            <w:pPr>
              <w:rPr>
                <w:rFonts w:hint="eastAsia"/>
                <w:b/>
              </w:rPr>
            </w:pPr>
          </w:p>
        </w:tc>
        <w:tc>
          <w:tcPr>
            <w:tcW w:w="737" w:type="dxa"/>
          </w:tcPr>
          <w:p>
            <w:pPr>
              <w:rPr>
                <w:rFonts w:hint="eastAsia"/>
                <w:b/>
              </w:rPr>
            </w:pPr>
          </w:p>
        </w:tc>
        <w:tc>
          <w:tcPr>
            <w:tcW w:w="427" w:type="dxa"/>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1004" w:type="dxa"/>
          </w:tcPr>
          <w:p>
            <w:pPr>
              <w:rPr>
                <w:rFonts w:hint="eastAsia"/>
                <w:b/>
              </w:rPr>
            </w:pPr>
          </w:p>
        </w:tc>
        <w:tc>
          <w:tcPr>
            <w:tcW w:w="737" w:type="dxa"/>
          </w:tcPr>
          <w:p>
            <w:pPr>
              <w:rPr>
                <w:rFonts w:hint="eastAsia"/>
                <w:b/>
              </w:rPr>
            </w:pPr>
          </w:p>
        </w:tc>
        <w:tc>
          <w:tcPr>
            <w:tcW w:w="427" w:type="dxa"/>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1004" w:type="dxa"/>
          </w:tcPr>
          <w:p>
            <w:pPr>
              <w:rPr>
                <w:rFonts w:hint="eastAsia" w:ascii="宋体" w:hAnsi="宋体"/>
                <w:bCs/>
                <w:kern w:val="0"/>
                <w:szCs w:val="21"/>
              </w:rPr>
            </w:pPr>
          </w:p>
        </w:tc>
        <w:tc>
          <w:tcPr>
            <w:tcW w:w="737" w:type="dxa"/>
          </w:tcPr>
          <w:p>
            <w:pPr>
              <w:rPr>
                <w:rFonts w:hint="eastAsia" w:ascii="宋体" w:hAnsi="宋体"/>
                <w:bCs/>
                <w:kern w:val="0"/>
                <w:szCs w:val="21"/>
              </w:rPr>
            </w:pPr>
          </w:p>
        </w:tc>
        <w:tc>
          <w:tcPr>
            <w:tcW w:w="427" w:type="dxa"/>
          </w:tcPr>
          <w:p>
            <w:pPr>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bCs/>
              </w:rPr>
            </w:pPr>
            <w:r>
              <w:rPr>
                <w:rFonts w:hint="eastAsia"/>
                <w:bCs/>
              </w:rPr>
              <w:t>3.6中标人逾期交货的，将被没收履约保证金并按主管部门相关规定处理。</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jc w:val="center"/>
              <w:rPr>
                <w:bCs/>
              </w:rPr>
            </w:pPr>
          </w:p>
        </w:tc>
        <w:tc>
          <w:tcPr>
            <w:tcW w:w="872" w:type="dxa"/>
            <w:vMerge w:val="continue"/>
            <w:vAlign w:val="center"/>
          </w:tcPr>
          <w:p>
            <w:pPr>
              <w:jc w:val="center"/>
            </w:pPr>
          </w:p>
        </w:tc>
        <w:tc>
          <w:tcPr>
            <w:tcW w:w="5203"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1004" w:type="dxa"/>
          </w:tcPr>
          <w:p>
            <w:pPr>
              <w:rPr>
                <w:rFonts w:hint="eastAsia"/>
                <w:bCs/>
              </w:rPr>
            </w:pPr>
          </w:p>
        </w:tc>
        <w:tc>
          <w:tcPr>
            <w:tcW w:w="737" w:type="dxa"/>
          </w:tcPr>
          <w:p>
            <w:pPr>
              <w:rPr>
                <w:rFonts w:hint="eastAsia"/>
                <w:bCs/>
              </w:rPr>
            </w:pPr>
          </w:p>
        </w:tc>
        <w:tc>
          <w:tcPr>
            <w:tcW w:w="427"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Align w:val="center"/>
          </w:tcPr>
          <w:p>
            <w:pPr>
              <w:jc w:val="center"/>
              <w:rPr>
                <w:bCs/>
              </w:rPr>
            </w:pPr>
            <w:r>
              <w:rPr>
                <w:rFonts w:hint="eastAsia"/>
                <w:bCs/>
              </w:rPr>
              <w:t>4</w:t>
            </w:r>
          </w:p>
        </w:tc>
        <w:tc>
          <w:tcPr>
            <w:tcW w:w="872" w:type="dxa"/>
            <w:vAlign w:val="center"/>
          </w:tcPr>
          <w:p>
            <w:pPr>
              <w:jc w:val="center"/>
            </w:pPr>
            <w:r>
              <w:rPr>
                <w:rFonts w:hint="eastAsia"/>
              </w:rPr>
              <w:t>关于付款</w:t>
            </w:r>
          </w:p>
        </w:tc>
        <w:tc>
          <w:tcPr>
            <w:tcW w:w="5203"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1004" w:type="dxa"/>
          </w:tcPr>
          <w:p>
            <w:pPr>
              <w:rPr>
                <w:rFonts w:hint="eastAsia"/>
                <w:bCs/>
                <w:szCs w:val="21"/>
              </w:rPr>
            </w:pPr>
          </w:p>
        </w:tc>
        <w:tc>
          <w:tcPr>
            <w:tcW w:w="737" w:type="dxa"/>
          </w:tcPr>
          <w:p>
            <w:pPr>
              <w:rPr>
                <w:rFonts w:hint="eastAsia"/>
                <w:bCs/>
                <w:szCs w:val="21"/>
              </w:rPr>
            </w:pPr>
          </w:p>
        </w:tc>
        <w:tc>
          <w:tcPr>
            <w:tcW w:w="427"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Align w:val="center"/>
          </w:tcPr>
          <w:p>
            <w:pPr>
              <w:jc w:val="center"/>
              <w:rPr>
                <w:bCs/>
              </w:rPr>
            </w:pPr>
            <w:r>
              <w:rPr>
                <w:rFonts w:hint="eastAsia"/>
                <w:bCs/>
              </w:rPr>
              <w:t>5</w:t>
            </w:r>
          </w:p>
        </w:tc>
        <w:tc>
          <w:tcPr>
            <w:tcW w:w="872" w:type="dxa"/>
            <w:vAlign w:val="center"/>
          </w:tcPr>
          <w:p>
            <w:pPr>
              <w:jc w:val="center"/>
            </w:pPr>
            <w:r>
              <w:rPr>
                <w:rFonts w:hint="eastAsia"/>
              </w:rPr>
              <w:t>报价要求</w:t>
            </w:r>
          </w:p>
        </w:tc>
        <w:tc>
          <w:tcPr>
            <w:tcW w:w="5203"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1004" w:type="dxa"/>
          </w:tcPr>
          <w:p>
            <w:pPr>
              <w:ind w:firstLine="420" w:firstLineChars="200"/>
              <w:rPr>
                <w:rFonts w:hint="eastAsia"/>
                <w:bCs/>
                <w:szCs w:val="21"/>
              </w:rPr>
            </w:pPr>
          </w:p>
        </w:tc>
        <w:tc>
          <w:tcPr>
            <w:tcW w:w="737" w:type="dxa"/>
          </w:tcPr>
          <w:p>
            <w:pPr>
              <w:ind w:firstLine="420" w:firstLineChars="200"/>
              <w:rPr>
                <w:rFonts w:hint="eastAsia"/>
                <w:bCs/>
                <w:szCs w:val="21"/>
              </w:rPr>
            </w:pPr>
          </w:p>
        </w:tc>
        <w:tc>
          <w:tcPr>
            <w:tcW w:w="427" w:type="dxa"/>
          </w:tcPr>
          <w:p>
            <w:pPr>
              <w:ind w:firstLine="420" w:firstLineChars="200"/>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restart"/>
            <w:vAlign w:val="center"/>
          </w:tcPr>
          <w:p>
            <w:pPr>
              <w:jc w:val="center"/>
              <w:rPr>
                <w:b/>
                <w:color w:val="FF0000"/>
              </w:rPr>
            </w:pPr>
            <w:r>
              <w:rPr>
                <w:b/>
                <w:color w:val="FF0000"/>
              </w:rPr>
              <w:t>6</w:t>
            </w:r>
          </w:p>
        </w:tc>
        <w:tc>
          <w:tcPr>
            <w:tcW w:w="872" w:type="dxa"/>
            <w:vMerge w:val="restart"/>
            <w:vAlign w:val="center"/>
          </w:tcPr>
          <w:p>
            <w:pPr>
              <w:jc w:val="center"/>
              <w:rPr>
                <w:b/>
                <w:color w:val="FF0000"/>
              </w:rPr>
            </w:pPr>
            <w:r>
              <w:rPr>
                <w:rFonts w:hint="eastAsia"/>
                <w:b/>
                <w:color w:val="FF0000"/>
              </w:rPr>
              <w:t>项目（产品）要求</w:t>
            </w:r>
          </w:p>
        </w:tc>
        <w:tc>
          <w:tcPr>
            <w:tcW w:w="5203"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1004" w:type="dxa"/>
          </w:tcPr>
          <w:p>
            <w:pPr>
              <w:rPr>
                <w:rFonts w:hint="eastAsia"/>
                <w:b/>
                <w:color w:val="FF0000"/>
              </w:rPr>
            </w:pPr>
          </w:p>
        </w:tc>
        <w:tc>
          <w:tcPr>
            <w:tcW w:w="737" w:type="dxa"/>
          </w:tcPr>
          <w:p>
            <w:pPr>
              <w:rPr>
                <w:rFonts w:hint="eastAsia"/>
                <w:b/>
                <w:color w:val="FF0000"/>
              </w:rPr>
            </w:pPr>
          </w:p>
        </w:tc>
        <w:tc>
          <w:tcPr>
            <w:tcW w:w="427" w:type="dxa"/>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8" w:type="dxa"/>
            <w:vMerge w:val="continue"/>
            <w:vAlign w:val="center"/>
          </w:tcPr>
          <w:p>
            <w:pPr>
              <w:rPr>
                <w:b/>
                <w:color w:val="FF0000"/>
              </w:rPr>
            </w:pPr>
          </w:p>
        </w:tc>
        <w:tc>
          <w:tcPr>
            <w:tcW w:w="872" w:type="dxa"/>
            <w:vMerge w:val="continue"/>
          </w:tcPr>
          <w:p>
            <w:pPr>
              <w:rPr>
                <w:b/>
                <w:color w:val="FF0000"/>
              </w:rPr>
            </w:pPr>
          </w:p>
        </w:tc>
        <w:tc>
          <w:tcPr>
            <w:tcW w:w="5203"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1004" w:type="dxa"/>
          </w:tcPr>
          <w:p>
            <w:pPr>
              <w:rPr>
                <w:rFonts w:hint="eastAsia"/>
                <w:b/>
                <w:color w:val="FF0000"/>
              </w:rPr>
            </w:pPr>
          </w:p>
        </w:tc>
        <w:tc>
          <w:tcPr>
            <w:tcW w:w="737" w:type="dxa"/>
          </w:tcPr>
          <w:p>
            <w:pPr>
              <w:rPr>
                <w:rFonts w:hint="eastAsia"/>
                <w:b/>
                <w:color w:val="FF0000"/>
              </w:rPr>
            </w:pPr>
          </w:p>
        </w:tc>
        <w:tc>
          <w:tcPr>
            <w:tcW w:w="427" w:type="dxa"/>
          </w:tcPr>
          <w:p>
            <w:pPr>
              <w:rPr>
                <w:rFonts w:hint="eastAsia"/>
                <w:b/>
                <w:color w:val="FF0000"/>
              </w:rPr>
            </w:pPr>
          </w:p>
        </w:tc>
      </w:tr>
    </w:tbl>
    <w:p>
      <w:pPr>
        <w:ind w:firstLine="482" w:firstLineChars="200"/>
        <w:rPr>
          <w:b/>
          <w:sz w:val="24"/>
        </w:rPr>
      </w:pPr>
      <w:r>
        <w:rPr>
          <w:rFonts w:hint="eastAsia"/>
          <w:b/>
          <w:sz w:val="24"/>
        </w:rPr>
        <w:t>《商务要求偏离表》编制指引：</w:t>
      </w:r>
    </w:p>
    <w:p>
      <w:pPr>
        <w:ind w:firstLine="482" w:firstLineChars="200"/>
        <w:rPr>
          <w:b/>
          <w:sz w:val="24"/>
        </w:rPr>
      </w:pPr>
      <w:r>
        <w:rPr>
          <w:rFonts w:hint="eastAsia"/>
          <w:b/>
          <w:sz w:val="24"/>
        </w:rPr>
        <w:t>1、商务要求偏离表的序号、商务需求项、招标商务要求等栏目对应“招标项目需求”中的“商务需求”章节相关内容。</w:t>
      </w:r>
    </w:p>
    <w:p>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sz w:val="24"/>
        </w:rPr>
      </w:pPr>
    </w:p>
    <w:p>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pPr>
        <w:outlineLvl w:val="3"/>
        <w:rPr>
          <w:b/>
          <w:sz w:val="22"/>
        </w:rPr>
      </w:pPr>
      <w:r>
        <w:rPr>
          <w:rFonts w:hint="eastAsia" w:ascii="黑体" w:hAnsi="宋体" w:eastAsia="黑体"/>
          <w:bCs/>
          <w:kern w:val="0"/>
          <w:sz w:val="24"/>
          <w:szCs w:val="32"/>
        </w:rPr>
        <w:t>（一）</w:t>
      </w:r>
      <w:r>
        <w:rPr>
          <w:rFonts w:hint="eastAsia"/>
          <w:b/>
          <w:sz w:val="22"/>
        </w:rPr>
        <w:t>投标人认为需提供的其他证明文件</w:t>
      </w:r>
    </w:p>
    <w:p/>
    <w:p/>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pPr>
        <w:ind w:firstLine="411" w:firstLineChars="196"/>
      </w:pPr>
    </w:p>
    <w:p>
      <w:pPr>
        <w:jc w:val="center"/>
        <w:outlineLvl w:val="0"/>
      </w:pPr>
      <w:bookmarkStart w:id="70" w:name="_Hlk72574405"/>
      <w:bookmarkStart w:id="71" w:name="_Hlk72260917"/>
      <w:r>
        <w:rPr>
          <w:rFonts w:hint="eastAsia"/>
          <w:b/>
          <w:sz w:val="24"/>
        </w:rPr>
        <w:t>（仅供参考，具体以项目需求及采购结果为准）</w:t>
      </w:r>
      <w:bookmarkEnd w:id="70"/>
    </w:p>
    <w:p>
      <w:pPr>
        <w:rPr>
          <w:rFonts w:ascii="宋体" w:hAnsi="宋体"/>
          <w:b/>
          <w:bCs/>
          <w:szCs w:val="21"/>
        </w:rPr>
      </w:pPr>
      <w:r>
        <w:rPr>
          <w:rFonts w:hint="eastAsia" w:ascii="宋体" w:hAnsi="宋体"/>
          <w:b/>
          <w:bCs/>
          <w:szCs w:val="21"/>
        </w:rPr>
        <w:t>甲方：</w:t>
      </w:r>
    </w:p>
    <w:p>
      <w:pPr>
        <w:rPr>
          <w:rFonts w:ascii="宋体" w:hAnsi="宋体"/>
          <w:szCs w:val="21"/>
        </w:rPr>
      </w:pPr>
      <w:bookmarkStart w:id="72" w:name="_Hlk75014453"/>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b/>
          <w:bCs/>
          <w:szCs w:val="21"/>
        </w:rPr>
      </w:pPr>
      <w:r>
        <w:rPr>
          <w:rFonts w:hint="eastAsia" w:ascii="宋体" w:hAnsi="宋体"/>
          <w:szCs w:val="21"/>
        </w:rPr>
        <w:t>联系电话：</w:t>
      </w:r>
      <w:bookmarkEnd w:id="72"/>
    </w:p>
    <w:p>
      <w:pPr>
        <w:rPr>
          <w:rFonts w:ascii="宋体" w:hAnsi="宋体"/>
          <w:b/>
          <w:bCs/>
          <w:szCs w:val="21"/>
        </w:rPr>
      </w:pPr>
    </w:p>
    <w:p>
      <w:pPr>
        <w:rPr>
          <w:rFonts w:ascii="宋体" w:hAnsi="宋体"/>
          <w:b/>
          <w:bCs/>
          <w:szCs w:val="21"/>
        </w:rPr>
      </w:pPr>
      <w:r>
        <w:rPr>
          <w:rFonts w:hint="eastAsia" w:ascii="宋体" w:hAnsi="宋体"/>
          <w:b/>
          <w:bCs/>
          <w:szCs w:val="21"/>
        </w:rPr>
        <w:t>乙方：</w:t>
      </w:r>
      <w:bookmarkEnd w:id="71"/>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联系电话：</w:t>
      </w:r>
    </w:p>
    <w:p>
      <w:pPr>
        <w:rPr>
          <w:rFonts w:ascii="宋体" w:hAnsi="宋体"/>
          <w:szCs w:val="21"/>
        </w:rPr>
      </w:pPr>
    </w:p>
    <w:p>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10"/>
        </w:numPr>
        <w:spacing w:line="360" w:lineRule="auto"/>
        <w:ind w:firstLine="560"/>
        <w:jc w:val="left"/>
        <w:outlineLvl w:val="0"/>
        <w:rPr>
          <w:b/>
          <w:szCs w:val="21"/>
        </w:rPr>
      </w:pPr>
      <w:r>
        <w:rPr>
          <w:rFonts w:hint="eastAsia"/>
          <w:b/>
          <w:szCs w:val="21"/>
        </w:rPr>
        <w:t>履行期限</w:t>
      </w:r>
    </w:p>
    <w:p>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10"/>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numPr>
          <w:ilvl w:val="255"/>
          <w:numId w:val="0"/>
        </w:numPr>
        <w:spacing w:line="360" w:lineRule="auto"/>
        <w:ind w:firstLine="422" w:firstLineChars="200"/>
        <w:jc w:val="left"/>
        <w:outlineLvl w:val="0"/>
        <w:rPr>
          <w:b/>
          <w:szCs w:val="21"/>
        </w:rPr>
      </w:pPr>
      <w:r>
        <w:rPr>
          <w:rFonts w:hint="eastAsia"/>
          <w:b/>
          <w:szCs w:val="21"/>
        </w:rPr>
        <w:t>第十条  货款支付</w:t>
      </w:r>
    </w:p>
    <w:p>
      <w:pPr>
        <w:spacing w:line="360" w:lineRule="auto"/>
        <w:jc w:val="left"/>
        <w:outlineLvl w:val="0"/>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p>
      <w:pPr>
        <w:widowControl/>
        <w:jc w:val="left"/>
        <w:rPr>
          <w:rFonts w:ascii="宋体" w:hAnsi="宋体"/>
          <w:szCs w:val="21"/>
        </w:rPr>
      </w:pPr>
      <w:r>
        <w:rPr>
          <w:rFonts w:ascii="宋体" w:hAnsi="宋体"/>
          <w:szCs w:val="21"/>
        </w:rPr>
        <w:br w:type="page"/>
      </w:r>
    </w:p>
    <w:p>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84"/>
    <w:p>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6"/>
    <w:p>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pPr>
        <w:rPr>
          <w:rFonts w:ascii="黑体" w:hAnsi="宋体" w:eastAsia="黑体"/>
          <w:sz w:val="24"/>
        </w:rPr>
      </w:pPr>
      <w:bookmarkStart w:id="91"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5" w:name="_Toc100052400"/>
      <w:bookmarkStart w:id="96" w:name="_Toc73518151"/>
      <w:bookmarkStart w:id="97" w:name="_Toc73521669"/>
      <w:bookmarkStart w:id="98" w:name="_Toc73517673"/>
      <w:bookmarkStart w:id="99" w:name="_Toc73521581"/>
      <w:r>
        <w:rPr>
          <w:rFonts w:hint="eastAsia" w:ascii="黑体" w:hAnsi="宋体" w:eastAsia="黑体"/>
          <w:sz w:val="24"/>
        </w:rPr>
        <w:t>34．错误的修正</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0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0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pPr>
        <w:rPr>
          <w:rFonts w:ascii="黑体" w:hAnsi="宋体" w:eastAsia="黑体"/>
          <w:sz w:val="24"/>
        </w:rPr>
      </w:pPr>
      <w:bookmarkStart w:id="110" w:name="_Toc100052408"/>
      <w:bookmarkStart w:id="111" w:name="_Toc73517679"/>
      <w:bookmarkStart w:id="112" w:name="_Toc73521586"/>
      <w:bookmarkStart w:id="113" w:name="_Toc73518157"/>
      <w:bookmarkStart w:id="114" w:name="_Toc73521674"/>
      <w:bookmarkStart w:id="115" w:name="_Hlk72439088"/>
      <w:r>
        <w:rPr>
          <w:rFonts w:hint="eastAsia" w:ascii="黑体" w:hAnsi="宋体" w:eastAsia="黑体"/>
          <w:sz w:val="24"/>
        </w:rPr>
        <w:t>43．合同授予标准</w:t>
      </w:r>
      <w:bookmarkEnd w:id="110"/>
      <w:bookmarkEnd w:id="111"/>
      <w:bookmarkEnd w:id="112"/>
      <w:bookmarkEnd w:id="113"/>
      <w:bookmarkEnd w:id="11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16" w:name="_Toc73521675"/>
      <w:bookmarkStart w:id="117" w:name="_Toc73518158"/>
      <w:bookmarkStart w:id="118" w:name="_Toc100052409"/>
      <w:bookmarkStart w:id="119" w:name="_Toc73521587"/>
      <w:bookmarkStart w:id="120" w:name="_Toc73517680"/>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21" w:name="_Toc73518160"/>
      <w:bookmarkStart w:id="122" w:name="_Toc73521589"/>
      <w:bookmarkStart w:id="123" w:name="_Toc73521677"/>
      <w:bookmarkStart w:id="124" w:name="_Toc100052410"/>
      <w:bookmarkStart w:id="125" w:name="_Toc73517682"/>
      <w:r>
        <w:rPr>
          <w:rFonts w:hint="eastAsia" w:ascii="黑体" w:hAnsi="宋体" w:eastAsia="黑体"/>
          <w:sz w:val="24"/>
        </w:rPr>
        <w:t>45．合同的签订</w:t>
      </w:r>
      <w:bookmarkEnd w:id="121"/>
      <w:bookmarkEnd w:id="122"/>
      <w:bookmarkEnd w:id="123"/>
      <w:bookmarkEnd w:id="124"/>
      <w:bookmarkEnd w:id="12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26" w:name="_Toc100052411"/>
      <w:bookmarkStart w:id="127" w:name="_Toc73518161"/>
      <w:bookmarkStart w:id="128" w:name="_Toc73521678"/>
      <w:bookmarkStart w:id="129" w:name="_Toc73521590"/>
      <w:bookmarkStart w:id="130" w:name="_Toc73517683"/>
      <w:r>
        <w:rPr>
          <w:rFonts w:hint="eastAsia" w:ascii="黑体" w:hAnsi="宋体" w:eastAsia="黑体"/>
          <w:sz w:val="24"/>
        </w:rPr>
        <w:t>46．履约担保</w:t>
      </w:r>
      <w:bookmarkEnd w:id="126"/>
      <w:bookmarkEnd w:id="127"/>
      <w:bookmarkEnd w:id="128"/>
      <w:bookmarkEnd w:id="129"/>
      <w:bookmarkEnd w:id="13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pPr>
        <w:rPr>
          <w:rFonts w:ascii="黑体" w:hAnsi="宋体" w:eastAsia="黑体"/>
          <w:sz w:val="24"/>
        </w:rPr>
      </w:pPr>
      <w:bookmarkStart w:id="132"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32"/>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E0EFC052"/>
    <w:multiLevelType w:val="multilevel"/>
    <w:tmpl w:val="E0EFC052"/>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0"/>
  </w:num>
  <w:num w:numId="6">
    <w:abstractNumId w:val="8"/>
  </w:num>
  <w:num w:numId="7">
    <w:abstractNumId w:val="2"/>
  </w:num>
  <w:num w:numId="8">
    <w:abstractNumId w:val="0"/>
    <w:lvlOverride w:ilvl="0">
      <w:startOverride w:val="1"/>
    </w:lvlOverride>
  </w:num>
  <w:num w:numId="9">
    <w:abstractNumId w:val="1"/>
    <w:lvlOverride w:ilvl="0">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46AE7"/>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0F43"/>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554"/>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466"/>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27E3"/>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0A6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49BC"/>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193"/>
    <w:rsid w:val="00C00D03"/>
    <w:rsid w:val="00C00D9C"/>
    <w:rsid w:val="00C01DFC"/>
    <w:rsid w:val="00C0270E"/>
    <w:rsid w:val="00C0282B"/>
    <w:rsid w:val="00C047A4"/>
    <w:rsid w:val="00C05013"/>
    <w:rsid w:val="00C067E0"/>
    <w:rsid w:val="00C0773D"/>
    <w:rsid w:val="00C1025D"/>
    <w:rsid w:val="00C114B0"/>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452"/>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87B8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1C0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95978F6"/>
    <w:rsid w:val="099845A3"/>
    <w:rsid w:val="09E507C4"/>
    <w:rsid w:val="0B895A7E"/>
    <w:rsid w:val="0CCE336A"/>
    <w:rsid w:val="0EBF659B"/>
    <w:rsid w:val="119C47FB"/>
    <w:rsid w:val="17F92FBA"/>
    <w:rsid w:val="1D8B78E5"/>
    <w:rsid w:val="23D0643C"/>
    <w:rsid w:val="246D3270"/>
    <w:rsid w:val="247328C7"/>
    <w:rsid w:val="247E0F16"/>
    <w:rsid w:val="25A8406F"/>
    <w:rsid w:val="2BF57814"/>
    <w:rsid w:val="2C1803D1"/>
    <w:rsid w:val="2C736189"/>
    <w:rsid w:val="2EB317DB"/>
    <w:rsid w:val="30857540"/>
    <w:rsid w:val="309219FF"/>
    <w:rsid w:val="312A4793"/>
    <w:rsid w:val="396F4D8C"/>
    <w:rsid w:val="3AAC3353"/>
    <w:rsid w:val="3B3E4A0E"/>
    <w:rsid w:val="3C4D60BF"/>
    <w:rsid w:val="3E80617B"/>
    <w:rsid w:val="3FC074ED"/>
    <w:rsid w:val="43170D39"/>
    <w:rsid w:val="460920ED"/>
    <w:rsid w:val="48AB78C3"/>
    <w:rsid w:val="48B50DCA"/>
    <w:rsid w:val="4AEE2F19"/>
    <w:rsid w:val="50A71822"/>
    <w:rsid w:val="530D267A"/>
    <w:rsid w:val="586725A2"/>
    <w:rsid w:val="59B73A77"/>
    <w:rsid w:val="5C6D0519"/>
    <w:rsid w:val="5D1B6BFB"/>
    <w:rsid w:val="5E051974"/>
    <w:rsid w:val="63D21740"/>
    <w:rsid w:val="666A7063"/>
    <w:rsid w:val="6C140B53"/>
    <w:rsid w:val="6E9F2557"/>
    <w:rsid w:val="70C43FF4"/>
    <w:rsid w:val="74374BCA"/>
    <w:rsid w:val="79057344"/>
    <w:rsid w:val="7A4C4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Char"/>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9"/>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宋体" w:hAnsi="宋体"/>
      <w:b/>
      <w:sz w:val="28"/>
      <w:szCs w:val="28"/>
    </w:rPr>
  </w:style>
  <w:style w:type="character" w:customStyle="1" w:styleId="57">
    <w:name w:val="正文缩进 Char"/>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qFormat/>
    <w:uiPriority w:val="0"/>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F86A0-9989-495E-84BB-5B2A55BB52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39314</Words>
  <Characters>4110</Characters>
  <Lines>34</Lines>
  <Paragraphs>86</Paragraphs>
  <TotalTime>4</TotalTime>
  <ScaleCrop>false</ScaleCrop>
  <LinksUpToDate>false</LinksUpToDate>
  <CharactersWithSpaces>43338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罗忠琴</cp:lastModifiedBy>
  <cp:lastPrinted>2018-11-06T09:21:00Z</cp:lastPrinted>
  <dcterms:modified xsi:type="dcterms:W3CDTF">2021-10-20T03:31:05Z</dcterms:modified>
  <dc:title>招  标　文　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71F69C2821E24AAAAD15397EC069A15E</vt:lpwstr>
  </property>
</Properties>
</file>