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keepNext w:val="0"/>
        <w:keepLines w:val="0"/>
        <w:widowControl/>
        <w:suppressLineNumbers w:val="0"/>
        <w:spacing w:before="454" w:beforeAutospacing="0" w:after="454" w:afterAutospacing="0"/>
        <w:ind w:left="454" w:right="454"/>
        <w:jc w:val="center"/>
        <w:outlineLvl w:val="0"/>
        <w:rPr>
          <w:sz w:val="40"/>
          <w:szCs w:val="40"/>
        </w:rPr>
      </w:pPr>
      <w:r>
        <w:rPr>
          <w:sz w:val="40"/>
          <w:szCs w:val="40"/>
        </w:rPr>
        <w:t>深圳市眼科医院医用设备提升-全自动三维扫频生物测量仪项目</w:t>
      </w:r>
    </w:p>
    <w:p>
      <w:pPr>
        <w:pStyle w:val="38"/>
        <w:keepNext w:val="0"/>
        <w:keepLines w:val="0"/>
        <w:widowControl/>
        <w:suppressLineNumbers w:val="0"/>
        <w:jc w:val="center"/>
        <w:outlineLvl w:val="1"/>
        <w:rPr>
          <w:rFonts w:ascii="黑体" w:hAnsi="宋体" w:eastAsia="黑体" w:cs="黑体"/>
          <w:sz w:val="40"/>
          <w:szCs w:val="40"/>
        </w:rPr>
      </w:pPr>
      <w:r>
        <w:rPr>
          <w:rFonts w:hint="eastAsia" w:ascii="黑体" w:hAnsi="宋体" w:eastAsia="黑体" w:cs="黑体"/>
          <w:sz w:val="40"/>
          <w:szCs w:val="40"/>
          <w:bdr w:val="none" w:color="auto" w:sz="0" w:space="0"/>
        </w:rPr>
        <w:t>招标文件信息</w:t>
      </w:r>
    </w:p>
    <w:tbl>
      <w:tblPr>
        <w:tblW w:w="794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45" w:type="dxa"/>
          <w:left w:w="45" w:type="dxa"/>
          <w:bottom w:w="45" w:type="dxa"/>
          <w:right w:w="45" w:type="dxa"/>
        </w:tblCellMar>
      </w:tblPr>
      <w:tblGrid>
        <w:gridCol w:w="2723"/>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2723" w:type="dxa"/>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项目编号：</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SZCG2021200972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项目名称：</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深圳市眼科医院医用设备提升-全自动三维扫频生物测量仪项目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包 号：</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项目类型：</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采购方式：</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货币类型：</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评标方法：</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综合评分法（新价格分算法）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暗标模式：</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暗标A</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资格性审查表</w:t>
      </w:r>
    </w:p>
    <w:tbl>
      <w:tblPr>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794"/>
        <w:gridCol w:w="9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投标人不符合资格要求，或未提交相应的资格证明资料（详见招标公告投标人资格要求，即申请人的资格要求）</w:t>
            </w:r>
          </w:p>
        </w:tc>
      </w:tr>
    </w:tbl>
    <w:p>
      <w:pPr>
        <w:pStyle w:val="38"/>
        <w:keepNext w:val="0"/>
        <w:keepLines w:val="0"/>
        <w:widowControl/>
        <w:suppressLineNumbers w:val="0"/>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符合性审查表</w:t>
      </w:r>
    </w:p>
    <w:tbl>
      <w:tblPr>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794"/>
        <w:gridCol w:w="9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分项报价或投标总价高于相应预算金额（或设定的预算金额下的最高限价）；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所投货物、服务在技术、商务等方面没有实质性满足招标文件要求的（是否实质性满足招标文件要求，由评审委员会根据《实质性条款响应情况表》做出评判）；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投标文件电子文档带病毒；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投标文件用不属于本公司的电子密钥进行加密的；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误选了非本项目的最新加密规则文件，导致投标文件不能在开标时解密；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投标文件中出现违反暗标项目的信息屏蔽要求的（详见第二章招标项目需求“暗标要求”）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法律、法规、规章、规范性文件规定的其他情形。</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评标信息</w:t>
      </w:r>
    </w:p>
    <w:tbl>
      <w:tblPr>
        <w:tblW w:w="9078"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autofit"/>
        <w:tblCellMar>
          <w:top w:w="45" w:type="dxa"/>
          <w:left w:w="45" w:type="dxa"/>
          <w:bottom w:w="45" w:type="dxa"/>
          <w:right w:w="45" w:type="dxa"/>
        </w:tblCellMar>
      </w:tblPr>
      <w:tblGrid>
        <w:gridCol w:w="8860"/>
        <w:gridCol w:w="21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CellMar>
            <w:top w:w="45" w:type="dxa"/>
            <w:left w:w="45" w:type="dxa"/>
            <w:bottom w:w="45" w:type="dxa"/>
            <w:right w:w="45" w:type="dxa"/>
          </w:tblCellMar>
        </w:tblPrEx>
        <w:trPr>
          <w:tblCellSpacing w:w="0" w:type="dxa"/>
          <w:jc w:val="center"/>
        </w:trPr>
        <w:tc>
          <w:tcPr>
            <w:tcW w:w="0" w:type="auto"/>
            <w:shd w:val="clear"/>
            <w:vAlign w:val="center"/>
          </w:tcPr>
          <w:p>
            <w:pPr>
              <w:keepNext w:val="0"/>
              <w:keepLines w:val="0"/>
              <w:widowControl/>
              <w:suppressLineNumbers w:val="0"/>
              <w:jc w:val="left"/>
              <w:rPr>
                <w:b/>
                <w:bCs/>
                <w:sz w:val="24"/>
                <w:szCs w:val="24"/>
              </w:rPr>
            </w:pPr>
            <w:r>
              <w:rPr>
                <w:rFonts w:ascii="宋体" w:hAnsi="宋体" w:eastAsia="宋体" w:cs="宋体"/>
                <w:b/>
                <w:bCs/>
                <w:kern w:val="0"/>
                <w:sz w:val="24"/>
                <w:szCs w:val="24"/>
                <w:bdr w:val="none" w:color="auto" w:sz="0" w:space="0"/>
                <w:lang w:val="en-US" w:eastAsia="zh-CN" w:bidi="ar"/>
              </w:rPr>
              <w:t>评标方法：综合评分法（新价格分算法）</w:t>
            </w:r>
          </w:p>
        </w:tc>
        <w:tc>
          <w:tcPr>
            <w:tcW w:w="0" w:type="auto"/>
            <w:shd w:val="clear"/>
            <w:vAlign w:val="center"/>
          </w:tcPr>
          <w:p>
            <w:pPr>
              <w:jc w:val="right"/>
              <w:rPr>
                <w:rFonts w:hint="eastAsia" w:ascii="宋体"/>
                <w:b/>
                <w:bCs/>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CellMar>
            <w:top w:w="45" w:type="dxa"/>
            <w:left w:w="45" w:type="dxa"/>
            <w:bottom w:w="45" w:type="dxa"/>
            <w:right w:w="45" w:type="dxa"/>
          </w:tblCellMar>
        </w:tblPrEx>
        <w:trPr>
          <w:tblCellSpacing w:w="0" w:type="dxa"/>
          <w:jc w:val="center"/>
        </w:trPr>
        <w:tc>
          <w:tcPr>
            <w:tcW w:w="0" w:type="auto"/>
            <w:gridSpan w:val="2"/>
            <w:shd w:val="clear"/>
            <w:vAlign w:val="center"/>
          </w:tcPr>
          <w:p>
            <w:pPr>
              <w:pStyle w:val="38"/>
              <w:keepNext w:val="0"/>
              <w:keepLines w:val="0"/>
              <w:widowControl/>
              <w:numPr>
                <w:numId w:val="0"/>
              </w:numPr>
              <w:suppressLineNumbers w:val="0"/>
              <w:spacing w:line="324" w:lineRule="auto"/>
              <w:ind w:left="0" w:firstLine="420"/>
              <w:rPr>
                <w:sz w:val="21"/>
                <w:szCs w:val="21"/>
              </w:rPr>
            </w:pPr>
            <w:r>
              <w:rPr>
                <w:sz w:val="21"/>
                <w:szCs w:val="21"/>
                <w:bdr w:val="none" w:color="auto" w:sz="0" w:space="0"/>
              </w:rPr>
              <w:t xml:space="preserve">综合评分法，是指投标文件满足招标文件全部实质性要求，且按照评审因素的量化指标评审得分最高的投标人为中标候选人的评标方法。 </w:t>
            </w:r>
          </w:p>
          <w:p>
            <w:pPr>
              <w:pStyle w:val="38"/>
              <w:keepNext w:val="0"/>
              <w:keepLines w:val="0"/>
              <w:widowControl/>
              <w:suppressLineNumbers w:val="0"/>
              <w:ind w:left="0" w:firstLine="420"/>
              <w:rPr>
                <w:sz w:val="21"/>
                <w:szCs w:val="21"/>
              </w:rPr>
            </w:pPr>
            <w:r>
              <w:rPr>
                <w:sz w:val="21"/>
                <w:szCs w:val="21"/>
                <w:bdr w:val="none" w:color="auto" w:sz="0" w:space="0"/>
              </w:rPr>
              <w:t>价格分计算方法：</w:t>
            </w:r>
          </w:p>
          <w:p>
            <w:pPr>
              <w:pStyle w:val="38"/>
              <w:keepNext w:val="0"/>
              <w:keepLines w:val="0"/>
              <w:widowControl/>
              <w:numPr>
                <w:numId w:val="0"/>
              </w:numPr>
              <w:suppressLineNumbers w:val="0"/>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pPr>
        <w:rPr>
          <w:vanish/>
          <w:sz w:val="24"/>
          <w:szCs w:val="24"/>
        </w:rPr>
      </w:pPr>
    </w:p>
    <w:tbl>
      <w:tblPr>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665"/>
        <w:gridCol w:w="663"/>
        <w:gridCol w:w="2672"/>
        <w:gridCol w:w="1094"/>
        <w:gridCol w:w="3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评分项</w:t>
            </w:r>
          </w:p>
        </w:tc>
        <w:tc>
          <w:tcPr>
            <w:tcW w:w="4199"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1</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价格</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2</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技术部分</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技术保障措施</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投标人需充分说明技术保障措施，包括①项目组织管理方案、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②项目进度计划、③项目质量控制措施、④项目进度控制措施、⑤项目技术实力共5项保障措施: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1、保障措施等于5项，得100分；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2、保障措施3-4项的，得50分；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3、保障措施小于3项的，不得分。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技术规格偏离情况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50</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投标人应如实填写《技术要求偏离表》，评审委员会根据技术需求参数响应情况进行打分，各项技术参数指标及要求全部满足的得100分， 带▲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参数为重点参数，每负偏离一项扣11分；其他一般参数每偏离一项扣5.5分，扣完为止；正偏离不加分。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3</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商务需求</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免费保修期内售后服务条款偏离情况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6</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1.投标人应如实填写《商务要求偏离表（免费保修期内售后服务要求）》，评审委员会根据响应情况进行打分。在满足免费保修期的基础上，每增加一年加20分，最高得60分。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2.其他要求全部满足要求的得40分，每负偏离一项扣10分。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免费保修期外售后服务条款偏离情况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4</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投标人应如实填写《商务要求偏离表（免费保修期外售后服务要求）》，评审委员会根据响应情况进行打分，全部满足要求的得100分，每负偏离一项扣20分。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其他商务条款偏离情况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投标人应如实填写《商务要求偏离表（其他商务要求）》，评审委员会根据响应情况进行打分，全部满足要求的得100分，每负偏离一项扣7分。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4</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诚信情况</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诚信</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5</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投标书目录</w:t>
      </w:r>
    </w:p>
    <w:tbl>
      <w:tblPr>
        <w:tblW w:w="907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45" w:type="dxa"/>
          <w:left w:w="45" w:type="dxa"/>
          <w:bottom w:w="45" w:type="dxa"/>
          <w:right w:w="45" w:type="dxa"/>
        </w:tblCellMar>
      </w:tblPr>
      <w:tblGrid>
        <w:gridCol w:w="9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blCellSpacing w:w="0" w:type="dxa"/>
          <w:jc w:val="center"/>
        </w:trPr>
        <w:tc>
          <w:tcPr>
            <w:tcW w:w="0" w:type="auto"/>
            <w:shd w:val="clear"/>
            <w:vAlign w:val="center"/>
          </w:tcPr>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一、投标函</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二、政府采购投标及履约承诺函</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三、分项报价清单</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四、投标供应商情况及资格证明文件</w:t>
            </w:r>
          </w:p>
        </w:tc>
      </w:tr>
    </w:tbl>
    <w:p>
      <w:p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bookmarkStart w:id="134" w:name="_GoBack"/>
      <w:bookmarkEnd w:id="134"/>
    </w:p>
    <w:p>
      <w:pPr>
        <w:pStyle w:val="2"/>
      </w:pP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（医疗设备类暗标）</w:t>
      </w:r>
    </w:p>
    <w:p/>
    <w:p/>
    <w:p/>
    <w:p/>
    <w:p/>
    <w:p/>
    <w:p/>
    <w:p/>
    <w:p/>
    <w:p/>
    <w:p/>
    <w:p/>
    <w:p/>
    <w:p/>
    <w:p/>
    <w:p/>
    <w:p>
      <w:pPr>
        <w:jc w:val="center"/>
        <w:rPr>
          <w:b/>
          <w:sz w:val="44"/>
          <w:szCs w:val="44"/>
        </w:rPr>
      </w:pPr>
      <w:bookmarkStart w:id="0" w:name="_Hlk71465316"/>
      <w:r>
        <w:rPr>
          <w:rFonts w:hint="eastAsia"/>
          <w:b/>
          <w:sz w:val="44"/>
          <w:szCs w:val="44"/>
        </w:rPr>
        <w:t>深圳公共资源交易中心</w:t>
      </w:r>
    </w:p>
    <w:p>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r>
        <w:rPr>
          <w:rFonts w:hint="eastAsia"/>
        </w:rPr>
        <w:br w:type="page"/>
      </w:r>
    </w:p>
    <w:p>
      <w:pPr>
        <w:ind w:firstLine="3654" w:firstLineChars="130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0" w:firstLineChars="200"/>
        <w:rPr>
          <w:rFonts w:ascii="宋体" w:hAnsi="宋体"/>
          <w:color w:val="FF0000"/>
          <w:sz w:val="20"/>
          <w:szCs w:val="20"/>
        </w:rPr>
      </w:pPr>
      <w:r>
        <w:rPr>
          <w:rFonts w:hint="eastAsia" w:ascii="宋体" w:hAnsi="宋体"/>
          <w:color w:val="FF0000"/>
          <w:sz w:val="20"/>
          <w:szCs w:val="20"/>
        </w:rPr>
        <w:t>二、</w:t>
      </w:r>
      <w:r>
        <w:rPr>
          <w:rFonts w:hint="eastAsia" w:ascii="宋体" w:hAnsi="宋体"/>
          <w:b/>
          <w:bCs/>
          <w:color w:val="FF0000"/>
          <w:sz w:val="20"/>
          <w:szCs w:val="20"/>
        </w:rPr>
        <w:t>《深圳经济特区政府采购条例实施细则》第七十六条</w:t>
      </w:r>
      <w:r>
        <w:rPr>
          <w:rFonts w:hint="eastAsia" w:ascii="宋体" w:hAnsi="宋体"/>
          <w:color w:val="FF0000"/>
          <w:sz w:val="20"/>
          <w:szCs w:val="20"/>
        </w:rPr>
        <w:t xml:space="preserve"> 供应商有下列行为之一的，由主管部门记入供应商诚信档案并作出以下处罚：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供应商有下列行为之一的，属于情节严重，由市场监管部门依法吊销其营业执照，主管部门取消其参与本市政府采购的资格，并作出以下处罚：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ind w:firstLine="402" w:firstLineChars="200"/>
        <w:rPr>
          <w:rFonts w:ascii="宋体" w:hAnsi="宋体"/>
          <w:color w:val="FF0000"/>
          <w:sz w:val="20"/>
          <w:szCs w:val="20"/>
        </w:rPr>
      </w:pPr>
      <w:r>
        <w:rPr>
          <w:rFonts w:hint="eastAsia" w:ascii="宋体" w:hAnsi="宋体"/>
          <w:b/>
          <w:bCs/>
          <w:color w:val="FF0000"/>
          <w:sz w:val="20"/>
          <w:szCs w:val="20"/>
        </w:rPr>
        <w:t>四、《深圳经济特区政府采购条例实施细则》第七十九条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五、《深圳经济特区政府采购条例实施细则》第八十一条 </w:t>
      </w:r>
      <w:r>
        <w:rPr>
          <w:rFonts w:hint="eastAsia" w:ascii="宋体" w:hAnsi="宋体"/>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pPr>
        <w:widowControl/>
        <w:jc w:val="left"/>
        <w:rPr>
          <w:rFonts w:ascii="宋体" w:hAnsi="宋体"/>
          <w:b/>
          <w:kern w:val="0"/>
          <w:sz w:val="28"/>
          <w:szCs w:val="28"/>
        </w:rPr>
      </w:pPr>
      <w:r>
        <w:br w:type="page"/>
      </w:r>
    </w:p>
    <w:p>
      <w:pPr>
        <w:pStyle w:val="6"/>
        <w:jc w:val="center"/>
        <w:rPr>
          <w:rFonts w:ascii="宋体" w:hAnsi="宋体" w:eastAsia="宋体"/>
          <w:szCs w:val="32"/>
        </w:rPr>
      </w:pPr>
      <w:r>
        <w:rPr>
          <w:rFonts w:hint="eastAsia" w:ascii="宋体" w:hAnsi="宋体" w:eastAsia="宋体"/>
          <w:szCs w:val="32"/>
        </w:rPr>
        <w:t>其它关键信息</w:t>
      </w:r>
    </w:p>
    <w:p>
      <w:pPr>
        <w:ind w:firstLine="3268" w:firstLineChars="1550"/>
        <w:rPr>
          <w:b/>
        </w:rPr>
      </w:pPr>
      <w:r>
        <w:rPr>
          <w:rFonts w:hint="eastAsia"/>
          <w:b/>
        </w:rPr>
        <w:t>一、评标定标信息</w:t>
      </w:r>
    </w:p>
    <w:p>
      <w:pPr>
        <w:jc w:val="center"/>
      </w:pPr>
      <w:r>
        <w:rPr>
          <w:rFonts w:hint="eastAsia"/>
          <w:b/>
        </w:rPr>
        <w:t>（一）非评定分离项目</w:t>
      </w:r>
    </w:p>
    <w:tbl>
      <w:tblPr>
        <w:tblStyle w:val="4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评标方法</w:t>
            </w:r>
          </w:p>
        </w:tc>
        <w:tc>
          <w:tcPr>
            <w:tcW w:w="4265" w:type="dxa"/>
          </w:tcPr>
          <w:p>
            <w:pPr>
              <w:jc w:val="center"/>
              <w:rPr>
                <w:rFonts w:ascii="等线" w:hAnsi="等线" w:eastAsia="等线"/>
                <w:kern w:val="0"/>
                <w:sz w:val="20"/>
              </w:rPr>
            </w:pPr>
            <w:r>
              <w:rPr>
                <w:rFonts w:hint="eastAsia" w:ascii="等线" w:hAnsi="等线" w:eastAsia="等线"/>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候选中标供应商家数</w:t>
            </w:r>
          </w:p>
        </w:tc>
        <w:tc>
          <w:tcPr>
            <w:tcW w:w="4265" w:type="dxa"/>
          </w:tcPr>
          <w:p>
            <w:pPr>
              <w:jc w:val="center"/>
              <w:rPr>
                <w:rFonts w:ascii="等线" w:hAnsi="等线" w:eastAsia="等线"/>
                <w:kern w:val="0"/>
                <w:sz w:val="20"/>
              </w:rPr>
            </w:pPr>
            <w:r>
              <w:rPr>
                <w:rFonts w:ascii="等线" w:hAnsi="等线" w:eastAsia="等线"/>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中标供应商家数</w:t>
            </w:r>
          </w:p>
        </w:tc>
        <w:tc>
          <w:tcPr>
            <w:tcW w:w="4265" w:type="dxa"/>
          </w:tcPr>
          <w:p>
            <w:pPr>
              <w:jc w:val="center"/>
              <w:rPr>
                <w:rFonts w:ascii="等线" w:hAnsi="等线" w:eastAsia="等线"/>
                <w:kern w:val="0"/>
                <w:sz w:val="20"/>
              </w:rPr>
            </w:pPr>
            <w:r>
              <w:rPr>
                <w:rFonts w:ascii="等线" w:hAnsi="等线" w:eastAsia="等线"/>
              </w:rPr>
              <w:t>1</w:t>
            </w:r>
          </w:p>
        </w:tc>
      </w:tr>
    </w:tbl>
    <w:p/>
    <w:p/>
    <w:p>
      <w:pPr>
        <w:jc w:val="center"/>
        <w:rPr>
          <w:b/>
        </w:rPr>
      </w:pPr>
      <w:r>
        <w:rPr>
          <w:rFonts w:hint="eastAsia"/>
          <w:b/>
        </w:rPr>
        <w:t>二、关于享受优惠政策的主体及价格扣除比例</w:t>
      </w:r>
    </w:p>
    <w:p>
      <w:pPr>
        <w:ind w:firstLine="420" w:firstLineChars="20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pPr>
        <w:numPr>
          <w:ilvl w:val="0"/>
          <w:numId w:val="8"/>
        </w:numPr>
        <w:ind w:firstLine="420" w:firstLineChars="20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pPr>
        <w:numPr>
          <w:ilvl w:val="0"/>
          <w:numId w:val="8"/>
        </w:numPr>
        <w:ind w:firstLine="420" w:firstLineChars="200"/>
      </w:pPr>
      <w:r>
        <w:rPr>
          <w:rFonts w:hint="eastAsia"/>
        </w:rPr>
        <w:t>投标人组成联合体投标的，如须享受以上价格扣除政策，联合体各方须均为小微企业。联合协议中约定，小型、微型企业和监狱企业的协议合同金额占到联合体协议合同总金额30%以上且不足100%的，可给予联合体__/__%</w:t>
      </w:r>
      <w:r>
        <w:t xml:space="preserve"> </w:t>
      </w:r>
      <w:r>
        <w:rPr>
          <w:rFonts w:hint="eastAsia"/>
        </w:rPr>
        <w:t>的价格扣除。</w:t>
      </w:r>
    </w:p>
    <w:p>
      <w:pPr>
        <w:ind w:firstLine="420" w:firstLineChars="20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pPr>
        <w:ind w:firstLine="420" w:firstLineChars="20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pPr>
        <w:ind w:firstLine="420" w:firstLineChars="200"/>
      </w:pPr>
      <w:r>
        <w:rPr>
          <w:rFonts w:hint="eastAsia"/>
        </w:rPr>
        <w:t>（</w:t>
      </w:r>
      <w:r>
        <w:t>5</w:t>
      </w:r>
      <w:r>
        <w:rPr>
          <w:rFonts w:hint="eastAsia"/>
        </w:rPr>
        <w:t>）供应商不重复享受多项价格评审优惠政策。</w:t>
      </w:r>
    </w:p>
    <w:p>
      <w:pPr>
        <w:ind w:firstLine="422" w:firstLineChars="200"/>
      </w:pPr>
      <w:r>
        <w:rPr>
          <w:rFonts w:hint="eastAsia"/>
          <w:b/>
          <w:bCs/>
          <w:color w:val="FF0000"/>
        </w:rPr>
        <w:t>相关中小企业扶持政策具体以</w:t>
      </w:r>
      <w:r>
        <w:rPr>
          <w:rFonts w:hint="eastAsia" w:ascii="宋体" w:hAnsi="宋体"/>
          <w:b/>
          <w:bCs/>
          <w:color w:val="FF0000"/>
          <w:szCs w:val="21"/>
        </w:rPr>
        <w:t>《政府采购促进中小企业发展管理办法》（财库〔2020〕46号）等最新规定为准。</w:t>
      </w:r>
    </w:p>
    <w:p>
      <w:pPr>
        <w:jc w:val="center"/>
        <w:rPr>
          <w:b/>
          <w:strike/>
        </w:rPr>
      </w:pPr>
    </w:p>
    <w:p>
      <w:pPr>
        <w:jc w:val="center"/>
        <w:rPr>
          <w:b/>
        </w:rPr>
      </w:pPr>
      <w:r>
        <w:rPr>
          <w:rFonts w:hint="eastAsia"/>
          <w:b/>
        </w:rPr>
        <w:t>三、其他说明</w:t>
      </w:r>
    </w:p>
    <w:p>
      <w:pPr>
        <w:ind w:firstLine="435"/>
        <w:jc w:val="left"/>
      </w:pPr>
      <w:r>
        <w:rPr>
          <w:rFonts w:hint="eastAsia"/>
        </w:rPr>
        <w:t>根据《深圳市财政局 深圳市政府采购中心关于印发&lt;深圳市政府采购落实支持企业复工复产政策的实施细则&gt;的通知》（深府购〔</w:t>
      </w:r>
      <w:r>
        <w:t>20</w:t>
      </w:r>
      <w:r>
        <w:rPr>
          <w:rFonts w:hint="eastAsia"/>
        </w:rPr>
        <w:t>20〕24号）的规定，1.鼓励采购人积极运用公共信用信息，明确对信用记录良好的投标人（特别是中小微企业）免收履约保证金，确需收取履约保证金的，列明通过保函等非现金方式收取；2.在采购合同中明确对上述企业加大首付款或预付款比例，具体由采购人根据项目实际情况确定。</w:t>
      </w:r>
    </w:p>
    <w:p>
      <w:pPr>
        <w:ind w:firstLine="435"/>
        <w:jc w:val="left"/>
      </w:pPr>
      <w:r>
        <w:rPr>
          <w:rFonts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p>
      <w:pPr>
        <w:keepNext/>
        <w:keepLines/>
        <w:spacing w:before="340" w:after="330" w:line="360" w:lineRule="auto"/>
        <w:jc w:val="center"/>
        <w:outlineLvl w:val="0"/>
        <w:rPr>
          <w:rFonts w:ascii="宋体" w:hAnsi="宋体" w:eastAsia="黑体"/>
          <w:b/>
          <w:bCs/>
          <w:kern w:val="44"/>
          <w:sz w:val="28"/>
          <w:szCs w:val="44"/>
        </w:rPr>
      </w:pPr>
      <w:bookmarkStart w:id="2" w:name="_Hlk72218009"/>
      <w:r>
        <w:rPr>
          <w:rFonts w:hint="eastAsia" w:ascii="宋体" w:hAnsi="宋体" w:eastAsia="黑体"/>
          <w:b/>
          <w:bCs/>
          <w:kern w:val="44"/>
          <w:sz w:val="28"/>
          <w:szCs w:val="44"/>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outlineLvl w:val="0"/>
        <w:rPr>
          <w:rFonts w:ascii="宋体" w:hAnsi="宋体"/>
          <w:szCs w:val="21"/>
        </w:rPr>
      </w:pPr>
      <w:r>
        <w:rPr>
          <w:rFonts w:hint="eastAsia" w:ascii="宋体" w:hAnsi="宋体"/>
          <w:szCs w:val="21"/>
        </w:rPr>
        <w:t>第一章  招标公告</w:t>
      </w:r>
    </w:p>
    <w:p>
      <w:pPr>
        <w:ind w:left="630" w:leftChars="300" w:firstLine="630" w:firstLineChars="300"/>
        <w:outlineLvl w:val="0"/>
        <w:rPr>
          <w:rFonts w:ascii="宋体" w:hAnsi="宋体"/>
          <w:szCs w:val="21"/>
        </w:rPr>
      </w:pPr>
      <w:r>
        <w:rPr>
          <w:rFonts w:hint="eastAsia" w:ascii="宋体" w:hAnsi="宋体"/>
          <w:szCs w:val="21"/>
        </w:rPr>
        <w:t>第二章  招标项目需求</w:t>
      </w:r>
    </w:p>
    <w:p>
      <w:pPr>
        <w:ind w:left="630" w:leftChars="300" w:firstLine="630" w:firstLineChars="300"/>
        <w:outlineLvl w:val="0"/>
        <w:rPr>
          <w:rFonts w:ascii="宋体" w:hAnsi="宋体"/>
          <w:szCs w:val="21"/>
        </w:rPr>
      </w:pPr>
      <w:r>
        <w:rPr>
          <w:rFonts w:hint="eastAsia" w:ascii="宋体" w:hAnsi="宋体"/>
          <w:szCs w:val="21"/>
        </w:rPr>
        <w:t>第三章  投标文件格式、附件</w:t>
      </w:r>
    </w:p>
    <w:p>
      <w:pPr>
        <w:ind w:left="630" w:leftChars="300" w:firstLine="630" w:firstLineChars="300"/>
        <w:outlineLvl w:val="0"/>
        <w:rPr>
          <w:rFonts w:ascii="宋体" w:hAnsi="宋体"/>
          <w:szCs w:val="21"/>
        </w:rPr>
      </w:pPr>
      <w:r>
        <w:rPr>
          <w:rFonts w:hint="eastAsia" w:ascii="宋体" w:hAnsi="宋体"/>
          <w:szCs w:val="21"/>
        </w:rPr>
        <w:t>第四章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bookmarkEnd w:id="2"/>
    <w:p>
      <w:pPr>
        <w:ind w:left="630" w:leftChars="300" w:firstLine="630" w:firstLineChars="300"/>
        <w:rPr>
          <w:rFonts w:ascii="宋体" w:hAnsi="宋体"/>
          <w:szCs w:val="21"/>
        </w:rPr>
      </w:pPr>
    </w:p>
    <w:p>
      <w:pPr>
        <w:rPr>
          <w:sz w:val="24"/>
        </w:rPr>
      </w:pPr>
    </w:p>
    <w:p>
      <w:pPr>
        <w:rPr>
          <w:b/>
          <w:color w:val="FF0000"/>
        </w:rPr>
      </w:pPr>
      <w:r>
        <w:rPr>
          <w:rFonts w:hint="eastAsia"/>
          <w:b/>
          <w:color w:val="FF0000"/>
        </w:rPr>
        <w:t>备注：</w:t>
      </w:r>
    </w:p>
    <w:p>
      <w:pPr>
        <w:ind w:firstLine="420" w:firstLineChars="200"/>
        <w:rPr>
          <w:b/>
          <w:color w:val="FF0000"/>
        </w:rPr>
      </w:pPr>
      <w:r>
        <w:rPr>
          <w:rFonts w:hint="eastAsia" w:ascii="宋体" w:hAnsi="宋体"/>
          <w:color w:val="FF0000"/>
          <w:szCs w:val="21"/>
        </w:rPr>
        <w:t>1.本招标文件分为第一册“专用条款”和第二册“通用条款”。</w:t>
      </w:r>
    </w:p>
    <w:p>
      <w:pPr>
        <w:spacing w:line="360" w:lineRule="auto"/>
        <w:ind w:firstLine="420" w:firstLineChars="200"/>
        <w:jc w:val="left"/>
        <w:rPr>
          <w:rFonts w:ascii="宋体" w:hAnsi="宋体"/>
          <w:color w:val="FF0000"/>
          <w:szCs w:val="21"/>
        </w:rPr>
      </w:pPr>
      <w:r>
        <w:rPr>
          <w:rFonts w:hint="eastAsia" w:ascii="宋体" w:hAnsi="宋体"/>
          <w:color w:val="FF0000"/>
          <w:szCs w:val="21"/>
        </w:rPr>
        <w:t>2.“专用条款”是对本次采购项目的具体要求，包含招标公告、招标项目需求、合同条款及格式、投标文件格式、附件等内容。</w:t>
      </w:r>
    </w:p>
    <w:p>
      <w:pPr>
        <w:spacing w:line="360" w:lineRule="auto"/>
        <w:ind w:firstLine="420" w:firstLineChars="200"/>
        <w:jc w:val="left"/>
        <w:rPr>
          <w:rFonts w:ascii="宋体" w:hAnsi="宋体"/>
          <w:color w:val="FF0000"/>
          <w:szCs w:val="21"/>
        </w:rPr>
      </w:pPr>
      <w:r>
        <w:rPr>
          <w:rFonts w:hint="eastAsia" w:ascii="宋体" w:hAnsi="宋体"/>
          <w:color w:val="FF0000"/>
          <w:szCs w:val="21"/>
        </w:rPr>
        <w:t>3.“通用条款”是通用于政府采购项目的基础性条款，具有普遍性和通用性。</w:t>
      </w:r>
    </w:p>
    <w:p>
      <w:pPr>
        <w:spacing w:line="360" w:lineRule="auto"/>
        <w:ind w:firstLine="420" w:firstLineChars="200"/>
        <w:jc w:val="left"/>
        <w:rPr>
          <w:rFonts w:ascii="宋体" w:hAnsi="宋体"/>
          <w:color w:val="FF0000"/>
          <w:szCs w:val="21"/>
        </w:rPr>
      </w:pPr>
      <w:r>
        <w:rPr>
          <w:rFonts w:hint="eastAsia" w:ascii="宋体" w:hAnsi="宋体"/>
          <w:color w:val="FF0000"/>
          <w:szCs w:val="21"/>
        </w:rPr>
        <w:t>4.当出现“专用条款”和“通用条款”表述不一致或有冲突时，以“专用条款”为准。</w:t>
      </w:r>
    </w:p>
    <w:p>
      <w:pPr>
        <w:spacing w:line="360" w:lineRule="auto"/>
        <w:ind w:firstLine="420" w:firstLineChars="200"/>
        <w:jc w:val="left"/>
        <w:rPr>
          <w:rFonts w:ascii="宋体" w:hAnsi="宋体"/>
          <w:color w:val="FF0000"/>
          <w:szCs w:val="21"/>
        </w:rPr>
      </w:pPr>
      <w:r>
        <w:rPr>
          <w:rFonts w:hint="eastAsia" w:ascii="宋体" w:hAnsi="宋体"/>
          <w:color w:val="FF0000"/>
          <w:szCs w:val="21"/>
        </w:rPr>
        <w:t>5.本项目具体由深圳公共资源交易中心（深圳交易集团有限公司政府采购业务分公司）组织实施。</w:t>
      </w:r>
    </w:p>
    <w:p>
      <w:pPr>
        <w:pStyle w:val="4"/>
        <w:rPr>
          <w:color w:val="FF0000"/>
          <w:sz w:val="24"/>
        </w:rPr>
      </w:pPr>
      <w:r>
        <w:rPr>
          <w:color w:val="FF0000"/>
        </w:rPr>
        <w:br w:type="page"/>
      </w:r>
      <w:bookmarkStart w:id="3" w:name="bt技术标投标文件格式"/>
      <w:bookmarkEnd w:id="3"/>
      <w:bookmarkStart w:id="4" w:name="bt投标人情况介绍"/>
      <w:bookmarkEnd w:id="4"/>
      <w:bookmarkStart w:id="5" w:name="bt合同条款"/>
      <w:bookmarkEnd w:id="5"/>
      <w:bookmarkStart w:id="6" w:name="bt投标人须知"/>
      <w:bookmarkEnd w:id="6"/>
      <w:bookmarkStart w:id="7" w:name="bt合同条款及格式"/>
      <w:bookmarkEnd w:id="7"/>
      <w:bookmarkStart w:id="8" w:name="bt开标一览表"/>
      <w:bookmarkEnd w:id="8"/>
      <w:bookmarkStart w:id="9" w:name="bt投标文件签署授权委托书"/>
      <w:bookmarkEnd w:id="9"/>
      <w:bookmarkStart w:id="10" w:name="bt投标报价汇总表"/>
      <w:bookmarkEnd w:id="10"/>
      <w:bookmarkStart w:id="11" w:name="bt其他资料2"/>
      <w:bookmarkEnd w:id="11"/>
      <w:bookmarkStart w:id="12" w:name="bt项目管理班子配备情况"/>
      <w:bookmarkEnd w:id="12"/>
      <w:bookmarkStart w:id="13" w:name="bt本工程承诺书"/>
      <w:bookmarkEnd w:id="13"/>
      <w:bookmarkStart w:id="14" w:name="bt其他资料由投标人自定"/>
      <w:bookmarkEnd w:id="14"/>
      <w:bookmarkStart w:id="15" w:name="合同格式"/>
      <w:bookmarkEnd w:id="15"/>
      <w:bookmarkStart w:id="16" w:name="bt说明"/>
      <w:bookmarkEnd w:id="16"/>
      <w:bookmarkStart w:id="17" w:name="bt合同格式"/>
      <w:bookmarkEnd w:id="17"/>
      <w:bookmarkStart w:id="18" w:name="bt投标函"/>
      <w:bookmarkEnd w:id="18"/>
      <w:bookmarkStart w:id="19" w:name="bt商务标投标文件格式"/>
      <w:bookmarkEnd w:id="19"/>
      <w:r>
        <w:rPr>
          <w:rFonts w:hint="eastAsia"/>
        </w:rPr>
        <w:t>第一册  专用条款</w:t>
      </w:r>
    </w:p>
    <w:p>
      <w:pPr>
        <w:pStyle w:val="2"/>
      </w:pPr>
      <w:r>
        <w:rPr>
          <w:rFonts w:hint="eastAsia"/>
        </w:rPr>
        <w:t>第一章  招标公告</w:t>
      </w:r>
    </w:p>
    <w:p>
      <w:pPr>
        <w:keepNext/>
        <w:keepLines/>
        <w:spacing w:before="260" w:after="260"/>
        <w:outlineLvl w:val="2"/>
        <w:rPr>
          <w:rFonts w:ascii="宋体" w:hAnsi="宋体"/>
          <w:b/>
          <w:bCs/>
          <w:sz w:val="28"/>
          <w:szCs w:val="32"/>
        </w:rPr>
      </w:pPr>
      <w:r>
        <w:rPr>
          <w:rFonts w:ascii="宋体" w:hAnsi="宋体"/>
          <w:b/>
          <w:bCs/>
          <w:sz w:val="28"/>
          <w:szCs w:val="32"/>
        </w:rPr>
        <w:t>投标人资格要求：</w:t>
      </w:r>
    </w:p>
    <w:p>
      <w:pPr>
        <w:rPr>
          <w:rFonts w:ascii="宋体" w:hAnsi="宋体"/>
          <w:szCs w:val="21"/>
        </w:rPr>
      </w:pPr>
      <w:r>
        <w:rPr>
          <w:rFonts w:hint="eastAsia" w:ascii="宋体" w:hAnsi="宋体"/>
          <w:szCs w:val="21"/>
        </w:rPr>
        <w:t>（1）具有独立法人资格或具有独立承担民事责任的能力的其它组织（提供营业执照或事业单位法人证等法人证明扫描件，原件备查）。</w:t>
      </w:r>
    </w:p>
    <w:p>
      <w:pPr>
        <w:rPr>
          <w:rFonts w:ascii="宋体" w:hAnsi="宋体" w:cs="宋体"/>
          <w:color w:val="FF0000"/>
          <w:kern w:val="0"/>
          <w:szCs w:val="21"/>
        </w:rPr>
      </w:pPr>
      <w:r>
        <w:rPr>
          <w:rFonts w:hint="eastAsia" w:ascii="宋体" w:hAnsi="宋体"/>
          <w:color w:val="FF0000"/>
          <w:szCs w:val="21"/>
        </w:rPr>
        <w:t>（2）</w:t>
      </w:r>
      <w:r>
        <w:rPr>
          <w:rFonts w:hint="eastAsia"/>
          <w:color w:val="FF0000"/>
        </w:rPr>
        <w:t>投标人若为生产企业：所投产品为第二、三类医疗器械的，提供食品药品监督管理部门签发的涵盖所投报医疗器械的《医疗器械生产许可证》(有效期内)扫描件，原件备查</w:t>
      </w:r>
      <w:r>
        <w:rPr>
          <w:rFonts w:hint="eastAsia" w:ascii="宋体" w:hAnsi="宋体"/>
          <w:color w:val="FF0000"/>
          <w:szCs w:val="21"/>
        </w:rPr>
        <w:t>；</w:t>
      </w:r>
      <w:r>
        <w:rPr>
          <w:rFonts w:hint="eastAsia"/>
          <w:color w:val="FF0000"/>
        </w:rPr>
        <w:t>投标人若为经营企业：所投产品为第二类医疗器械的，提供食品药品监督管理部门签发的涵盖所投报医疗器械的《医疗器械经营备案凭证》(有效期内)扫描件，原件备查；所投产品为第三类医疗器械的，提供食品药品监督管理部门签发的涵盖所投报医疗器械的《医疗器械经营许可证》(有效期内)扫描件，原件备查</w:t>
      </w:r>
      <w:r>
        <w:rPr>
          <w:rFonts w:hint="eastAsia" w:ascii="宋体" w:hAnsi="宋体" w:cs="宋体"/>
          <w:color w:val="FF0000"/>
          <w:kern w:val="0"/>
          <w:szCs w:val="21"/>
        </w:rPr>
        <w:t>。</w:t>
      </w:r>
    </w:p>
    <w:p>
      <w:pPr>
        <w:rPr>
          <w:rFonts w:ascii="宋体" w:hAnsi="宋体" w:cs="宋体"/>
          <w:kern w:val="0"/>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cs="宋体"/>
          <w:kern w:val="0"/>
          <w:szCs w:val="21"/>
        </w:rPr>
        <w:t>本项目不接受联合体投标，接受投标人选用进口产品参与投标。</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）参与本项目投标前三年内，在经营活动中没有重大违法记录（由供应商在《</w:t>
      </w:r>
      <w:r>
        <w:rPr>
          <w:rFonts w:hint="eastAsia"/>
          <w:szCs w:val="21"/>
        </w:rPr>
        <w:t>政府采购投标及履约承诺函</w:t>
      </w:r>
      <w:r>
        <w:rPr>
          <w:rFonts w:hint="eastAsia" w:ascii="宋体" w:hAnsi="宋体" w:cs="宋体"/>
          <w:kern w:val="0"/>
          <w:szCs w:val="21"/>
        </w:rPr>
        <w:t>》中作出声明）。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hint="eastAsia" w:ascii="宋体" w:hAnsi="宋体" w:cs="宋体"/>
          <w:kern w:val="0"/>
          <w:szCs w:val="21"/>
        </w:rPr>
        <w:t>》中作出声明）；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）具备《中华人民共和国政府采购法》第二十二条第一款的条件（由供应商在《政府采购投标及履约承诺函》中作出声明）。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注：“信用中国”、“中国政府采购网”、“深圳信用网”以及“深圳市政府采购监管网”为供应商信用信息的查询渠道，相关信息以开标当日的查询结果为准。</w:t>
      </w:r>
    </w:p>
    <w:p>
      <w:pPr>
        <w:spacing w:before="60" w:beforeLines="25" w:after="60" w:afterLines="25"/>
        <w:ind w:firstLine="392" w:firstLineChars="187"/>
        <w:rPr>
          <w:szCs w:val="20"/>
        </w:rPr>
      </w:pPr>
    </w:p>
    <w:p>
      <w:pPr>
        <w:spacing w:before="60" w:beforeLines="25" w:after="60" w:afterLines="25"/>
        <w:ind w:firstLine="392" w:firstLineChars="187"/>
        <w:rPr>
          <w:szCs w:val="20"/>
        </w:rPr>
      </w:pPr>
      <w:r>
        <w:rPr>
          <w:rFonts w:hint="eastAsia"/>
          <w:szCs w:val="20"/>
        </w:rPr>
        <w:t>完整公告内容详见：http://www.szzfcg.cn</w:t>
      </w:r>
    </w:p>
    <w:p>
      <w:pPr>
        <w:spacing w:before="60" w:beforeLines="25" w:after="60" w:afterLines="25"/>
        <w:ind w:firstLine="392" w:firstLineChars="187"/>
        <w:rPr>
          <w:szCs w:val="20"/>
        </w:rPr>
      </w:pPr>
    </w:p>
    <w:p>
      <w:pPr>
        <w:pStyle w:val="3"/>
        <w:spacing w:before="60" w:beforeLines="25" w:after="60" w:afterLines="25"/>
        <w:ind w:firstLine="392" w:firstLineChars="187"/>
      </w:pPr>
    </w:p>
    <w:p>
      <w:pPr>
        <w:pStyle w:val="3"/>
        <w:spacing w:before="60" w:beforeLines="25" w:after="60" w:afterLines="25"/>
        <w:ind w:firstLine="392" w:firstLineChars="187"/>
        <w:jc w:val="right"/>
        <w:rPr>
          <w:rFonts w:ascii="宋体" w:hAnsi="宋体"/>
          <w:szCs w:val="21"/>
        </w:rPr>
      </w:pPr>
    </w:p>
    <w:p>
      <w:pPr>
        <w:ind w:firstLine="7200" w:firstLineChars="3000"/>
        <w:rPr>
          <w:sz w:val="24"/>
        </w:rPr>
      </w:pPr>
      <w:r>
        <w:rPr>
          <w:sz w:val="24"/>
        </w:rPr>
        <w:br w:type="page"/>
      </w:r>
    </w:p>
    <w:p>
      <w:pPr>
        <w:pStyle w:val="2"/>
      </w:pPr>
      <w:r>
        <w:rPr>
          <w:rFonts w:hint="eastAsia"/>
        </w:rPr>
        <w:t>第二章  招标项目需求</w:t>
      </w:r>
    </w:p>
    <w:p>
      <w:pPr>
        <w:pStyle w:val="2"/>
        <w:spacing w:before="120" w:beforeLines="50" w:after="120" w:afterLines="50"/>
        <w:rPr>
          <w:sz w:val="28"/>
          <w:szCs w:val="28"/>
        </w:rPr>
      </w:pPr>
      <w:bookmarkStart w:id="20" w:name="_Toc60631620"/>
      <w:bookmarkStart w:id="21" w:name="_Toc100052364"/>
      <w:bookmarkStart w:id="22" w:name="_Toc73521635"/>
      <w:bookmarkStart w:id="23" w:name="_Toc73521547"/>
      <w:bookmarkStart w:id="24" w:name="_Toc101074876"/>
      <w:bookmarkStart w:id="25" w:name="_Toc73518117"/>
      <w:bookmarkStart w:id="26" w:name="_Toc60560625"/>
      <w:bookmarkStart w:id="27" w:name="_Toc73517639"/>
      <w:r>
        <w:rPr>
          <w:rFonts w:hint="eastAsia"/>
          <w:sz w:val="28"/>
          <w:szCs w:val="28"/>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120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4</w:t>
            </w:r>
          </w:p>
        </w:tc>
        <w:tc>
          <w:tcPr>
            <w:tcW w:w="2160" w:type="dxa"/>
            <w:vAlign w:val="center"/>
          </w:tcPr>
          <w:p>
            <w:pPr>
              <w:rPr>
                <w:rFonts w:ascii="宋体" w:hAnsi="宋体"/>
              </w:rPr>
            </w:pPr>
            <w:r>
              <w:rPr>
                <w:rFonts w:hint="eastAsia" w:ascii="宋体" w:hAnsi="宋体"/>
              </w:rPr>
              <w:t>投标文件的投递</w:t>
            </w:r>
          </w:p>
        </w:tc>
        <w:tc>
          <w:tcPr>
            <w:tcW w:w="5400" w:type="dxa"/>
            <w:vAlign w:val="center"/>
          </w:tcPr>
          <w:p>
            <w:pPr>
              <w:rPr>
                <w:rFonts w:ascii="宋体" w:hAnsi="宋体"/>
              </w:rPr>
            </w:pPr>
            <w:r>
              <w:rPr>
                <w:rFonts w:hint="eastAsia" w:ascii="宋体" w:hAnsi="宋体"/>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hint="eastAsia" w:ascii="宋体" w:hAnsi="宋体"/>
              </w:rPr>
              <w:t>点，</w:t>
            </w:r>
            <w:r>
              <w:rPr>
                <w:rFonts w:ascii="宋体" w:hAnsi="宋体"/>
              </w:rPr>
              <w:t>将编制好的电子投标文件上传，投标文件大小不得超过</w:t>
            </w:r>
            <w:r>
              <w:rPr>
                <w:rFonts w:hint="eastAsia" w:ascii="宋体" w:hAnsi="宋体"/>
              </w:rPr>
              <w:t>10</w:t>
            </w:r>
            <w:r>
              <w:rPr>
                <w:rFonts w:ascii="宋体" w:hAnsi="宋体"/>
              </w:rPr>
              <w:t>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宋体" w:hAnsi="宋体"/>
              </w:rPr>
              <w:t>履约保证金</w:t>
            </w:r>
          </w:p>
        </w:tc>
        <w:tc>
          <w:tcPr>
            <w:tcW w:w="5400" w:type="dxa"/>
            <w:vAlign w:val="center"/>
          </w:tcPr>
          <w:p>
            <w:pPr>
              <w:rPr>
                <w:rFonts w:ascii="宋体" w:hAnsi="宋体"/>
                <w:color w:val="FF0000"/>
              </w:rPr>
            </w:pPr>
            <w:r>
              <w:rPr>
                <w:rFonts w:hint="eastAsia"/>
                <w:color w:val="000000" w:themeColor="text1"/>
                <w:highlight w:val="none"/>
                <w14:textFill>
                  <w14:solidFill>
                    <w14:schemeClr w14:val="tx1"/>
                  </w14:solidFill>
                </w14:textFill>
              </w:rPr>
              <w:t>合同金额的</w:t>
            </w:r>
            <w:r>
              <w:rPr>
                <w:rFonts w:hint="eastAsia"/>
                <w:color w:val="000000" w:themeColor="text1"/>
                <w:highlight w:val="none"/>
                <w:u w:val="single"/>
                <w14:textFill>
                  <w14:solidFill>
                    <w14:schemeClr w14:val="tx1"/>
                  </w14:solidFill>
                </w14:textFill>
              </w:rPr>
              <w:t xml:space="preserve">  5  </w:t>
            </w:r>
            <w:r>
              <w:rPr>
                <w:rFonts w:hint="eastAsia"/>
                <w:color w:val="000000" w:themeColor="text1"/>
                <w:highlight w:val="none"/>
                <w14:textFill>
                  <w14:solidFill>
                    <w14:schemeClr w14:val="tx1"/>
                  </w14:solidFill>
                </w14:textFill>
              </w:rPr>
              <w:t>%，投标供应商自主选择以支票、汇票、本票、保函等非现金形式缴纳或提交。履约保证金在中标人履行完成合同约定权利义务事项在质保期结束后60日内按原方式退还，不计利息。采购人逾期退还履约保证金的，向中标人每日偿付履约保证金的 0.5‰的利息。因中标人原因而未能达到本项目验收标准或验收不通过的，履约保证金不予退还。</w:t>
            </w:r>
          </w:p>
        </w:tc>
      </w:tr>
    </w:tbl>
    <w:p>
      <w:pPr>
        <w:rPr>
          <w:b/>
        </w:rPr>
      </w:pPr>
      <w:r>
        <w:rPr>
          <w:rFonts w:hint="eastAsia"/>
          <w:szCs w:val="21"/>
        </w:rPr>
        <w:t>备注：本表为通用条款相关内容的补充和明确，如与通用条款相冲突的以本表为准。</w:t>
      </w:r>
    </w:p>
    <w:p>
      <w:pPr>
        <w:rPr>
          <w:b/>
        </w:rPr>
      </w:pPr>
    </w:p>
    <w:p>
      <w:pPr>
        <w:pStyle w:val="2"/>
        <w:spacing w:before="120" w:beforeLines="50" w:after="120" w:afterLines="50"/>
        <w:rPr>
          <w:sz w:val="28"/>
          <w:szCs w:val="28"/>
        </w:rPr>
      </w:pPr>
      <w:r>
        <w:rPr>
          <w:rFonts w:hint="eastAsia"/>
          <w:sz w:val="28"/>
          <w:szCs w:val="28"/>
        </w:rPr>
        <w:t>二、货物清单</w:t>
      </w:r>
    </w:p>
    <w:p>
      <w:pPr>
        <w:rPr>
          <w:rFonts w:ascii="宋体" w:hAnsi="宋体"/>
          <w:b/>
          <w:color w:val="FF0000"/>
          <w:szCs w:val="21"/>
        </w:rPr>
      </w:pPr>
      <w:r>
        <w:rPr>
          <w:rFonts w:hint="eastAsia" w:ascii="宋体" w:hAnsi="宋体"/>
          <w:b/>
          <w:color w:val="FF0000"/>
          <w:szCs w:val="21"/>
        </w:rPr>
        <w:t>（一）货物总清单</w:t>
      </w:r>
    </w:p>
    <w:tbl>
      <w:tblPr>
        <w:tblStyle w:val="43"/>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2219"/>
        <w:gridCol w:w="2543"/>
        <w:gridCol w:w="680"/>
        <w:gridCol w:w="714"/>
        <w:gridCol w:w="996"/>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8" w:type="pct"/>
            <w:vAlign w:val="center"/>
          </w:tcPr>
          <w:p>
            <w:pPr>
              <w:jc w:val="center"/>
              <w:rPr>
                <w:bCs/>
                <w:szCs w:val="21"/>
              </w:rPr>
            </w:pPr>
            <w:r>
              <w:rPr>
                <w:rFonts w:hint="eastAsia"/>
                <w:bCs/>
                <w:szCs w:val="21"/>
              </w:rPr>
              <w:t>序号</w:t>
            </w:r>
          </w:p>
        </w:tc>
        <w:tc>
          <w:tcPr>
            <w:tcW w:w="1300" w:type="pct"/>
            <w:vAlign w:val="center"/>
          </w:tcPr>
          <w:p>
            <w:pPr>
              <w:jc w:val="center"/>
              <w:rPr>
                <w:bCs/>
                <w:szCs w:val="21"/>
              </w:rPr>
            </w:pPr>
            <w:r>
              <w:rPr>
                <w:rFonts w:hint="eastAsia"/>
                <w:szCs w:val="21"/>
              </w:rPr>
              <w:t>采购计划编号</w:t>
            </w:r>
          </w:p>
        </w:tc>
        <w:tc>
          <w:tcPr>
            <w:tcW w:w="1490" w:type="pct"/>
            <w:vAlign w:val="center"/>
          </w:tcPr>
          <w:p>
            <w:pPr>
              <w:jc w:val="center"/>
              <w:rPr>
                <w:bCs/>
                <w:szCs w:val="21"/>
              </w:rPr>
            </w:pPr>
            <w:r>
              <w:rPr>
                <w:rFonts w:hint="eastAsia"/>
                <w:bCs/>
                <w:szCs w:val="21"/>
              </w:rPr>
              <w:t>货物名称</w:t>
            </w:r>
          </w:p>
        </w:tc>
        <w:tc>
          <w:tcPr>
            <w:tcW w:w="398" w:type="pct"/>
            <w:vAlign w:val="center"/>
          </w:tcPr>
          <w:p>
            <w:pPr>
              <w:jc w:val="center"/>
              <w:rPr>
                <w:bCs/>
                <w:szCs w:val="21"/>
              </w:rPr>
            </w:pPr>
            <w:r>
              <w:rPr>
                <w:rFonts w:hint="eastAsia"/>
                <w:bCs/>
                <w:szCs w:val="21"/>
              </w:rPr>
              <w:t>数量</w:t>
            </w:r>
          </w:p>
        </w:tc>
        <w:tc>
          <w:tcPr>
            <w:tcW w:w="419" w:type="pct"/>
            <w:vAlign w:val="center"/>
          </w:tcPr>
          <w:p>
            <w:pPr>
              <w:jc w:val="center"/>
              <w:rPr>
                <w:bCs/>
                <w:szCs w:val="21"/>
              </w:rPr>
            </w:pPr>
            <w:r>
              <w:rPr>
                <w:rFonts w:hint="eastAsia"/>
                <w:bCs/>
                <w:szCs w:val="21"/>
              </w:rPr>
              <w:t>单位</w:t>
            </w:r>
          </w:p>
        </w:tc>
        <w:tc>
          <w:tcPr>
            <w:tcW w:w="584" w:type="pct"/>
            <w:vAlign w:val="center"/>
          </w:tcPr>
          <w:p>
            <w:pPr>
              <w:jc w:val="center"/>
              <w:rPr>
                <w:b/>
                <w:bCs/>
                <w:color w:val="FF0000"/>
                <w:szCs w:val="21"/>
              </w:rPr>
            </w:pPr>
            <w:r>
              <w:rPr>
                <w:rFonts w:hint="eastAsia"/>
                <w:b/>
                <w:bCs/>
                <w:color w:val="FF0000"/>
                <w:szCs w:val="21"/>
              </w:rPr>
              <w:t>备注</w:t>
            </w:r>
          </w:p>
        </w:tc>
        <w:tc>
          <w:tcPr>
            <w:tcW w:w="557" w:type="pct"/>
          </w:tcPr>
          <w:p>
            <w:pPr>
              <w:jc w:val="center"/>
              <w:rPr>
                <w:szCs w:val="21"/>
              </w:rPr>
            </w:pPr>
            <w:r>
              <w:rPr>
                <w:rFonts w:hint="eastAsia"/>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48" w:type="pct"/>
          </w:tcPr>
          <w:p>
            <w:pPr>
              <w:jc w:val="center"/>
              <w:rPr>
                <w:bCs/>
                <w:szCs w:val="21"/>
              </w:rPr>
            </w:pPr>
            <w:r>
              <w:rPr>
                <w:rFonts w:hint="eastAsia"/>
                <w:bCs/>
                <w:szCs w:val="21"/>
              </w:rPr>
              <w:t>1</w:t>
            </w:r>
          </w:p>
        </w:tc>
        <w:tc>
          <w:tcPr>
            <w:tcW w:w="1300" w:type="pct"/>
          </w:tcPr>
          <w:p>
            <w:pPr>
              <w:jc w:val="center"/>
              <w:rPr>
                <w:bCs/>
                <w:szCs w:val="21"/>
              </w:rPr>
            </w:pPr>
            <w:r>
              <w:rPr>
                <w:rFonts w:hint="eastAsia"/>
                <w:bCs/>
                <w:szCs w:val="21"/>
              </w:rPr>
              <w:t xml:space="preserve">PLAN-2021-440301-0102018021-01127 </w:t>
            </w:r>
          </w:p>
        </w:tc>
        <w:tc>
          <w:tcPr>
            <w:tcW w:w="1490" w:type="pct"/>
          </w:tcPr>
          <w:p>
            <w:pPr>
              <w:jc w:val="both"/>
              <w:rPr>
                <w:bCs/>
                <w:szCs w:val="21"/>
              </w:rPr>
            </w:pPr>
            <w:r>
              <w:rPr>
                <w:rFonts w:hint="eastAsia"/>
                <w:bCs/>
                <w:szCs w:val="21"/>
                <w:lang w:val="en-US" w:eastAsia="zh-CN"/>
              </w:rPr>
              <w:t>深圳市眼科医院</w:t>
            </w:r>
            <w:r>
              <w:rPr>
                <w:rFonts w:hint="eastAsia"/>
                <w:bCs/>
                <w:szCs w:val="21"/>
              </w:rPr>
              <w:t>医用设备提升-全自动三维扫频生物测量仪两台</w:t>
            </w:r>
          </w:p>
        </w:tc>
        <w:tc>
          <w:tcPr>
            <w:tcW w:w="398" w:type="pct"/>
          </w:tcPr>
          <w:p>
            <w:pPr>
              <w:jc w:val="center"/>
              <w:rPr>
                <w:bCs/>
                <w:szCs w:val="21"/>
              </w:rPr>
            </w:pPr>
            <w:r>
              <w:rPr>
                <w:rFonts w:hint="eastAsia"/>
                <w:bCs/>
                <w:szCs w:val="21"/>
              </w:rPr>
              <w:t>2</w:t>
            </w:r>
          </w:p>
        </w:tc>
        <w:tc>
          <w:tcPr>
            <w:tcW w:w="419" w:type="pct"/>
          </w:tcPr>
          <w:p>
            <w:pPr>
              <w:jc w:val="center"/>
              <w:rPr>
                <w:bCs/>
                <w:szCs w:val="21"/>
              </w:rPr>
            </w:pPr>
            <w:r>
              <w:rPr>
                <w:rFonts w:hint="eastAsia"/>
                <w:bCs/>
                <w:szCs w:val="21"/>
              </w:rPr>
              <w:t>台</w:t>
            </w:r>
          </w:p>
        </w:tc>
        <w:tc>
          <w:tcPr>
            <w:tcW w:w="584" w:type="pct"/>
          </w:tcPr>
          <w:p>
            <w:pPr>
              <w:jc w:val="center"/>
              <w:rPr>
                <w:bCs/>
                <w:szCs w:val="21"/>
              </w:rPr>
            </w:pPr>
            <w:r>
              <w:rPr>
                <w:rFonts w:hint="eastAsia"/>
                <w:bCs/>
                <w:szCs w:val="21"/>
              </w:rPr>
              <w:t>接受进口</w:t>
            </w:r>
          </w:p>
        </w:tc>
        <w:tc>
          <w:tcPr>
            <w:tcW w:w="557" w:type="pct"/>
          </w:tcPr>
          <w:p>
            <w:r>
              <w:rPr>
                <w:rFonts w:hint="eastAsia" w:ascii="宋体" w:hAnsi="宋体" w:cs="宋体"/>
                <w:sz w:val="18"/>
                <w:szCs w:val="18"/>
              </w:rPr>
              <w:t>1,700,000.00</w:t>
            </w:r>
          </w:p>
        </w:tc>
      </w:tr>
    </w:tbl>
    <w:p>
      <w:pPr>
        <w:rPr>
          <w:rFonts w:ascii="宋体" w:hAnsi="宋体"/>
          <w:b/>
          <w:color w:val="FF0000"/>
          <w:szCs w:val="21"/>
        </w:rPr>
      </w:pPr>
      <w:r>
        <w:rPr>
          <w:rFonts w:hint="eastAsia" w:ascii="宋体" w:hAnsi="宋体"/>
          <w:b/>
          <w:color w:val="FF0000"/>
          <w:szCs w:val="21"/>
        </w:rPr>
        <w:t>（二）货物清单明细</w:t>
      </w:r>
    </w:p>
    <w:tbl>
      <w:tblPr>
        <w:tblStyle w:val="43"/>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001"/>
        <w:gridCol w:w="2270"/>
        <w:gridCol w:w="517"/>
        <w:gridCol w:w="404"/>
        <w:gridCol w:w="775"/>
        <w:gridCol w:w="1376"/>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pPr>
              <w:jc w:val="center"/>
              <w:rPr>
                <w:bCs/>
                <w:szCs w:val="21"/>
              </w:rPr>
            </w:pPr>
            <w:r>
              <w:rPr>
                <w:rFonts w:hint="eastAsia"/>
                <w:bCs/>
                <w:szCs w:val="21"/>
              </w:rPr>
              <w:t>序号</w:t>
            </w:r>
          </w:p>
        </w:tc>
        <w:tc>
          <w:tcPr>
            <w:tcW w:w="2001" w:type="dxa"/>
            <w:vAlign w:val="center"/>
          </w:tcPr>
          <w:p>
            <w:pPr>
              <w:jc w:val="center"/>
              <w:rPr>
                <w:bCs/>
                <w:szCs w:val="21"/>
              </w:rPr>
            </w:pPr>
            <w:r>
              <w:rPr>
                <w:rFonts w:hint="eastAsia"/>
                <w:bCs/>
                <w:szCs w:val="21"/>
              </w:rPr>
              <w:t>采购计划编号</w:t>
            </w:r>
          </w:p>
        </w:tc>
        <w:tc>
          <w:tcPr>
            <w:tcW w:w="2270" w:type="dxa"/>
            <w:vAlign w:val="center"/>
          </w:tcPr>
          <w:p>
            <w:pPr>
              <w:jc w:val="center"/>
              <w:rPr>
                <w:bCs/>
                <w:szCs w:val="21"/>
              </w:rPr>
            </w:pPr>
            <w:r>
              <w:rPr>
                <w:rFonts w:hint="eastAsia"/>
                <w:bCs/>
                <w:szCs w:val="21"/>
              </w:rPr>
              <w:t>货物名称</w:t>
            </w:r>
          </w:p>
        </w:tc>
        <w:tc>
          <w:tcPr>
            <w:tcW w:w="517" w:type="dxa"/>
            <w:vAlign w:val="center"/>
          </w:tcPr>
          <w:p>
            <w:pPr>
              <w:jc w:val="center"/>
              <w:rPr>
                <w:bCs/>
                <w:szCs w:val="21"/>
              </w:rPr>
            </w:pPr>
            <w:r>
              <w:rPr>
                <w:rFonts w:hint="eastAsia"/>
                <w:bCs/>
                <w:szCs w:val="21"/>
              </w:rPr>
              <w:t>数量</w:t>
            </w:r>
          </w:p>
        </w:tc>
        <w:tc>
          <w:tcPr>
            <w:tcW w:w="404" w:type="dxa"/>
            <w:vAlign w:val="center"/>
          </w:tcPr>
          <w:p>
            <w:pPr>
              <w:jc w:val="center"/>
              <w:rPr>
                <w:bCs/>
                <w:szCs w:val="21"/>
              </w:rPr>
            </w:pPr>
            <w:r>
              <w:rPr>
                <w:rFonts w:hint="eastAsia"/>
                <w:bCs/>
                <w:szCs w:val="21"/>
              </w:rPr>
              <w:t>单位</w:t>
            </w:r>
          </w:p>
        </w:tc>
        <w:tc>
          <w:tcPr>
            <w:tcW w:w="775" w:type="dxa"/>
            <w:vAlign w:val="center"/>
          </w:tcPr>
          <w:p>
            <w:pPr>
              <w:jc w:val="center"/>
              <w:rPr>
                <w:bCs/>
                <w:szCs w:val="21"/>
              </w:rPr>
            </w:pPr>
            <w:r>
              <w:rPr>
                <w:rFonts w:hint="eastAsia"/>
                <w:bCs/>
                <w:szCs w:val="21"/>
              </w:rPr>
              <w:t>备注</w:t>
            </w:r>
          </w:p>
        </w:tc>
        <w:tc>
          <w:tcPr>
            <w:tcW w:w="1376" w:type="dxa"/>
            <w:vAlign w:val="top"/>
          </w:tcPr>
          <w:p>
            <w:pPr>
              <w:jc w:val="center"/>
              <w:rPr>
                <w:rFonts w:hint="eastAsia"/>
                <w:bCs/>
                <w:szCs w:val="21"/>
              </w:rPr>
            </w:pPr>
            <w:r>
              <w:rPr>
                <w:rFonts w:hint="eastAsia"/>
                <w:szCs w:val="21"/>
              </w:rPr>
              <w:t>财政预算限额（元）</w:t>
            </w:r>
          </w:p>
        </w:tc>
        <w:tc>
          <w:tcPr>
            <w:tcW w:w="714" w:type="dxa"/>
            <w:vAlign w:val="center"/>
          </w:tcPr>
          <w:p>
            <w:pPr>
              <w:jc w:val="center"/>
              <w:rPr>
                <w:bCs/>
                <w:szCs w:val="21"/>
              </w:rPr>
            </w:pPr>
            <w:r>
              <w:rPr>
                <w:rFonts w:hint="eastAsia"/>
                <w:b/>
                <w:bCs/>
                <w:color w:val="FF0000"/>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tcPr>
          <w:p>
            <w:pPr>
              <w:jc w:val="center"/>
              <w:rPr>
                <w:bCs/>
                <w:szCs w:val="21"/>
              </w:rPr>
            </w:pPr>
            <w:r>
              <w:rPr>
                <w:rFonts w:hint="eastAsia"/>
                <w:bCs/>
                <w:szCs w:val="21"/>
              </w:rPr>
              <w:t>1</w:t>
            </w:r>
          </w:p>
        </w:tc>
        <w:tc>
          <w:tcPr>
            <w:tcW w:w="2001" w:type="dxa"/>
          </w:tcPr>
          <w:p>
            <w:pPr>
              <w:jc w:val="center"/>
              <w:rPr>
                <w:bCs/>
                <w:szCs w:val="21"/>
              </w:rPr>
            </w:pPr>
            <w:r>
              <w:rPr>
                <w:rFonts w:hint="eastAsia"/>
                <w:bCs/>
                <w:szCs w:val="21"/>
              </w:rPr>
              <w:t>PLAN-2021-440301-0102018021-01127</w:t>
            </w:r>
          </w:p>
        </w:tc>
        <w:tc>
          <w:tcPr>
            <w:tcW w:w="2270" w:type="dxa"/>
          </w:tcPr>
          <w:p>
            <w:pPr>
              <w:jc w:val="center"/>
              <w:rPr>
                <w:bCs/>
                <w:szCs w:val="21"/>
              </w:rPr>
            </w:pPr>
            <w:r>
              <w:rPr>
                <w:rFonts w:hint="eastAsia"/>
                <w:bCs/>
                <w:szCs w:val="21"/>
              </w:rPr>
              <w:t>全自动三维扫频生物测量仪</w:t>
            </w:r>
          </w:p>
        </w:tc>
        <w:tc>
          <w:tcPr>
            <w:tcW w:w="517" w:type="dxa"/>
          </w:tcPr>
          <w:p>
            <w:pPr>
              <w:jc w:val="center"/>
              <w:rPr>
                <w:bCs/>
                <w:szCs w:val="21"/>
              </w:rPr>
            </w:pPr>
            <w:r>
              <w:rPr>
                <w:rFonts w:hint="eastAsia"/>
                <w:bCs/>
                <w:szCs w:val="21"/>
              </w:rPr>
              <w:t>2</w:t>
            </w:r>
          </w:p>
        </w:tc>
        <w:tc>
          <w:tcPr>
            <w:tcW w:w="404" w:type="dxa"/>
          </w:tcPr>
          <w:p>
            <w:pPr>
              <w:jc w:val="center"/>
              <w:rPr>
                <w:bCs/>
                <w:szCs w:val="21"/>
              </w:rPr>
            </w:pPr>
            <w:r>
              <w:rPr>
                <w:rFonts w:hint="eastAsia"/>
                <w:bCs/>
                <w:szCs w:val="21"/>
              </w:rPr>
              <w:t>台</w:t>
            </w:r>
          </w:p>
        </w:tc>
        <w:tc>
          <w:tcPr>
            <w:tcW w:w="775" w:type="dxa"/>
          </w:tcPr>
          <w:p>
            <w:pPr>
              <w:jc w:val="center"/>
              <w:rPr>
                <w:bCs/>
                <w:szCs w:val="21"/>
              </w:rPr>
            </w:pPr>
            <w:r>
              <w:rPr>
                <w:rFonts w:hint="eastAsia"/>
                <w:bCs/>
                <w:szCs w:val="21"/>
              </w:rPr>
              <w:t>接受进口</w:t>
            </w:r>
          </w:p>
        </w:tc>
        <w:tc>
          <w:tcPr>
            <w:tcW w:w="1376" w:type="dxa"/>
            <w:vAlign w:val="top"/>
          </w:tcPr>
          <w:p>
            <w:pPr>
              <w:rPr>
                <w:rFonts w:hint="eastAsia"/>
                <w:bCs/>
                <w:szCs w:val="21"/>
              </w:rPr>
            </w:pPr>
            <w:r>
              <w:rPr>
                <w:rFonts w:hint="eastAsia" w:ascii="宋体" w:hAnsi="宋体" w:cs="宋体"/>
                <w:sz w:val="18"/>
                <w:szCs w:val="18"/>
              </w:rPr>
              <w:t>1,700,000.00</w:t>
            </w:r>
          </w:p>
        </w:tc>
        <w:tc>
          <w:tcPr>
            <w:tcW w:w="714" w:type="dxa"/>
          </w:tcPr>
          <w:p>
            <w:pPr>
              <w:jc w:val="center"/>
              <w:rPr>
                <w:bCs/>
                <w:szCs w:val="21"/>
              </w:rPr>
            </w:pPr>
            <w:r>
              <w:rPr>
                <w:rFonts w:hint="eastAsia"/>
                <w:bCs/>
                <w:szCs w:val="21"/>
              </w:rPr>
              <w:t>零售业</w:t>
            </w:r>
          </w:p>
        </w:tc>
      </w:tr>
    </w:tbl>
    <w:p>
      <w:pPr>
        <w:rPr>
          <w:rFonts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pPr>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 xml:space="preserve"> </w:t>
      </w:r>
      <w:r>
        <w:rPr>
          <w:rFonts w:ascii="宋体" w:hAnsi="宋体"/>
          <w:b/>
          <w:color w:val="FF0000"/>
          <w:szCs w:val="21"/>
          <w:u w:val="single"/>
        </w:rPr>
        <w:t xml:space="preserve">  </w:t>
      </w:r>
      <w:r>
        <w:rPr>
          <w:rFonts w:hint="eastAsia" w:ascii="宋体" w:hAnsi="宋体"/>
          <w:b/>
          <w:color w:val="FF0000"/>
          <w:szCs w:val="21"/>
          <w:highlight w:val="yellow"/>
          <w:u w:val="single"/>
        </w:rPr>
        <w:t>单一产品采购项目，不设置核心产品。</w:t>
      </w:r>
      <w:r>
        <w:rPr>
          <w:rFonts w:ascii="宋体" w:hAnsi="宋体"/>
          <w:b/>
          <w:color w:val="FF0000"/>
          <w:szCs w:val="21"/>
          <w:u w:val="single"/>
        </w:rPr>
        <w:t xml:space="preserve"> </w:t>
      </w:r>
    </w:p>
    <w:p>
      <w:pPr>
        <w:rPr>
          <w:rFonts w:ascii="宋体" w:hAnsi="宋体"/>
          <w:b/>
          <w:color w:val="FF0000"/>
          <w:szCs w:val="21"/>
        </w:rPr>
      </w:pPr>
    </w:p>
    <w:p>
      <w:pPr>
        <w:pStyle w:val="2"/>
        <w:spacing w:before="120" w:beforeLines="50" w:after="120" w:afterLines="50"/>
        <w:rPr>
          <w:sz w:val="28"/>
          <w:szCs w:val="28"/>
        </w:rPr>
      </w:pPr>
      <w:bookmarkStart w:id="28" w:name="_Toc128884461"/>
      <w:r>
        <w:rPr>
          <w:rFonts w:hint="eastAsia"/>
          <w:sz w:val="28"/>
          <w:szCs w:val="28"/>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序号</w:t>
            </w:r>
          </w:p>
        </w:tc>
        <w:tc>
          <w:tcPr>
            <w:tcW w:w="7483" w:type="dxa"/>
          </w:tcPr>
          <w:p>
            <w:pPr>
              <w:adjustRightInd w:val="0"/>
              <w:snapToGrid w:val="0"/>
              <w:spacing w:line="360" w:lineRule="auto"/>
              <w:rPr>
                <w:rFonts w:ascii="宋体" w:hAnsi="宋体"/>
                <w:kern w:val="0"/>
                <w:szCs w:val="21"/>
              </w:rPr>
            </w:pPr>
            <w:r>
              <w:rPr>
                <w:rFonts w:hint="eastAsia" w:ascii="宋体" w:hAnsi="宋体"/>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3</w:t>
            </w:r>
          </w:p>
        </w:tc>
        <w:tc>
          <w:tcPr>
            <w:tcW w:w="7483" w:type="dxa"/>
          </w:tcPr>
          <w:p>
            <w:pPr>
              <w:adjustRightInd w:val="0"/>
              <w:snapToGrid w:val="0"/>
              <w:spacing w:line="360" w:lineRule="auto"/>
              <w:rPr>
                <w:rFonts w:hAnsi="宋体"/>
                <w:kern w:val="0"/>
                <w:szCs w:val="21"/>
              </w:rPr>
            </w:pPr>
            <w:r>
              <w:rPr>
                <w:rFonts w:hint="eastAsia" w:hAnsi="宋体"/>
                <w:kern w:val="0"/>
                <w:szCs w:val="21"/>
              </w:rPr>
              <w:t>具体技术要求、商务需求中带“★”要求</w:t>
            </w:r>
          </w:p>
        </w:tc>
      </w:tr>
    </w:tbl>
    <w:p>
      <w:pPr>
        <w:rPr>
          <w:sz w:val="24"/>
          <w:szCs w:val="32"/>
        </w:rPr>
      </w:pPr>
      <w:r>
        <w:rPr>
          <w:rFonts w:hint="eastAsia"/>
          <w:sz w:val="24"/>
          <w:szCs w:val="32"/>
        </w:rPr>
        <w:t>注：上表所列内容为不可负偏离条款</w:t>
      </w:r>
      <w:bookmarkEnd w:id="28"/>
    </w:p>
    <w:p>
      <w:pPr>
        <w:pStyle w:val="2"/>
        <w:spacing w:before="120" w:beforeLines="50" w:after="120" w:afterLines="50"/>
        <w:rPr>
          <w:sz w:val="28"/>
          <w:szCs w:val="28"/>
        </w:rPr>
      </w:pPr>
      <w:r>
        <w:rPr>
          <w:rFonts w:hint="eastAsia"/>
          <w:sz w:val="28"/>
          <w:szCs w:val="28"/>
        </w:rPr>
        <w:t>四、具体技术要求</w:t>
      </w:r>
    </w:p>
    <w:p>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pPr>
        <w:ind w:firstLine="422" w:firstLineChars="200"/>
        <w:rPr>
          <w:b/>
          <w:szCs w:val="21"/>
        </w:rPr>
      </w:pPr>
      <w:r>
        <w:rPr>
          <w:rFonts w:hint="eastAsia"/>
          <w:b/>
          <w:szCs w:val="21"/>
        </w:rPr>
        <w:t>2、招标技术要求中，用红色加粗字体标注的技术条款为要求提供证明资料的条款，共</w:t>
      </w:r>
      <w:r>
        <w:rPr>
          <w:rFonts w:hint="eastAsia"/>
          <w:highlight w:val="yellow"/>
        </w:rPr>
        <w:t>5</w:t>
      </w:r>
      <w:r>
        <w:rPr>
          <w:rFonts w:hint="eastAsia"/>
          <w:b/>
          <w:szCs w:val="21"/>
          <w:highlight w:val="yellow"/>
        </w:rPr>
        <w:t>项</w:t>
      </w:r>
      <w:r>
        <w:rPr>
          <w:rFonts w:hint="eastAsia"/>
          <w:b/>
          <w:szCs w:val="21"/>
        </w:rPr>
        <w:t>，其余为未要求提供证明资料的条款，无需提供相关证明资料。</w:t>
      </w:r>
    </w:p>
    <w:p>
      <w:pPr>
        <w:ind w:firstLine="422" w:firstLineChars="200"/>
        <w:rPr>
          <w:b/>
        </w:rPr>
      </w:pPr>
      <w:r>
        <w:rPr>
          <w:rFonts w:hint="eastAsia"/>
          <w:b/>
        </w:rPr>
        <w:t>3、评分时，如对一项招标技术要求（以划分框为准）中的内容存在两处（或以上）负偏离的，在评分时只作一项负偏离扣分。</w:t>
      </w:r>
    </w:p>
    <w:p>
      <w:pPr>
        <w:ind w:firstLine="422" w:firstLineChars="200"/>
        <w:rPr>
          <w:b/>
          <w:color w:val="FF0000"/>
        </w:rPr>
      </w:pPr>
      <w:r>
        <w:rPr>
          <w:rFonts w:hint="eastAsia"/>
          <w:b/>
          <w:color w:val="FF0000"/>
        </w:rPr>
        <w:t>4</w:t>
      </w:r>
      <w:r>
        <w:rPr>
          <w:b/>
          <w:color w:val="FF0000"/>
        </w:rPr>
        <w:t>、涉及区间的参数，除特别注明以外，</w:t>
      </w:r>
      <w:bookmarkStart w:id="29" w:name="_Hlk75447406"/>
      <w:r>
        <w:rPr>
          <w:b/>
          <w:color w:val="FF0000"/>
        </w:rPr>
        <w:t>产品参数区间与招标要求不一致的均视为负偏离。</w:t>
      </w:r>
      <w:bookmarkEnd w:id="29"/>
      <w:r>
        <w:rPr>
          <w:rFonts w:hint="eastAsia"/>
          <w:b/>
          <w:color w:val="FF0000"/>
        </w:rPr>
        <w:t>例：区间要求为0-20ML,只要响应的不是“0-20ML”，如投标文件响应为 0-15ML 、0-21ML 、1-12ML 、 9-20ML 、6-21ML 、9ML等情形均视为负偏离。</w:t>
      </w:r>
    </w:p>
    <w:tbl>
      <w:tblPr>
        <w:tblStyle w:val="43"/>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40"/>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69"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40"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6551"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140" w:type="dxa"/>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全自动三维扫频生物测量仪</w:t>
            </w:r>
          </w:p>
        </w:tc>
        <w:tc>
          <w:tcPr>
            <w:tcW w:w="65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▲1、光源：扫频激光（要求提供产品彩页关键信息或产品制造商官网关键信息截图）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continue"/>
            <w:vAlign w:val="center"/>
          </w:tcPr>
          <w:p>
            <w:pPr>
              <w:jc w:val="center"/>
              <w:rPr>
                <w:rFonts w:asciiTheme="minorEastAsia" w:hAnsiTheme="minorEastAsia" w:eastAsiaTheme="minorEastAsia" w:cstheme="minorEastAsia"/>
                <w:bCs/>
                <w:szCs w:val="21"/>
              </w:rPr>
            </w:pPr>
          </w:p>
        </w:tc>
        <w:tc>
          <w:tcPr>
            <w:tcW w:w="1140" w:type="dxa"/>
            <w:vMerge w:val="continue"/>
          </w:tcPr>
          <w:p>
            <w:pPr>
              <w:rPr>
                <w:rFonts w:asciiTheme="minorEastAsia" w:hAnsiTheme="minorEastAsia" w:eastAsiaTheme="minorEastAsia" w:cstheme="minorEastAsia"/>
                <w:bCs/>
                <w:szCs w:val="21"/>
              </w:rPr>
            </w:pPr>
          </w:p>
        </w:tc>
        <w:tc>
          <w:tcPr>
            <w:tcW w:w="65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▲2、测量方式：全自动对焦、自动测量；操作方式：≥10.4英寸触摸屏+三维全向助力手柄（要求提供产品彩页关键信息或产品制造商官网关键信息截图）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continue"/>
            <w:vAlign w:val="center"/>
          </w:tcPr>
          <w:p>
            <w:pPr>
              <w:jc w:val="center"/>
              <w:rPr>
                <w:rFonts w:asciiTheme="minorEastAsia" w:hAnsiTheme="minorEastAsia" w:eastAsiaTheme="minorEastAsia" w:cstheme="minorEastAsia"/>
                <w:bCs/>
                <w:szCs w:val="21"/>
              </w:rPr>
            </w:pPr>
          </w:p>
        </w:tc>
        <w:tc>
          <w:tcPr>
            <w:tcW w:w="1140" w:type="dxa"/>
            <w:vMerge w:val="continue"/>
          </w:tcPr>
          <w:p>
            <w:pPr>
              <w:rPr>
                <w:rFonts w:asciiTheme="minorEastAsia" w:hAnsiTheme="minorEastAsia" w:eastAsiaTheme="minorEastAsia" w:cstheme="minorEastAsia"/>
                <w:bCs/>
                <w:szCs w:val="21"/>
              </w:rPr>
            </w:pPr>
          </w:p>
        </w:tc>
        <w:tc>
          <w:tcPr>
            <w:tcW w:w="65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▲3、测量功能：眼轴长、角膜厚度、前房深度、晶体厚度、角膜曲率、瞳孔直径、角膜直径、角膜地形图（要求提供产品彩页关键信息或产品制造商官网关键信息截图）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continue"/>
            <w:vAlign w:val="center"/>
          </w:tcPr>
          <w:p>
            <w:pPr>
              <w:jc w:val="center"/>
              <w:rPr>
                <w:rFonts w:asciiTheme="minorEastAsia" w:hAnsiTheme="minorEastAsia" w:eastAsiaTheme="minorEastAsia" w:cstheme="minorEastAsia"/>
                <w:bCs/>
                <w:szCs w:val="21"/>
              </w:rPr>
            </w:pPr>
          </w:p>
        </w:tc>
        <w:tc>
          <w:tcPr>
            <w:tcW w:w="1140" w:type="dxa"/>
            <w:vMerge w:val="continue"/>
          </w:tcPr>
          <w:p>
            <w:pPr>
              <w:rPr>
                <w:rFonts w:asciiTheme="minorEastAsia" w:hAnsiTheme="minorEastAsia" w:eastAsiaTheme="minorEastAsia" w:cstheme="minorEastAsia"/>
                <w:bCs/>
                <w:szCs w:val="21"/>
              </w:rPr>
            </w:pPr>
          </w:p>
        </w:tc>
        <w:tc>
          <w:tcPr>
            <w:tcW w:w="65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4、眼轴长测量范围：14.0～40.0mm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continue"/>
            <w:vAlign w:val="center"/>
          </w:tcPr>
          <w:p>
            <w:pPr>
              <w:jc w:val="center"/>
              <w:rPr>
                <w:rFonts w:asciiTheme="minorEastAsia" w:hAnsiTheme="minorEastAsia" w:eastAsiaTheme="minorEastAsia" w:cstheme="minorEastAsia"/>
                <w:bCs/>
                <w:szCs w:val="21"/>
              </w:rPr>
            </w:pPr>
          </w:p>
        </w:tc>
        <w:tc>
          <w:tcPr>
            <w:tcW w:w="1140" w:type="dxa"/>
            <w:vMerge w:val="continue"/>
          </w:tcPr>
          <w:p>
            <w:pPr>
              <w:rPr>
                <w:rFonts w:asciiTheme="minorEastAsia" w:hAnsiTheme="minorEastAsia" w:eastAsiaTheme="minorEastAsia" w:cstheme="minorEastAsia"/>
                <w:bCs/>
                <w:szCs w:val="21"/>
              </w:rPr>
            </w:pPr>
          </w:p>
        </w:tc>
        <w:tc>
          <w:tcPr>
            <w:tcW w:w="65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5、前房深度测量范围：1.5～7.0mm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continue"/>
            <w:vAlign w:val="center"/>
          </w:tcPr>
          <w:p>
            <w:pPr>
              <w:jc w:val="center"/>
              <w:rPr>
                <w:rFonts w:asciiTheme="minorEastAsia" w:hAnsiTheme="minorEastAsia" w:eastAsiaTheme="minorEastAsia" w:cstheme="minorEastAsia"/>
                <w:bCs/>
                <w:szCs w:val="21"/>
              </w:rPr>
            </w:pPr>
          </w:p>
        </w:tc>
        <w:tc>
          <w:tcPr>
            <w:tcW w:w="1140" w:type="dxa"/>
            <w:vMerge w:val="continue"/>
          </w:tcPr>
          <w:p>
            <w:pPr>
              <w:rPr>
                <w:rFonts w:asciiTheme="minorEastAsia" w:hAnsiTheme="minorEastAsia" w:eastAsiaTheme="minorEastAsia" w:cstheme="minorEastAsia"/>
                <w:bCs/>
                <w:szCs w:val="21"/>
              </w:rPr>
            </w:pPr>
          </w:p>
        </w:tc>
        <w:tc>
          <w:tcPr>
            <w:tcW w:w="65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6、晶体厚度测量范围：0.5～6.0mm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continue"/>
            <w:vAlign w:val="center"/>
          </w:tcPr>
          <w:p>
            <w:pPr>
              <w:jc w:val="center"/>
              <w:rPr>
                <w:rFonts w:asciiTheme="minorEastAsia" w:hAnsiTheme="minorEastAsia" w:eastAsiaTheme="minorEastAsia" w:cstheme="minorEastAsia"/>
                <w:bCs/>
                <w:szCs w:val="21"/>
              </w:rPr>
            </w:pPr>
          </w:p>
        </w:tc>
        <w:tc>
          <w:tcPr>
            <w:tcW w:w="1140" w:type="dxa"/>
            <w:vMerge w:val="continue"/>
          </w:tcPr>
          <w:p>
            <w:pPr>
              <w:rPr>
                <w:rFonts w:asciiTheme="minorEastAsia" w:hAnsiTheme="minorEastAsia" w:eastAsiaTheme="minorEastAsia" w:cstheme="minorEastAsia"/>
                <w:bCs/>
                <w:szCs w:val="21"/>
              </w:rPr>
            </w:pPr>
          </w:p>
        </w:tc>
        <w:tc>
          <w:tcPr>
            <w:tcW w:w="65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7、角膜厚测量范围：0.2～1.2mm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continue"/>
            <w:vAlign w:val="center"/>
          </w:tcPr>
          <w:p>
            <w:pPr>
              <w:jc w:val="center"/>
              <w:rPr>
                <w:rFonts w:asciiTheme="minorEastAsia" w:hAnsiTheme="minorEastAsia" w:eastAsiaTheme="minorEastAsia" w:cstheme="minorEastAsia"/>
                <w:bCs/>
                <w:szCs w:val="21"/>
              </w:rPr>
            </w:pPr>
          </w:p>
        </w:tc>
        <w:tc>
          <w:tcPr>
            <w:tcW w:w="1140" w:type="dxa"/>
            <w:vMerge w:val="continue"/>
          </w:tcPr>
          <w:p>
            <w:pPr>
              <w:rPr>
                <w:rFonts w:asciiTheme="minorEastAsia" w:hAnsiTheme="minorEastAsia" w:eastAsiaTheme="minorEastAsia" w:cstheme="minorEastAsia"/>
                <w:bCs/>
                <w:szCs w:val="21"/>
              </w:rPr>
            </w:pPr>
          </w:p>
        </w:tc>
        <w:tc>
          <w:tcPr>
            <w:tcW w:w="65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8、角膜曲率测量范围：5.0～11.0mm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continue"/>
            <w:vAlign w:val="center"/>
          </w:tcPr>
          <w:p>
            <w:pPr>
              <w:jc w:val="center"/>
              <w:rPr>
                <w:rFonts w:asciiTheme="minorEastAsia" w:hAnsiTheme="minorEastAsia" w:eastAsiaTheme="minorEastAsia" w:cstheme="minorEastAsia"/>
                <w:bCs/>
                <w:szCs w:val="21"/>
              </w:rPr>
            </w:pPr>
          </w:p>
        </w:tc>
        <w:tc>
          <w:tcPr>
            <w:tcW w:w="1140" w:type="dxa"/>
            <w:vMerge w:val="continue"/>
          </w:tcPr>
          <w:p>
            <w:pPr>
              <w:rPr>
                <w:rFonts w:asciiTheme="minorEastAsia" w:hAnsiTheme="minorEastAsia" w:eastAsiaTheme="minorEastAsia" w:cstheme="minorEastAsia"/>
                <w:bCs/>
                <w:szCs w:val="21"/>
              </w:rPr>
            </w:pPr>
          </w:p>
        </w:tc>
        <w:tc>
          <w:tcPr>
            <w:tcW w:w="65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9、瞳孔直径测量范围：1.5～13.0mm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continue"/>
            <w:vAlign w:val="center"/>
          </w:tcPr>
          <w:p>
            <w:pPr>
              <w:jc w:val="center"/>
              <w:rPr>
                <w:rFonts w:asciiTheme="minorEastAsia" w:hAnsiTheme="minorEastAsia" w:eastAsiaTheme="minorEastAsia" w:cstheme="minorEastAsia"/>
                <w:bCs/>
                <w:szCs w:val="21"/>
              </w:rPr>
            </w:pPr>
          </w:p>
        </w:tc>
        <w:tc>
          <w:tcPr>
            <w:tcW w:w="1140" w:type="dxa"/>
            <w:vMerge w:val="continue"/>
          </w:tcPr>
          <w:p>
            <w:pPr>
              <w:rPr>
                <w:rFonts w:asciiTheme="minorEastAsia" w:hAnsiTheme="minorEastAsia" w:eastAsiaTheme="minorEastAsia" w:cstheme="minorEastAsia"/>
                <w:bCs/>
                <w:szCs w:val="21"/>
              </w:rPr>
            </w:pPr>
          </w:p>
        </w:tc>
        <w:tc>
          <w:tcPr>
            <w:tcW w:w="65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10、角膜直径测量范围：7.0～16.0mm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continue"/>
            <w:vAlign w:val="center"/>
          </w:tcPr>
          <w:p>
            <w:pPr>
              <w:jc w:val="center"/>
              <w:rPr>
                <w:rFonts w:asciiTheme="minorEastAsia" w:hAnsiTheme="minorEastAsia" w:eastAsiaTheme="minorEastAsia" w:cstheme="minorEastAsia"/>
                <w:bCs/>
                <w:szCs w:val="21"/>
              </w:rPr>
            </w:pPr>
          </w:p>
        </w:tc>
        <w:tc>
          <w:tcPr>
            <w:tcW w:w="1140" w:type="dxa"/>
            <w:vMerge w:val="continue"/>
          </w:tcPr>
          <w:p>
            <w:pPr>
              <w:rPr>
                <w:rFonts w:asciiTheme="minorEastAsia" w:hAnsiTheme="minorEastAsia" w:eastAsiaTheme="minorEastAsia" w:cstheme="minorEastAsia"/>
                <w:bCs/>
                <w:szCs w:val="21"/>
              </w:rPr>
            </w:pPr>
          </w:p>
        </w:tc>
        <w:tc>
          <w:tcPr>
            <w:tcW w:w="65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▲11、角膜地形图环数：≧9环；测量点数：≧2304点（要求提供产品彩页关键信息或产品制造商官网关键信息截图）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continue"/>
            <w:vAlign w:val="center"/>
          </w:tcPr>
          <w:p>
            <w:pPr>
              <w:jc w:val="center"/>
              <w:rPr>
                <w:rFonts w:asciiTheme="minorEastAsia" w:hAnsiTheme="minorEastAsia" w:eastAsiaTheme="minorEastAsia" w:cstheme="minorEastAsia"/>
                <w:bCs/>
                <w:szCs w:val="21"/>
              </w:rPr>
            </w:pPr>
          </w:p>
        </w:tc>
        <w:tc>
          <w:tcPr>
            <w:tcW w:w="1140" w:type="dxa"/>
            <w:vMerge w:val="continue"/>
          </w:tcPr>
          <w:p>
            <w:pPr>
              <w:rPr>
                <w:rFonts w:asciiTheme="minorEastAsia" w:hAnsiTheme="minorEastAsia" w:eastAsiaTheme="minorEastAsia" w:cstheme="minorEastAsia"/>
                <w:bCs/>
                <w:szCs w:val="21"/>
              </w:rPr>
            </w:pPr>
          </w:p>
        </w:tc>
        <w:tc>
          <w:tcPr>
            <w:tcW w:w="65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12、TORIC晶体辅助功能：有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continue"/>
            <w:vAlign w:val="center"/>
          </w:tcPr>
          <w:p>
            <w:pPr>
              <w:jc w:val="center"/>
              <w:rPr>
                <w:rFonts w:asciiTheme="minorEastAsia" w:hAnsiTheme="minorEastAsia" w:eastAsiaTheme="minorEastAsia" w:cstheme="minorEastAsia"/>
                <w:bCs/>
                <w:szCs w:val="21"/>
              </w:rPr>
            </w:pPr>
          </w:p>
        </w:tc>
        <w:tc>
          <w:tcPr>
            <w:tcW w:w="1140" w:type="dxa"/>
            <w:vMerge w:val="continue"/>
          </w:tcPr>
          <w:p>
            <w:pPr>
              <w:rPr>
                <w:rFonts w:asciiTheme="minorEastAsia" w:hAnsiTheme="minorEastAsia" w:eastAsiaTheme="minorEastAsia" w:cstheme="minorEastAsia"/>
                <w:bCs/>
                <w:szCs w:val="21"/>
              </w:rPr>
            </w:pPr>
          </w:p>
        </w:tc>
        <w:tc>
          <w:tcPr>
            <w:tcW w:w="6551" w:type="dxa"/>
          </w:tcPr>
          <w:p>
            <w:pPr>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▲13、人工晶体计算公式：</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Barrett Universal II , Barrett Toric Calculator，Barrett TrueK，OKULIX，Olsen，Haigis standard, Haigis optimized, Hoffer® Q, Holladay 1, SRK/T, Shammas-PL, SRK/T Double K，SRK SHOWA，easyIOL（近期加入），SRK 2（要求提供产品彩页关键信息或产品制造商官网关键信息截图）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9" w:type="dxa"/>
            <w:vMerge w:val="continue"/>
            <w:vAlign w:val="center"/>
          </w:tcPr>
          <w:p>
            <w:pPr>
              <w:jc w:val="center"/>
              <w:rPr>
                <w:rFonts w:asciiTheme="minorEastAsia" w:hAnsiTheme="minorEastAsia" w:eastAsiaTheme="minorEastAsia" w:cstheme="minorEastAsia"/>
                <w:bCs/>
                <w:szCs w:val="21"/>
              </w:rPr>
            </w:pPr>
          </w:p>
        </w:tc>
        <w:tc>
          <w:tcPr>
            <w:tcW w:w="1140" w:type="dxa"/>
            <w:vMerge w:val="continue"/>
          </w:tcPr>
          <w:p>
            <w:pPr>
              <w:rPr>
                <w:rFonts w:asciiTheme="minorEastAsia" w:hAnsiTheme="minorEastAsia" w:eastAsiaTheme="minorEastAsia" w:cstheme="minorEastAsia"/>
                <w:bCs/>
                <w:szCs w:val="21"/>
              </w:rPr>
            </w:pPr>
          </w:p>
        </w:tc>
        <w:tc>
          <w:tcPr>
            <w:tcW w:w="65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14、存储： SD卡， USB存储媒介，DICOM电子病历</w:t>
            </w:r>
          </w:p>
        </w:tc>
      </w:tr>
    </w:tbl>
    <w:p>
      <w:pPr>
        <w:pStyle w:val="2"/>
        <w:spacing w:before="120" w:beforeLines="50" w:after="120" w:afterLines="50"/>
        <w:rPr>
          <w:sz w:val="28"/>
          <w:szCs w:val="28"/>
        </w:rPr>
      </w:pPr>
      <w:r>
        <w:rPr>
          <w:rFonts w:hint="eastAsia"/>
          <w:sz w:val="28"/>
          <w:szCs w:val="28"/>
        </w:rPr>
        <w:t>五、商务需求</w:t>
      </w:r>
    </w:p>
    <w:p>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w:t>
      </w:r>
    </w:p>
    <w:p>
      <w:pPr>
        <w:ind w:firstLine="422" w:firstLineChars="200"/>
        <w:rPr>
          <w:sz w:val="28"/>
          <w:szCs w:val="28"/>
        </w:rPr>
      </w:pPr>
      <w:r>
        <w:rPr>
          <w:rFonts w:hint="eastAsia"/>
          <w:b/>
        </w:rPr>
        <w:t>2、评分时，如对一项招标商务需求（以划分框为准，一个划分框是作为一项招标商务需求）中的内容存在两处（或以上）负偏离的，在评分时只作一项负偏离扣分。</w:t>
      </w:r>
    </w:p>
    <w:tbl>
      <w:tblPr>
        <w:tblStyle w:val="4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011"/>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vAlign w:val="center"/>
          </w:tcPr>
          <w:p>
            <w:pPr>
              <w:jc w:val="center"/>
              <w:rPr>
                <w:b/>
              </w:rPr>
            </w:pPr>
            <w:r>
              <w:rPr>
                <w:rFonts w:hint="eastAsia"/>
                <w:b/>
              </w:rPr>
              <w:t>序号</w:t>
            </w:r>
          </w:p>
        </w:tc>
        <w:tc>
          <w:tcPr>
            <w:tcW w:w="1011" w:type="dxa"/>
            <w:vAlign w:val="center"/>
          </w:tcPr>
          <w:p>
            <w:pPr>
              <w:jc w:val="center"/>
              <w:rPr>
                <w:b/>
              </w:rPr>
            </w:pPr>
            <w:r>
              <w:rPr>
                <w:rFonts w:hint="eastAsia"/>
                <w:b/>
              </w:rPr>
              <w:t>目录</w:t>
            </w:r>
          </w:p>
        </w:tc>
        <w:tc>
          <w:tcPr>
            <w:tcW w:w="7265" w:type="dxa"/>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44" w:type="dxa"/>
            <w:vMerge w:val="restart"/>
            <w:vAlign w:val="center"/>
          </w:tcPr>
          <w:p>
            <w:pPr>
              <w:jc w:val="center"/>
              <w:rPr>
                <w:bCs/>
              </w:rPr>
            </w:pPr>
            <w:r>
              <w:rPr>
                <w:rFonts w:hint="eastAsia"/>
                <w:bCs/>
              </w:rPr>
              <w:t>1</w:t>
            </w:r>
          </w:p>
        </w:tc>
        <w:tc>
          <w:tcPr>
            <w:tcW w:w="1011" w:type="dxa"/>
            <w:vMerge w:val="restart"/>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维修响应及维护服务</w:t>
            </w:r>
          </w:p>
        </w:tc>
        <w:tc>
          <w:tcPr>
            <w:tcW w:w="7265" w:type="dxa"/>
          </w:tcPr>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1.1 各投标人应在投标文件中列明各主机、配件和易耗品的保 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44" w:type="dxa"/>
            <w:vMerge w:val="continue"/>
            <w:vAlign w:val="center"/>
          </w:tcPr>
          <w:p>
            <w:pPr>
              <w:jc w:val="center"/>
              <w:rPr>
                <w:bCs/>
              </w:rPr>
            </w:pPr>
          </w:p>
        </w:tc>
        <w:tc>
          <w:tcPr>
            <w:tcW w:w="1011" w:type="dxa"/>
            <w:vMerge w:val="continue"/>
          </w:tcPr>
          <w:p>
            <w:pPr>
              <w:rPr>
                <w:color w:val="000000" w:themeColor="text1"/>
                <w14:textFill>
                  <w14:solidFill>
                    <w14:schemeClr w14:val="tx1"/>
                  </w14:solidFill>
                </w14:textFill>
              </w:rPr>
            </w:pPr>
          </w:p>
        </w:tc>
        <w:tc>
          <w:tcPr>
            <w:tcW w:w="7265" w:type="dxa"/>
          </w:tcPr>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★1.2</w:t>
            </w:r>
            <w:r>
              <w:rPr>
                <w:rFonts w:hint="eastAsia"/>
                <w:bCs/>
                <w:color w:val="000000" w:themeColor="text1"/>
                <w14:textFill>
                  <w14:solidFill>
                    <w14:schemeClr w14:val="tx1"/>
                  </w14:solidFill>
                </w14:textFill>
              </w:rPr>
              <w:t>承诺提供整机免费保修期不少于</w:t>
            </w:r>
            <w:r>
              <w:rPr>
                <w:rFonts w:hint="eastAsia"/>
                <w:bCs/>
                <w:color w:val="000000" w:themeColor="text1"/>
                <w:u w:val="single"/>
                <w14:textFill>
                  <w14:solidFill>
                    <w14:schemeClr w14:val="tx1"/>
                  </w14:solidFill>
                </w14:textFill>
              </w:rPr>
              <w:t xml:space="preserve"> 2 </w:t>
            </w:r>
            <w:r>
              <w:rPr>
                <w:rFonts w:hint="eastAsia"/>
                <w:bCs/>
                <w:color w:val="000000" w:themeColor="text1"/>
                <w14:textFill>
                  <w14:solidFill>
                    <w14:schemeClr w14:val="tx1"/>
                  </w14:solidFill>
                </w14:textFill>
              </w:rPr>
              <w:t xml:space="preserve">年，终身维修，保修期内,年度定期预防性维护保养次数应不少于 3 次。保修期内免费 更换零配件、免工时费。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44" w:type="dxa"/>
            <w:vMerge w:val="continue"/>
            <w:vAlign w:val="center"/>
          </w:tcPr>
          <w:p>
            <w:pPr>
              <w:jc w:val="center"/>
              <w:rPr>
                <w:bCs/>
              </w:rPr>
            </w:pPr>
          </w:p>
        </w:tc>
        <w:tc>
          <w:tcPr>
            <w:tcW w:w="1011" w:type="dxa"/>
            <w:vMerge w:val="continue"/>
          </w:tcPr>
          <w:p>
            <w:pPr>
              <w:rPr>
                <w:color w:val="000000" w:themeColor="text1"/>
                <w14:textFill>
                  <w14:solidFill>
                    <w14:schemeClr w14:val="tx1"/>
                  </w14:solidFill>
                </w14:textFill>
              </w:rPr>
            </w:pPr>
          </w:p>
        </w:tc>
        <w:tc>
          <w:tcPr>
            <w:tcW w:w="7265" w:type="dxa"/>
          </w:tcPr>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1.3 由设备制造商提供售后服务，</w:t>
            </w:r>
            <w:r>
              <w:rPr>
                <w:rFonts w:hint="eastAsia"/>
                <w:bCs/>
                <w:color w:val="000000" w:themeColor="text1"/>
                <w:u w:val="single"/>
                <w14:textFill>
                  <w14:solidFill>
                    <w14:schemeClr w14:val="tx1"/>
                  </w14:solidFill>
                </w14:textFill>
              </w:rPr>
              <w:t xml:space="preserve">4 </w:t>
            </w:r>
            <w:r>
              <w:rPr>
                <w:rFonts w:hint="eastAsia"/>
                <w:bCs/>
                <w:color w:val="000000" w:themeColor="text1"/>
                <w14:textFill>
                  <w14:solidFill>
                    <w14:schemeClr w14:val="tx1"/>
                  </w14:solidFill>
                </w14:textFill>
              </w:rPr>
              <w:t>小时内响应，</w:t>
            </w:r>
            <w:r>
              <w:rPr>
                <w:rFonts w:hint="eastAsia"/>
                <w:bCs/>
                <w:color w:val="000000" w:themeColor="text1"/>
                <w:u w:val="single"/>
                <w14:textFill>
                  <w14:solidFill>
                    <w14:schemeClr w14:val="tx1"/>
                  </w14:solidFill>
                </w14:textFill>
              </w:rPr>
              <w:t xml:space="preserve">24 </w:t>
            </w:r>
            <w:r>
              <w:rPr>
                <w:rFonts w:hint="eastAsia"/>
                <w:bCs/>
                <w:color w:val="000000" w:themeColor="text1"/>
                <w14:textFill>
                  <w14:solidFill>
                    <w14:schemeClr w14:val="tx1"/>
                  </w14:solidFill>
                </w14:textFill>
              </w:rPr>
              <w:t xml:space="preserve">小时维修到位（不可抗力情况除外）,否则提供备用机,消耗品和零配件供应及时。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44" w:type="dxa"/>
            <w:vMerge w:val="continue"/>
            <w:vAlign w:val="center"/>
          </w:tcPr>
          <w:p>
            <w:pPr>
              <w:jc w:val="center"/>
              <w:rPr>
                <w:bCs/>
              </w:rPr>
            </w:pPr>
          </w:p>
        </w:tc>
        <w:tc>
          <w:tcPr>
            <w:tcW w:w="1011" w:type="dxa"/>
            <w:vMerge w:val="continue"/>
          </w:tcPr>
          <w:p>
            <w:pPr>
              <w:rPr>
                <w:color w:val="000000" w:themeColor="text1"/>
                <w14:textFill>
                  <w14:solidFill>
                    <w14:schemeClr w14:val="tx1"/>
                  </w14:solidFill>
                </w14:textFill>
              </w:rPr>
            </w:pPr>
          </w:p>
        </w:tc>
        <w:tc>
          <w:tcPr>
            <w:tcW w:w="7265" w:type="dxa"/>
          </w:tcPr>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1.4</w:t>
            </w:r>
            <w:r>
              <w:rPr>
                <w:rFonts w:hint="eastAsia" w:ascii="宋体" w:hAnsi="宋体" w:cs="宋体"/>
                <w:color w:val="000000" w:themeColor="text1"/>
                <w:kern w:val="0"/>
                <w:szCs w:val="21"/>
                <w14:textFill>
                  <w14:solidFill>
                    <w14:schemeClr w14:val="tx1"/>
                  </w14:solidFill>
                </w14:textFill>
              </w:rPr>
              <w:t>投标人负责货物的终身维护</w:t>
            </w:r>
            <w:r>
              <w:rPr>
                <w:rFonts w:hint="eastAsia"/>
                <w:bCs/>
                <w:color w:val="000000" w:themeColor="text1"/>
                <w14:textFill>
                  <w14:solidFill>
                    <w14:schemeClr w14:val="tx1"/>
                  </w14:solidFill>
                </w14:textFill>
              </w:rPr>
              <w:t>，保证</w:t>
            </w:r>
            <w:r>
              <w:rPr>
                <w:rFonts w:hint="eastAsia"/>
                <w:bCs/>
                <w:color w:val="000000" w:themeColor="text1"/>
                <w:u w:val="single"/>
                <w14:textFill>
                  <w14:solidFill>
                    <w14:schemeClr w14:val="tx1"/>
                  </w14:solidFill>
                </w14:textFill>
              </w:rPr>
              <w:t xml:space="preserve"> 5 </w:t>
            </w:r>
            <w:r>
              <w:rPr>
                <w:rFonts w:hint="eastAsia"/>
                <w:bCs/>
                <w:color w:val="000000" w:themeColor="text1"/>
                <w14:textFill>
                  <w14:solidFill>
                    <w14:schemeClr w14:val="tx1"/>
                  </w14:solidFill>
                </w14:textFill>
              </w:rPr>
              <w:t>年以上供应维修配件，终身免费提供软件升级服务。在免费保修期后，维修只收取零配件费用，不收取其他任何费用。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44" w:type="dxa"/>
            <w:vMerge w:val="continue"/>
            <w:vAlign w:val="center"/>
          </w:tcPr>
          <w:p>
            <w:pPr>
              <w:jc w:val="center"/>
              <w:rPr>
                <w:bCs/>
              </w:rPr>
            </w:pPr>
          </w:p>
        </w:tc>
        <w:tc>
          <w:tcPr>
            <w:tcW w:w="1011" w:type="dxa"/>
            <w:vMerge w:val="continue"/>
          </w:tcPr>
          <w:p>
            <w:pPr>
              <w:rPr>
                <w:color w:val="000000" w:themeColor="text1"/>
                <w:highlight w:val="none"/>
                <w14:textFill>
                  <w14:solidFill>
                    <w14:schemeClr w14:val="tx1"/>
                  </w14:solidFill>
                </w14:textFill>
              </w:rPr>
            </w:pPr>
          </w:p>
        </w:tc>
        <w:tc>
          <w:tcPr>
            <w:tcW w:w="7265" w:type="dxa"/>
          </w:tcPr>
          <w:p>
            <w:pPr>
              <w:rPr>
                <w:rFonts w:hint="eastAsia"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需免费提供标准DICOM格式及开放接口，并与医院HIS、PACS系统等进行无缝对接，符合实时数据采集上传和局域网存储功能，产生费用由中标单位自行承担</w:t>
            </w:r>
            <w:r>
              <w:rPr>
                <w:rStyle w:val="52"/>
                <w:rFonts w:hint="eastAsia" w:ascii="宋体"/>
                <w:color w:val="000000" w:themeColor="text1"/>
                <w:kern w:val="0"/>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44" w:type="dxa"/>
            <w:vAlign w:val="center"/>
          </w:tcPr>
          <w:p>
            <w:pPr>
              <w:jc w:val="center"/>
              <w:rPr>
                <w:b/>
              </w:rPr>
            </w:pPr>
            <w:r>
              <w:rPr>
                <w:rFonts w:hint="eastAsia"/>
                <w:b/>
              </w:rPr>
              <w:t>2</w:t>
            </w:r>
          </w:p>
        </w:tc>
        <w:tc>
          <w:tcPr>
            <w:tcW w:w="1011" w:type="dxa"/>
            <w:vAlign w:val="center"/>
          </w:tcPr>
          <w:p>
            <w:r>
              <w:rPr>
                <w:rFonts w:hint="eastAsia"/>
                <w:szCs w:val="21"/>
              </w:rPr>
              <w:t>质量保证</w:t>
            </w:r>
          </w:p>
        </w:tc>
        <w:tc>
          <w:tcPr>
            <w:tcW w:w="7265" w:type="dxa"/>
            <w:vAlign w:val="center"/>
          </w:tcPr>
          <w:p>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44" w:type="dxa"/>
            <w:vAlign w:val="center"/>
          </w:tcPr>
          <w:p>
            <w:pPr>
              <w:jc w:val="center"/>
              <w:rPr>
                <w:bCs/>
              </w:rPr>
            </w:pPr>
            <w:r>
              <w:rPr>
                <w:rFonts w:hint="eastAsia"/>
                <w:bCs/>
              </w:rPr>
              <w:t>3</w:t>
            </w:r>
          </w:p>
        </w:tc>
        <w:tc>
          <w:tcPr>
            <w:tcW w:w="1011" w:type="dxa"/>
            <w:vAlign w:val="center"/>
          </w:tcPr>
          <w:p>
            <w:pPr>
              <w:rPr>
                <w:b/>
              </w:rPr>
            </w:pPr>
            <w:r>
              <w:rPr>
                <w:rFonts w:hint="eastAsia"/>
              </w:rPr>
              <w:t>其他</w:t>
            </w:r>
          </w:p>
        </w:tc>
        <w:tc>
          <w:tcPr>
            <w:tcW w:w="7265" w:type="dxa"/>
            <w:vAlign w:val="center"/>
          </w:tcPr>
          <w:p>
            <w:pPr>
              <w:rPr>
                <w:b/>
              </w:rPr>
            </w:pPr>
            <w:r>
              <w:rPr>
                <w:rFonts w:hint="eastAsia"/>
                <w:bCs/>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restart"/>
            <w:vAlign w:val="center"/>
          </w:tcPr>
          <w:p>
            <w:pPr>
              <w:jc w:val="center"/>
              <w:rPr>
                <w:bCs/>
              </w:rPr>
            </w:pPr>
            <w:r>
              <w:rPr>
                <w:rFonts w:hint="eastAsia"/>
                <w:bCs/>
              </w:rPr>
              <w:t>1</w:t>
            </w:r>
          </w:p>
        </w:tc>
        <w:tc>
          <w:tcPr>
            <w:tcW w:w="1011" w:type="dxa"/>
            <w:vMerge w:val="restart"/>
          </w:tcPr>
          <w:p>
            <w:pPr>
              <w:rPr>
                <w:b/>
              </w:rPr>
            </w:pPr>
            <w:r>
              <w:rPr>
                <w:rFonts w:hint="eastAsia" w:ascii="宋体" w:hAnsi="宋体"/>
                <w:b/>
                <w:kern w:val="0"/>
                <w:szCs w:val="21"/>
              </w:rPr>
              <w:t>维修零配件、消耗品和延续保修合同的报价</w:t>
            </w:r>
          </w:p>
        </w:tc>
        <w:tc>
          <w:tcPr>
            <w:tcW w:w="7265" w:type="dxa"/>
          </w:tcPr>
          <w:p>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continue"/>
            <w:vAlign w:val="center"/>
          </w:tcPr>
          <w:p>
            <w:pPr>
              <w:jc w:val="center"/>
              <w:rPr>
                <w:bCs/>
              </w:rPr>
            </w:pPr>
          </w:p>
        </w:tc>
        <w:tc>
          <w:tcPr>
            <w:tcW w:w="1011" w:type="dxa"/>
            <w:vMerge w:val="continue"/>
          </w:tcPr>
          <w:p>
            <w:pPr>
              <w:rPr>
                <w:b/>
              </w:rPr>
            </w:pPr>
          </w:p>
        </w:tc>
        <w:tc>
          <w:tcPr>
            <w:tcW w:w="7265" w:type="dxa"/>
          </w:tcPr>
          <w:p>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continue"/>
            <w:vAlign w:val="center"/>
          </w:tcPr>
          <w:p>
            <w:pPr>
              <w:jc w:val="center"/>
              <w:rPr>
                <w:bCs/>
              </w:rPr>
            </w:pPr>
          </w:p>
        </w:tc>
        <w:tc>
          <w:tcPr>
            <w:tcW w:w="1011" w:type="dxa"/>
            <w:vMerge w:val="continue"/>
          </w:tcPr>
          <w:p>
            <w:pPr>
              <w:rPr>
                <w:b/>
              </w:rPr>
            </w:pPr>
          </w:p>
        </w:tc>
        <w:tc>
          <w:tcPr>
            <w:tcW w:w="7265" w:type="dxa"/>
          </w:tcPr>
          <w:p>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4" w:type="dxa"/>
            <w:vMerge w:val="continue"/>
            <w:vAlign w:val="center"/>
          </w:tcPr>
          <w:p>
            <w:pPr>
              <w:jc w:val="center"/>
              <w:rPr>
                <w:bCs/>
              </w:rPr>
            </w:pPr>
          </w:p>
        </w:tc>
        <w:tc>
          <w:tcPr>
            <w:tcW w:w="1011" w:type="dxa"/>
            <w:vMerge w:val="continue"/>
          </w:tcPr>
          <w:p>
            <w:pPr>
              <w:rPr>
                <w:b/>
              </w:rPr>
            </w:pPr>
          </w:p>
        </w:tc>
        <w:tc>
          <w:tcPr>
            <w:tcW w:w="7265" w:type="dxa"/>
          </w:tcPr>
          <w:p>
            <w:pPr>
              <w:rPr>
                <w:b/>
              </w:rPr>
            </w:pPr>
            <w:r>
              <w:rPr>
                <w:rFonts w:hint="eastAsia" w:ascii="宋体" w:hAnsi="宋体"/>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continue"/>
            <w:vAlign w:val="center"/>
          </w:tcPr>
          <w:p>
            <w:pPr>
              <w:jc w:val="center"/>
              <w:rPr>
                <w:bCs/>
              </w:rPr>
            </w:pPr>
          </w:p>
        </w:tc>
        <w:tc>
          <w:tcPr>
            <w:tcW w:w="1011" w:type="dxa"/>
            <w:vMerge w:val="continue"/>
          </w:tcPr>
          <w:p>
            <w:pPr>
              <w:rPr>
                <w:b/>
              </w:rPr>
            </w:pPr>
          </w:p>
        </w:tc>
        <w:tc>
          <w:tcPr>
            <w:tcW w:w="7265"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4" w:type="dxa"/>
            <w:vMerge w:val="restart"/>
            <w:vAlign w:val="center"/>
          </w:tcPr>
          <w:p>
            <w:pPr>
              <w:jc w:val="center"/>
              <w:rPr>
                <w:bCs/>
              </w:rPr>
            </w:pPr>
            <w:r>
              <w:rPr>
                <w:rFonts w:hint="eastAsia"/>
                <w:bCs/>
              </w:rPr>
              <w:t>1</w:t>
            </w:r>
          </w:p>
        </w:tc>
        <w:tc>
          <w:tcPr>
            <w:tcW w:w="1011" w:type="dxa"/>
            <w:vMerge w:val="restart"/>
            <w:vAlign w:val="center"/>
          </w:tcPr>
          <w:p>
            <w:r>
              <w:rPr>
                <w:rFonts w:hint="eastAsia"/>
              </w:rPr>
              <w:t>关于交货</w:t>
            </w:r>
          </w:p>
        </w:tc>
        <w:tc>
          <w:tcPr>
            <w:tcW w:w="7265" w:type="dxa"/>
          </w:tcPr>
          <w:p>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44" w:type="dxa"/>
            <w:vMerge w:val="continue"/>
            <w:vAlign w:val="center"/>
          </w:tcPr>
          <w:p>
            <w:pPr>
              <w:jc w:val="center"/>
              <w:rPr>
                <w:bCs/>
              </w:rPr>
            </w:pPr>
          </w:p>
        </w:tc>
        <w:tc>
          <w:tcPr>
            <w:tcW w:w="1011" w:type="dxa"/>
            <w:vMerge w:val="continue"/>
            <w:vAlign w:val="center"/>
          </w:tcPr>
          <w:p>
            <w:pPr>
              <w:jc w:val="center"/>
            </w:pPr>
          </w:p>
        </w:tc>
        <w:tc>
          <w:tcPr>
            <w:tcW w:w="7265" w:type="dxa"/>
          </w:tcPr>
          <w:p>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44" w:type="dxa"/>
            <w:vMerge w:val="continue"/>
            <w:vAlign w:val="center"/>
          </w:tcPr>
          <w:p>
            <w:pPr>
              <w:jc w:val="center"/>
              <w:rPr>
                <w:bCs/>
              </w:rPr>
            </w:pPr>
            <w:r>
              <w:rPr>
                <w:rFonts w:hint="eastAsia"/>
                <w:bCs/>
              </w:rPr>
              <w:t>+</w:t>
            </w:r>
          </w:p>
        </w:tc>
        <w:tc>
          <w:tcPr>
            <w:tcW w:w="1011" w:type="dxa"/>
            <w:vMerge w:val="continue"/>
            <w:vAlign w:val="center"/>
          </w:tcPr>
          <w:p>
            <w:pPr>
              <w:jc w:val="center"/>
            </w:pPr>
          </w:p>
        </w:tc>
        <w:tc>
          <w:tcPr>
            <w:tcW w:w="7265" w:type="dxa"/>
          </w:tcPr>
          <w:p>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restart"/>
            <w:vAlign w:val="center"/>
          </w:tcPr>
          <w:p>
            <w:pPr>
              <w:jc w:val="center"/>
              <w:rPr>
                <w:bCs/>
              </w:rPr>
            </w:pPr>
            <w:r>
              <w:rPr>
                <w:rFonts w:hint="eastAsia"/>
                <w:bCs/>
              </w:rPr>
              <w:t>2</w:t>
            </w:r>
          </w:p>
        </w:tc>
        <w:tc>
          <w:tcPr>
            <w:tcW w:w="1011" w:type="dxa"/>
            <w:vMerge w:val="restart"/>
            <w:vAlign w:val="center"/>
          </w:tcPr>
          <w:p>
            <w:r>
              <w:rPr>
                <w:rFonts w:hint="eastAsia"/>
              </w:rPr>
              <w:t>运输、安装调试及验收</w:t>
            </w:r>
          </w:p>
        </w:tc>
        <w:tc>
          <w:tcPr>
            <w:tcW w:w="7265" w:type="dxa"/>
          </w:tcPr>
          <w:p>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continue"/>
            <w:vAlign w:val="center"/>
          </w:tcPr>
          <w:p>
            <w:pPr>
              <w:jc w:val="center"/>
              <w:rPr>
                <w:b/>
              </w:rPr>
            </w:pPr>
          </w:p>
        </w:tc>
        <w:tc>
          <w:tcPr>
            <w:tcW w:w="1011" w:type="dxa"/>
            <w:vMerge w:val="continue"/>
          </w:tcPr>
          <w:p>
            <w:pPr>
              <w:rPr>
                <w:b/>
              </w:rPr>
            </w:pPr>
          </w:p>
        </w:tc>
        <w:tc>
          <w:tcPr>
            <w:tcW w:w="7265" w:type="dxa"/>
          </w:tcPr>
          <w:p>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continue"/>
            <w:vAlign w:val="center"/>
          </w:tcPr>
          <w:p>
            <w:pPr>
              <w:jc w:val="center"/>
              <w:rPr>
                <w:b/>
              </w:rPr>
            </w:pPr>
          </w:p>
        </w:tc>
        <w:tc>
          <w:tcPr>
            <w:tcW w:w="1011" w:type="dxa"/>
            <w:vMerge w:val="continue"/>
          </w:tcPr>
          <w:p>
            <w:pPr>
              <w:rPr>
                <w:b/>
              </w:rPr>
            </w:pPr>
          </w:p>
        </w:tc>
        <w:tc>
          <w:tcPr>
            <w:tcW w:w="7265" w:type="dxa"/>
          </w:tcPr>
          <w:p>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continue"/>
            <w:vAlign w:val="center"/>
          </w:tcPr>
          <w:p>
            <w:pPr>
              <w:jc w:val="center"/>
              <w:rPr>
                <w:b/>
              </w:rPr>
            </w:pPr>
          </w:p>
        </w:tc>
        <w:tc>
          <w:tcPr>
            <w:tcW w:w="1011" w:type="dxa"/>
            <w:vMerge w:val="continue"/>
          </w:tcPr>
          <w:p>
            <w:pPr>
              <w:rPr>
                <w:b/>
              </w:rPr>
            </w:pPr>
          </w:p>
        </w:tc>
        <w:tc>
          <w:tcPr>
            <w:tcW w:w="7265" w:type="dxa"/>
          </w:tcPr>
          <w:p>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pPr>
              <w:rPr>
                <w:bCs/>
                <w:szCs w:val="21"/>
              </w:rPr>
            </w:pPr>
            <w:r>
              <w:rPr>
                <w:rFonts w:hint="eastAsia"/>
                <w:bCs/>
                <w:szCs w:val="21"/>
              </w:rPr>
              <w:t>（1）设备全新,外观无伤痕变形或明显修饰痕迹。</w:t>
            </w:r>
          </w:p>
          <w:p>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rPr>
                <w:bCs/>
                <w:szCs w:val="21"/>
              </w:rPr>
            </w:pPr>
            <w:r>
              <w:rPr>
                <w:rFonts w:hint="eastAsia"/>
                <w:bCs/>
                <w:szCs w:val="21"/>
              </w:rPr>
              <w:t>（3）技术文件资料、备件等已按规定数量移交完毕。</w:t>
            </w:r>
          </w:p>
          <w:p>
            <w:pPr>
              <w:rPr>
                <w:bCs/>
                <w:szCs w:val="21"/>
              </w:rPr>
            </w:pPr>
            <w:r>
              <w:rPr>
                <w:rFonts w:hint="eastAsia"/>
                <w:bCs/>
                <w:szCs w:val="21"/>
              </w:rPr>
              <w:t>（4）按照招标书要求及投标文件提供的技术要求验收必须合格。</w:t>
            </w:r>
          </w:p>
          <w:p>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pPr>
              <w:spacing w:line="340" w:lineRule="exact"/>
              <w:rPr>
                <w:bCs/>
                <w:szCs w:val="21"/>
              </w:rPr>
            </w:pPr>
            <w:r>
              <w:rPr>
                <w:rFonts w:hint="eastAsia"/>
                <w:bCs/>
                <w:szCs w:val="21"/>
              </w:rPr>
              <w:t>（6）货物具备产品合格证。</w:t>
            </w:r>
          </w:p>
          <w:p>
            <w:pPr>
              <w:spacing w:line="340" w:lineRule="exact"/>
              <w:rPr>
                <w:bCs/>
                <w:szCs w:val="21"/>
              </w:rPr>
            </w:pPr>
            <w:r>
              <w:rPr>
                <w:rFonts w:hint="eastAsia"/>
                <w:bCs/>
                <w:szCs w:val="21"/>
              </w:rPr>
              <w:t>（7）在货物安装调试合格后，所有技术指标达到技术规范书要求，经验收合格后，双方共同签署验收报告。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restart"/>
            <w:vAlign w:val="center"/>
          </w:tcPr>
          <w:p>
            <w:pPr>
              <w:jc w:val="center"/>
              <w:rPr>
                <w:bCs/>
              </w:rPr>
            </w:pPr>
            <w:r>
              <w:rPr>
                <w:rFonts w:hint="eastAsia"/>
                <w:bCs/>
              </w:rPr>
              <w:t>3</w:t>
            </w:r>
          </w:p>
        </w:tc>
        <w:tc>
          <w:tcPr>
            <w:tcW w:w="1011" w:type="dxa"/>
            <w:vMerge w:val="restart"/>
            <w:vAlign w:val="center"/>
          </w:tcPr>
          <w:p>
            <w:pPr>
              <w:jc w:val="center"/>
            </w:pPr>
            <w:r>
              <w:rPr>
                <w:rFonts w:hint="eastAsia"/>
              </w:rPr>
              <w:t>关于违约</w:t>
            </w:r>
          </w:p>
        </w:tc>
        <w:tc>
          <w:tcPr>
            <w:tcW w:w="7265" w:type="dxa"/>
          </w:tcPr>
          <w:p>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continue"/>
            <w:vAlign w:val="center"/>
          </w:tcPr>
          <w:p>
            <w:pPr>
              <w:jc w:val="center"/>
              <w:rPr>
                <w:bCs/>
              </w:rPr>
            </w:pPr>
          </w:p>
        </w:tc>
        <w:tc>
          <w:tcPr>
            <w:tcW w:w="1011" w:type="dxa"/>
            <w:vMerge w:val="continue"/>
            <w:vAlign w:val="center"/>
          </w:tcPr>
          <w:p>
            <w:pPr>
              <w:jc w:val="center"/>
            </w:pPr>
          </w:p>
        </w:tc>
        <w:tc>
          <w:tcPr>
            <w:tcW w:w="7265" w:type="dxa"/>
          </w:tcPr>
          <w:p>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continue"/>
            <w:vAlign w:val="center"/>
          </w:tcPr>
          <w:p>
            <w:pPr>
              <w:jc w:val="center"/>
              <w:rPr>
                <w:bCs/>
              </w:rPr>
            </w:pPr>
          </w:p>
        </w:tc>
        <w:tc>
          <w:tcPr>
            <w:tcW w:w="1011" w:type="dxa"/>
            <w:vMerge w:val="continue"/>
            <w:vAlign w:val="center"/>
          </w:tcPr>
          <w:p>
            <w:pPr>
              <w:jc w:val="center"/>
            </w:pPr>
          </w:p>
        </w:tc>
        <w:tc>
          <w:tcPr>
            <w:tcW w:w="7265" w:type="dxa"/>
          </w:tcPr>
          <w:p>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continue"/>
            <w:vAlign w:val="center"/>
          </w:tcPr>
          <w:p>
            <w:pPr>
              <w:jc w:val="center"/>
              <w:rPr>
                <w:bCs/>
              </w:rPr>
            </w:pPr>
          </w:p>
        </w:tc>
        <w:tc>
          <w:tcPr>
            <w:tcW w:w="1011" w:type="dxa"/>
            <w:vMerge w:val="continue"/>
            <w:vAlign w:val="center"/>
          </w:tcPr>
          <w:p>
            <w:pPr>
              <w:jc w:val="center"/>
            </w:pPr>
          </w:p>
        </w:tc>
        <w:tc>
          <w:tcPr>
            <w:tcW w:w="7265" w:type="dxa"/>
          </w:tcPr>
          <w:p>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continue"/>
            <w:vAlign w:val="center"/>
          </w:tcPr>
          <w:p>
            <w:pPr>
              <w:jc w:val="center"/>
              <w:rPr>
                <w:bCs/>
              </w:rPr>
            </w:pPr>
          </w:p>
        </w:tc>
        <w:tc>
          <w:tcPr>
            <w:tcW w:w="1011" w:type="dxa"/>
            <w:vMerge w:val="continue"/>
            <w:vAlign w:val="center"/>
          </w:tcPr>
          <w:p>
            <w:pPr>
              <w:jc w:val="center"/>
            </w:pPr>
          </w:p>
        </w:tc>
        <w:tc>
          <w:tcPr>
            <w:tcW w:w="7265" w:type="dxa"/>
          </w:tcPr>
          <w:p>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continue"/>
            <w:vAlign w:val="center"/>
          </w:tcPr>
          <w:p>
            <w:pPr>
              <w:jc w:val="center"/>
              <w:rPr>
                <w:bCs/>
              </w:rPr>
            </w:pPr>
          </w:p>
        </w:tc>
        <w:tc>
          <w:tcPr>
            <w:tcW w:w="1011" w:type="dxa"/>
            <w:vMerge w:val="continue"/>
            <w:vAlign w:val="center"/>
          </w:tcPr>
          <w:p>
            <w:pPr>
              <w:jc w:val="center"/>
            </w:pPr>
          </w:p>
        </w:tc>
        <w:tc>
          <w:tcPr>
            <w:tcW w:w="7265" w:type="dxa"/>
          </w:tcPr>
          <w:p>
            <w:pPr>
              <w:rPr>
                <w:bCs/>
              </w:rPr>
            </w:pPr>
            <w:r>
              <w:rPr>
                <w:rFonts w:hint="eastAsia"/>
                <w:bCs/>
              </w:rPr>
              <w:t>3.6中标人逾期交货的，将被没收履约保证金并按主管部门相关规定处理。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continue"/>
            <w:vAlign w:val="center"/>
          </w:tcPr>
          <w:p>
            <w:pPr>
              <w:jc w:val="center"/>
              <w:rPr>
                <w:bCs/>
              </w:rPr>
            </w:pPr>
          </w:p>
        </w:tc>
        <w:tc>
          <w:tcPr>
            <w:tcW w:w="1011" w:type="dxa"/>
            <w:vMerge w:val="continue"/>
            <w:vAlign w:val="center"/>
          </w:tcPr>
          <w:p>
            <w:pPr>
              <w:jc w:val="center"/>
            </w:pPr>
          </w:p>
        </w:tc>
        <w:tc>
          <w:tcPr>
            <w:tcW w:w="7265" w:type="dxa"/>
          </w:tcPr>
          <w:p>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Align w:val="center"/>
          </w:tcPr>
          <w:p>
            <w:pPr>
              <w:jc w:val="center"/>
              <w:rPr>
                <w:bCs/>
              </w:rPr>
            </w:pPr>
            <w:r>
              <w:rPr>
                <w:rFonts w:hint="eastAsia"/>
                <w:bCs/>
              </w:rPr>
              <w:t>4</w:t>
            </w:r>
          </w:p>
        </w:tc>
        <w:tc>
          <w:tcPr>
            <w:tcW w:w="1011" w:type="dxa"/>
            <w:vAlign w:val="center"/>
          </w:tcPr>
          <w:p>
            <w:pPr>
              <w:jc w:val="center"/>
            </w:pPr>
            <w:r>
              <w:rPr>
                <w:rFonts w:hint="eastAsia"/>
              </w:rPr>
              <w:t>关于付款</w:t>
            </w:r>
          </w:p>
        </w:tc>
        <w:tc>
          <w:tcPr>
            <w:tcW w:w="7265" w:type="dxa"/>
          </w:tcPr>
          <w:p>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Align w:val="center"/>
          </w:tcPr>
          <w:p>
            <w:pPr>
              <w:jc w:val="center"/>
              <w:rPr>
                <w:bCs/>
              </w:rPr>
            </w:pPr>
            <w:r>
              <w:rPr>
                <w:rFonts w:hint="eastAsia"/>
                <w:bCs/>
              </w:rPr>
              <w:t>5</w:t>
            </w:r>
          </w:p>
        </w:tc>
        <w:tc>
          <w:tcPr>
            <w:tcW w:w="1011" w:type="dxa"/>
            <w:vAlign w:val="center"/>
          </w:tcPr>
          <w:p>
            <w:pPr>
              <w:jc w:val="center"/>
            </w:pPr>
            <w:r>
              <w:rPr>
                <w:rFonts w:hint="eastAsia"/>
              </w:rPr>
              <w:t>报价要求</w:t>
            </w:r>
          </w:p>
        </w:tc>
        <w:tc>
          <w:tcPr>
            <w:tcW w:w="7265" w:type="dxa"/>
          </w:tcPr>
          <w:p>
            <w:pPr>
              <w:ind w:firstLine="420" w:firstLineChars="200"/>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restart"/>
            <w:vAlign w:val="center"/>
          </w:tcPr>
          <w:p>
            <w:pPr>
              <w:jc w:val="center"/>
              <w:rPr>
                <w:b/>
                <w:color w:val="FF0000"/>
              </w:rPr>
            </w:pPr>
            <w:r>
              <w:rPr>
                <w:b/>
                <w:color w:val="FF0000"/>
              </w:rPr>
              <w:t>6</w:t>
            </w:r>
          </w:p>
        </w:tc>
        <w:tc>
          <w:tcPr>
            <w:tcW w:w="1011" w:type="dxa"/>
            <w:vMerge w:val="restart"/>
            <w:vAlign w:val="center"/>
          </w:tcPr>
          <w:p>
            <w:pPr>
              <w:jc w:val="center"/>
              <w:rPr>
                <w:b/>
                <w:color w:val="FF0000"/>
              </w:rPr>
            </w:pPr>
            <w:r>
              <w:rPr>
                <w:rFonts w:hint="eastAsia"/>
                <w:b/>
                <w:color w:val="FF0000"/>
              </w:rPr>
              <w:t>项目（产品）要求</w:t>
            </w:r>
          </w:p>
        </w:tc>
        <w:tc>
          <w:tcPr>
            <w:tcW w:w="7265" w:type="dxa"/>
          </w:tcPr>
          <w:p>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4" w:type="dxa"/>
            <w:vMerge w:val="continue"/>
            <w:vAlign w:val="center"/>
          </w:tcPr>
          <w:p>
            <w:pPr>
              <w:rPr>
                <w:b/>
                <w:color w:val="FF0000"/>
              </w:rPr>
            </w:pPr>
          </w:p>
        </w:tc>
        <w:tc>
          <w:tcPr>
            <w:tcW w:w="1011" w:type="dxa"/>
            <w:vMerge w:val="continue"/>
          </w:tcPr>
          <w:p>
            <w:pPr>
              <w:rPr>
                <w:b/>
                <w:color w:val="FF0000"/>
              </w:rPr>
            </w:pPr>
          </w:p>
        </w:tc>
        <w:tc>
          <w:tcPr>
            <w:tcW w:w="7265" w:type="dxa"/>
          </w:tcPr>
          <w:p>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r>
    </w:tbl>
    <w:p>
      <w:pPr>
        <w:pStyle w:val="2"/>
        <w:spacing w:before="120" w:beforeLines="50" w:after="120" w:afterLines="50"/>
        <w:rPr>
          <w:sz w:val="28"/>
          <w:szCs w:val="28"/>
        </w:rPr>
      </w:pPr>
      <w:r>
        <w:rPr>
          <w:rFonts w:hint="eastAsia"/>
          <w:sz w:val="28"/>
          <w:szCs w:val="28"/>
        </w:rPr>
        <w:t>六、政策导向</w:t>
      </w:r>
    </w:p>
    <w:p>
      <w:pPr>
        <w:spacing w:line="400" w:lineRule="exact"/>
        <w:ind w:firstLine="315" w:firstLineChars="150"/>
        <w:rPr>
          <w:bCs/>
          <w:szCs w:val="21"/>
        </w:rPr>
      </w:pPr>
      <w:r>
        <w:rPr>
          <w:rFonts w:hint="eastAsia"/>
          <w:bCs/>
          <w:szCs w:val="21"/>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ind w:firstLine="405"/>
        <w:rPr>
          <w:rFonts w:ascii="宋体" w:hAnsi="宋体"/>
        </w:rPr>
      </w:pPr>
      <w:r>
        <w:rPr>
          <w:rFonts w:hint="eastAsia"/>
          <w:color w:val="000000"/>
          <w:shd w:val="clear" w:color="auto" w:fill="FFFFFF"/>
        </w:rPr>
        <w:t>2、</w:t>
      </w:r>
      <w:r>
        <w:rPr>
          <w:rFonts w:hint="eastAsia" w:ascii="宋体" w:hAnsi="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ind w:firstLine="405"/>
        <w:rPr>
          <w:rFonts w:ascii="宋体" w:hAnsi="宋体"/>
        </w:rPr>
      </w:pPr>
      <w:r>
        <w:rPr>
          <w:rFonts w:hint="eastAsia" w:ascii="宋体" w:hAnsi="宋体"/>
        </w:rPr>
        <w:t>3、“信用中国”、“中国政府采购网”、“深圳信用网”以及“深圳市政府采购监管网”为供应商信用信息的查询渠道，相关信息以开标当日的查询结果为准。</w:t>
      </w:r>
    </w:p>
    <w:p>
      <w:pPr>
        <w:ind w:firstLine="405"/>
        <w:rPr>
          <w:rFonts w:ascii="宋体" w:hAnsi="宋体"/>
        </w:rPr>
      </w:pPr>
    </w:p>
    <w:p>
      <w:pPr>
        <w:pStyle w:val="2"/>
        <w:spacing w:before="120" w:beforeLines="50" w:after="120" w:afterLines="50"/>
        <w:rPr>
          <w:sz w:val="28"/>
          <w:szCs w:val="28"/>
        </w:rPr>
      </w:pPr>
      <w:r>
        <w:rPr>
          <w:rFonts w:hint="eastAsia"/>
          <w:sz w:val="28"/>
          <w:szCs w:val="28"/>
        </w:rPr>
        <w:t>七、暗标要求</w:t>
      </w:r>
    </w:p>
    <w:p>
      <w:pPr>
        <w:ind w:firstLine="420" w:firstLineChars="20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pPr>
        <w:rPr>
          <w:b/>
        </w:rPr>
      </w:pPr>
    </w:p>
    <w:p>
      <w:pPr>
        <w:pStyle w:val="3"/>
        <w:spacing w:before="60" w:beforeLines="25" w:after="60" w:afterLines="25"/>
        <w:ind w:firstLine="394" w:firstLineChars="187"/>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0755-83938599，83948100，83938584，也可上深圳公共资源交易中心（深圳交易集团有限公司政府采购业务分公司）网站首页</w:t>
      </w:r>
      <w:r>
        <w:rPr>
          <w:b/>
        </w:rPr>
        <w:t>QQ</w:t>
      </w:r>
      <w:r>
        <w:rPr>
          <w:rFonts w:hint="eastAsia"/>
          <w:b/>
        </w:rPr>
        <w:t>联系。</w:t>
      </w:r>
    </w:p>
    <w:p>
      <w:pPr>
        <w:ind w:firstLine="405"/>
        <w:rPr>
          <w:rFonts w:ascii="宋体" w:hAnsi="宋体"/>
        </w:rPr>
      </w:pPr>
    </w:p>
    <w:p>
      <w:pPr>
        <w:pStyle w:val="2"/>
        <w:rPr>
          <w:kern w:val="2"/>
        </w:rPr>
      </w:pPr>
      <w:r>
        <w:rPr>
          <w:rFonts w:hint="eastAsia"/>
          <w:kern w:val="2"/>
        </w:rPr>
        <w:t>第三章 投标文件格式、附件</w:t>
      </w:r>
    </w:p>
    <w:p>
      <w:pPr>
        <w:rPr>
          <w:rStyle w:val="58"/>
          <w:sz w:val="24"/>
        </w:rPr>
      </w:pPr>
      <w:r>
        <w:rPr>
          <w:rStyle w:val="58"/>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7"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pPr>
        <w:rPr>
          <w:rFonts w:ascii="仿宋_GB2312" w:eastAsia="仿宋_GB2312"/>
          <w:sz w:val="24"/>
        </w:rPr>
      </w:pPr>
    </w:p>
    <w:p>
      <w:pPr>
        <w:jc w:val="center"/>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我司公布投标文件正文（信息公开部分）时为计算机截取信息自动公布，如投标人误将涉及个人隐私的信息放入投标文件正文，相关后果由投标人自负；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2" w:firstLineChars="200"/>
        <w:rPr>
          <w:rFonts w:ascii="宋体" w:hAnsi="宋体"/>
          <w:b/>
          <w:sz w:val="24"/>
        </w:rPr>
      </w:pPr>
    </w:p>
    <w:p>
      <w:pPr>
        <w:rPr>
          <w:rFonts w:ascii="仿宋_GB2312" w:eastAsia="仿宋_GB2312"/>
          <w:sz w:val="24"/>
        </w:rPr>
      </w:pPr>
    </w:p>
    <w:p>
      <w:pPr>
        <w:rPr>
          <w:rFonts w:ascii="黑体" w:eastAsia="黑体"/>
          <w:bCs/>
          <w:sz w:val="28"/>
          <w:szCs w:val="28"/>
        </w:rPr>
      </w:pPr>
      <w:r>
        <w:rPr>
          <w:rStyle w:val="58"/>
          <w:rFonts w:hint="eastAsia"/>
          <w:sz w:val="28"/>
          <w:szCs w:val="28"/>
        </w:rPr>
        <w:t>投标文件组成：</w:t>
      </w:r>
    </w:p>
    <w:p>
      <w:pPr>
        <w:ind w:firstLine="1200" w:firstLineChars="500"/>
        <w:outlineLvl w:val="0"/>
        <w:rPr>
          <w:rFonts w:ascii="宋体" w:hAnsi="宋体"/>
          <w:sz w:val="24"/>
        </w:rPr>
      </w:pPr>
      <w:bookmarkStart w:id="30" w:name="_Hlk72257253"/>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ind w:left="718" w:leftChars="342" w:firstLine="1417" w:firstLineChars="675"/>
        <w:rPr>
          <w:szCs w:val="21"/>
        </w:rPr>
      </w:pPr>
      <w:r>
        <w:rPr>
          <w:rFonts w:hint="eastAsia"/>
          <w:szCs w:val="21"/>
        </w:rPr>
        <w:t>（1）</w:t>
      </w:r>
      <w:bookmarkStart w:id="31" w:name="_Hlk72070784"/>
      <w:r>
        <w:rPr>
          <w:rFonts w:hint="eastAsia"/>
          <w:szCs w:val="21"/>
        </w:rPr>
        <w:t>投标函</w:t>
      </w:r>
      <w:bookmarkEnd w:id="31"/>
    </w:p>
    <w:p>
      <w:pPr>
        <w:ind w:left="718" w:leftChars="342" w:firstLine="1417" w:firstLineChars="675"/>
        <w:rPr>
          <w:szCs w:val="21"/>
        </w:rPr>
      </w:pPr>
      <w:r>
        <w:rPr>
          <w:rFonts w:hint="eastAsia"/>
          <w:szCs w:val="21"/>
        </w:rPr>
        <w:t>（2）</w:t>
      </w:r>
      <w:bookmarkStart w:id="32" w:name="_Hlk72062521"/>
      <w:r>
        <w:rPr>
          <w:rFonts w:hint="eastAsia"/>
          <w:szCs w:val="21"/>
        </w:rPr>
        <w:t>政府采购投标及履约承诺函</w:t>
      </w:r>
      <w:bookmarkEnd w:id="32"/>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szCs w:val="21"/>
        </w:rPr>
      </w:pPr>
      <w:bookmarkStart w:id="33" w:name="_Hlk72257201"/>
      <w:r>
        <w:rPr>
          <w:rFonts w:hint="eastAsia"/>
          <w:szCs w:val="21"/>
        </w:rPr>
        <w:t>（</w:t>
      </w:r>
      <w:r>
        <w:rPr>
          <w:szCs w:val="21"/>
        </w:rPr>
        <w:t>4</w:t>
      </w:r>
      <w:r>
        <w:rPr>
          <w:rFonts w:hint="eastAsia"/>
          <w:szCs w:val="21"/>
        </w:rPr>
        <w:t>）项目详细报价</w:t>
      </w:r>
      <w:bookmarkEnd w:id="33"/>
    </w:p>
    <w:p>
      <w:pPr>
        <w:ind w:left="718" w:leftChars="342" w:firstLine="1417" w:firstLineChars="675"/>
        <w:rPr>
          <w:szCs w:val="21"/>
        </w:rPr>
      </w:pPr>
    </w:p>
    <w:p>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pPr>
        <w:ind w:firstLine="2100" w:firstLineChars="1000"/>
        <w:rPr>
          <w:szCs w:val="21"/>
        </w:rPr>
      </w:pPr>
      <w:r>
        <w:rPr>
          <w:rFonts w:hint="eastAsia"/>
          <w:szCs w:val="21"/>
        </w:rPr>
        <w:t>（1）法定代表人（负责人）证明书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（3）实质性条款响应情况表</w:t>
      </w:r>
    </w:p>
    <w:p>
      <w:pPr>
        <w:ind w:left="718" w:leftChars="342" w:firstLine="1417" w:firstLineChars="675"/>
        <w:rPr>
          <w:szCs w:val="21"/>
        </w:rPr>
      </w:pPr>
      <w:r>
        <w:rPr>
          <w:rFonts w:hint="eastAsia"/>
          <w:szCs w:val="21"/>
        </w:rPr>
        <w:t>（</w:t>
      </w:r>
      <w:r>
        <w:rPr>
          <w:szCs w:val="21"/>
        </w:rPr>
        <w:t>4</w:t>
      </w:r>
      <w:r>
        <w:rPr>
          <w:rFonts w:hint="eastAsia"/>
          <w:szCs w:val="21"/>
        </w:rPr>
        <w:t>）技术要求偏离表</w:t>
      </w:r>
    </w:p>
    <w:p>
      <w:pPr>
        <w:ind w:left="718" w:leftChars="342" w:firstLine="1417" w:firstLineChars="675"/>
        <w:rPr>
          <w:szCs w:val="21"/>
        </w:rPr>
      </w:pPr>
      <w:r>
        <w:rPr>
          <w:rFonts w:hint="eastAsia"/>
          <w:szCs w:val="21"/>
        </w:rPr>
        <w:t>（</w:t>
      </w:r>
      <w:r>
        <w:rPr>
          <w:szCs w:val="21"/>
        </w:rPr>
        <w:t>5</w:t>
      </w:r>
      <w:r>
        <w:rPr>
          <w:rFonts w:hint="eastAsia"/>
          <w:szCs w:val="21"/>
        </w:rPr>
        <w:t>）商务要求偏离表</w:t>
      </w:r>
    </w:p>
    <w:p>
      <w:pPr>
        <w:ind w:left="718" w:leftChars="342" w:firstLine="1417" w:firstLineChars="675"/>
        <w:rPr>
          <w:szCs w:val="21"/>
        </w:rPr>
      </w:pPr>
      <w:r>
        <w:rPr>
          <w:rFonts w:hint="eastAsia"/>
          <w:szCs w:val="21"/>
        </w:rPr>
        <w:t>（</w:t>
      </w:r>
      <w:r>
        <w:rPr>
          <w:szCs w:val="21"/>
        </w:rPr>
        <w:t>6</w:t>
      </w:r>
      <w:r>
        <w:rPr>
          <w:rFonts w:hint="eastAsia"/>
          <w:szCs w:val="21"/>
        </w:rPr>
        <w:t>）项目实施方案</w:t>
      </w:r>
    </w:p>
    <w:p>
      <w:pPr>
        <w:ind w:left="718" w:leftChars="342" w:firstLine="1417" w:firstLineChars="675"/>
        <w:rPr>
          <w:szCs w:val="21"/>
        </w:rPr>
      </w:pPr>
      <w:r>
        <w:rPr>
          <w:rFonts w:hint="eastAsia"/>
          <w:szCs w:val="21"/>
        </w:rPr>
        <w:t>（7）投标人认为需要加以说明的其他内容</w:t>
      </w:r>
    </w:p>
    <w:bookmarkEnd w:id="30"/>
    <w:p>
      <w:pPr>
        <w:ind w:firstLine="426" w:firstLineChars="202"/>
        <w:rPr>
          <w:rFonts w:ascii="宋体" w:hAnsi="宋体"/>
          <w:b/>
          <w:szCs w:val="21"/>
        </w:rPr>
      </w:pPr>
      <w:bookmarkStart w:id="34" w:name="_Hlk72257771"/>
      <w:r>
        <w:rPr>
          <w:rFonts w:hint="eastAsia" w:ascii="宋体" w:hAnsi="宋体"/>
          <w:b/>
          <w:szCs w:val="21"/>
        </w:rPr>
        <w:t>备注：</w:t>
      </w:r>
    </w:p>
    <w:p>
      <w:pPr>
        <w:ind w:firstLine="426" w:firstLineChars="202"/>
        <w:rPr>
          <w:rFonts w:ascii="宋体" w:hAnsi="宋体"/>
          <w:b/>
          <w:color w:val="FF0000"/>
          <w:szCs w:val="21"/>
        </w:rPr>
      </w:pPr>
      <w:r>
        <w:rPr>
          <w:rFonts w:hint="eastAsia" w:ascii="宋体" w:hAnsi="宋体"/>
          <w:b/>
          <w:color w:val="FF0000"/>
          <w:szCs w:val="21"/>
        </w:rPr>
        <w:t>1.本项目为网上电子投标项目，投标文件不需法人或授权委托人另行签字，无需加盖单位公章，招标文件专用条款另有规定的除外。</w:t>
      </w:r>
    </w:p>
    <w:p>
      <w:pPr>
        <w:ind w:firstLine="422" w:firstLineChars="200"/>
        <w:rPr>
          <w:rFonts w:ascii="宋体" w:hAnsi="宋体"/>
          <w:color w:val="FF0000"/>
          <w:sz w:val="24"/>
        </w:rPr>
      </w:pPr>
      <w:bookmarkStart w:id="35" w:name="_Hlk72263559"/>
      <w:r>
        <w:rPr>
          <w:rFonts w:hint="eastAsia" w:ascii="宋体" w:hAnsi="宋体"/>
          <w:b/>
          <w:szCs w:val="21"/>
        </w:rPr>
        <w:t>2.关于填写“开标一览表”的说明：“开标一览表”中除“投标总价”外，其他信息不作评审依据。</w:t>
      </w:r>
      <w:bookmarkEnd w:id="34"/>
      <w:bookmarkEnd w:id="35"/>
    </w:p>
    <w:p>
      <w:pPr>
        <w:rPr>
          <w:rFonts w:ascii="宋体" w:hAnsi="宋体"/>
          <w:color w:val="FF0000"/>
          <w:sz w:val="24"/>
        </w:rPr>
      </w:pP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一、投标函</w:t>
      </w:r>
    </w:p>
    <w:p>
      <w:pPr>
        <w:spacing w:line="360" w:lineRule="auto"/>
        <w:rPr>
          <w:rFonts w:ascii="宋体" w:hAnsi="宋体"/>
          <w:szCs w:val="21"/>
        </w:rPr>
      </w:pPr>
      <w:bookmarkStart w:id="36" w:name="_Hlk72257506"/>
      <w:r>
        <w:rPr>
          <w:rFonts w:hint="eastAsia" w:ascii="宋体" w:hAnsi="宋体"/>
          <w:szCs w:val="21"/>
        </w:rPr>
        <w:t>致：</w:t>
      </w:r>
      <w:r>
        <w:rPr>
          <w:rFonts w:hint="eastAsia" w:ascii="宋体" w:hAnsi="宋体"/>
          <w:color w:val="FF0000"/>
          <w:szCs w:val="21"/>
          <w:u w:val="single"/>
        </w:rPr>
        <w:t>深圳公共资源交易中心</w:t>
      </w:r>
    </w:p>
    <w:p>
      <w:pPr>
        <w:ind w:firstLine="420" w:firstLineChars="200"/>
        <w:rPr>
          <w:rFonts w:ascii="宋体" w:hAnsi="宋体"/>
          <w:szCs w:val="21"/>
        </w:rPr>
      </w:pPr>
      <w:bookmarkStart w:id="37" w:name="_Hlk73818812"/>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pPr>
        <w:ind w:firstLine="420" w:firstLineChars="200"/>
        <w:rPr>
          <w:rFonts w:ascii="宋体" w:hAnsi="宋体"/>
          <w:szCs w:val="21"/>
        </w:rPr>
      </w:pPr>
      <w:r>
        <w:rPr>
          <w:rFonts w:ascii="宋体" w:hAnsi="宋体"/>
          <w:szCs w:val="21"/>
        </w:rPr>
        <w:t>2</w:t>
      </w:r>
      <w:r>
        <w:rPr>
          <w:rFonts w:hint="eastAsia" w:ascii="宋体" w:hAnsi="宋体"/>
          <w:szCs w:val="21"/>
        </w:rPr>
        <w:t>、</w:t>
      </w:r>
      <w:bookmarkStart w:id="39" w:name="_Hlk73819847"/>
      <w:r>
        <w:rPr>
          <w:rFonts w:hint="eastAsia" w:ascii="宋体" w:hAnsi="宋体"/>
          <w:szCs w:val="21"/>
        </w:rPr>
        <w:t>投标价格见</w:t>
      </w:r>
      <w:r>
        <w:rPr>
          <w:rFonts w:hint="eastAsia"/>
          <w:szCs w:val="21"/>
        </w:rPr>
        <w:t>投标书编制软件中《开标一览表》中填写的投标总价。</w:t>
      </w:r>
      <w:bookmarkEnd w:id="39"/>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firstLine="420" w:firstLineChars="200"/>
        <w:rPr>
          <w:rFonts w:ascii="宋体" w:hAnsi="宋体"/>
          <w:szCs w:val="21"/>
        </w:rPr>
      </w:pPr>
      <w:r>
        <w:rPr>
          <w:rFonts w:hint="eastAsia" w:ascii="宋体" w:hAnsi="宋体"/>
          <w:szCs w:val="21"/>
        </w:rPr>
        <w:t>6、我单位理解贵单位将不受必须接受所收到的最低报价或其它任何投标文件的约束。</w:t>
      </w:r>
      <w:bookmarkEnd w:id="37"/>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      年   月   日</w:t>
      </w:r>
    </w:p>
    <w:p>
      <w:pPr>
        <w:rPr>
          <w:rFonts w:ascii="黑体" w:hAnsi="宋体" w:eastAsia="黑体"/>
        </w:rPr>
      </w:pPr>
    </w:p>
    <w:bookmarkEnd w:id="36"/>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二、政府采购投标及履约承诺函</w:t>
      </w:r>
    </w:p>
    <w:p>
      <w:pPr>
        <w:rPr>
          <w:rFonts w:ascii="宋体" w:hAnsi="宋体"/>
          <w:color w:val="FF0000"/>
          <w:szCs w:val="21"/>
        </w:rPr>
      </w:pPr>
      <w:bookmarkStart w:id="40"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1.我单位本招标项目所提供的货物或服务未侵犯知识产权。</w:t>
      </w:r>
    </w:p>
    <w:p>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6.</w:t>
      </w:r>
      <w:bookmarkStart w:id="41" w:name="_Hlk72587269"/>
      <w:bookmarkStart w:id="4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1"/>
      <w:r>
        <w:rPr>
          <w:rFonts w:hint="eastAsia" w:ascii="宋体" w:hAnsi="宋体"/>
          <w:szCs w:val="21"/>
        </w:rPr>
        <w:t>。</w:t>
      </w:r>
    </w:p>
    <w:bookmarkEnd w:id="42"/>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2" w:firstLineChars="200"/>
        <w:rPr>
          <w:rFonts w:ascii="宋体" w:hAnsi="宋体"/>
          <w:b/>
          <w:bCs/>
          <w:color w:val="FF0000"/>
        </w:rPr>
      </w:pPr>
      <w:r>
        <w:rPr>
          <w:rFonts w:ascii="宋体" w:hAnsi="宋体"/>
          <w:b/>
          <w:bCs/>
          <w:color w:val="FF0000"/>
        </w:rPr>
        <w:t>11.</w:t>
      </w:r>
      <w:r>
        <w:rPr>
          <w:rFonts w:hint="eastAsia" w:ascii="宋体" w:hAnsi="宋体"/>
          <w:b/>
          <w:bCs/>
          <w:color w:val="FF0000"/>
        </w:rPr>
        <w:t>我单位保证，若所投货物涉及</w:t>
      </w:r>
      <w:r>
        <w:rPr>
          <w:rFonts w:ascii="宋体" w:hAnsi="宋体"/>
          <w:b/>
          <w:bCs/>
          <w:color w:val="FF0000"/>
        </w:rPr>
        <w:t>《</w:t>
      </w:r>
      <w:r>
        <w:rPr>
          <w:rFonts w:hint="eastAsia" w:ascii="宋体" w:hAnsi="宋体"/>
          <w:b/>
          <w:bCs/>
          <w:color w:val="FF0000"/>
        </w:rPr>
        <w:t>财政部生态环境部关于印发节能产品政府采购品目清单的通知》（财库〔20</w:t>
      </w:r>
      <w:r>
        <w:rPr>
          <w:rFonts w:ascii="宋体" w:hAnsi="宋体"/>
          <w:b/>
          <w:bCs/>
          <w:color w:val="FF0000"/>
        </w:rPr>
        <w:t>19</w:t>
      </w:r>
      <w:r>
        <w:rPr>
          <w:rFonts w:hint="eastAsia" w:ascii="宋体" w:hAnsi="宋体"/>
          <w:b/>
          <w:bCs/>
          <w:color w:val="FF0000"/>
        </w:rPr>
        <w:t>〕</w:t>
      </w:r>
      <w:r>
        <w:rPr>
          <w:rFonts w:ascii="宋体" w:hAnsi="宋体"/>
          <w:b/>
          <w:bCs/>
          <w:color w:val="FF0000"/>
        </w:rPr>
        <w:t>19</w:t>
      </w:r>
      <w:r>
        <w:rPr>
          <w:rFonts w:hint="eastAsia" w:ascii="宋体" w:hAnsi="宋体"/>
          <w:b/>
          <w:bCs/>
          <w:color w:val="FF0000"/>
        </w:rPr>
        <w:t>号）列明的政府采购强制产品，则所投该产品符合节能产品的认证要求。</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p>
    <w:p>
      <w:pPr>
        <w:spacing w:before="60" w:beforeLines="25" w:after="60" w:afterLines="25"/>
        <w:ind w:firstLine="5460" w:firstLineChars="2600"/>
        <w:rPr>
          <w:color w:val="FF0000"/>
        </w:rPr>
      </w:pPr>
      <w:r>
        <w:rPr>
          <w:rFonts w:hint="eastAsia"/>
          <w:color w:val="FF0000"/>
          <w:szCs w:val="21"/>
        </w:rPr>
        <w:t>投标人：</w:t>
      </w:r>
    </w:p>
    <w:p>
      <w:pPr>
        <w:ind w:firstLine="645"/>
        <w:rPr>
          <w:rFonts w:ascii="宋体" w:hAnsi="宋体"/>
          <w:color w:val="FF0000"/>
          <w:szCs w:val="21"/>
        </w:rPr>
      </w:pPr>
      <w:r>
        <w:rPr>
          <w:rFonts w:hint="eastAsia" w:ascii="宋体" w:hAnsi="宋体"/>
          <w:color w:val="FF0000"/>
          <w:szCs w:val="21"/>
        </w:rPr>
        <w:t xml:space="preserve">                                              日期：     年   月   日</w:t>
      </w:r>
    </w:p>
    <w:bookmarkEnd w:id="40"/>
    <w:p>
      <w:pPr>
        <w:ind w:firstLine="645"/>
        <w:rPr>
          <w:rFonts w:ascii="宋体" w:hAnsi="宋体"/>
          <w:szCs w:val="21"/>
        </w:rPr>
      </w:pPr>
    </w:p>
    <w:p>
      <w:pPr>
        <w:rPr>
          <w:rFonts w:ascii="宋体"/>
          <w:b/>
          <w:szCs w:val="21"/>
        </w:rPr>
      </w:pPr>
    </w:p>
    <w:p>
      <w:pPr>
        <w:ind w:firstLine="482" w:firstLineChars="200"/>
        <w:jc w:val="center"/>
        <w:rPr>
          <w:rFonts w:hAnsi="宋体"/>
          <w:b/>
          <w:bCs/>
          <w:sz w:val="24"/>
        </w:rPr>
      </w:pPr>
    </w:p>
    <w:p>
      <w:pPr>
        <w:keepNext/>
        <w:keepLines/>
        <w:spacing w:before="260" w:after="260"/>
        <w:jc w:val="center"/>
        <w:outlineLvl w:val="2"/>
        <w:rPr>
          <w:rFonts w:ascii="黑体" w:hAnsi="宋体" w:eastAsia="黑体"/>
          <w:bCs/>
          <w:sz w:val="24"/>
        </w:rPr>
      </w:pPr>
      <w:r>
        <w:rPr>
          <w:rFonts w:hint="eastAsia" w:ascii="黑体" w:hAnsi="宋体" w:eastAsia="黑体"/>
          <w:bCs/>
          <w:sz w:val="24"/>
        </w:rPr>
        <w:t>三、投标人情况及资格证明文件</w:t>
      </w:r>
    </w:p>
    <w:p>
      <w:pPr>
        <w:rPr>
          <w:b/>
          <w:bCs/>
          <w:sz w:val="24"/>
        </w:rPr>
      </w:pPr>
    </w:p>
    <w:p>
      <w:pPr>
        <w:ind w:firstLine="2640" w:firstLineChars="1100"/>
        <w:outlineLvl w:val="3"/>
        <w:rPr>
          <w:rFonts w:ascii="黑体" w:hAnsi="宋体" w:eastAsia="黑体"/>
          <w:bCs/>
          <w:kern w:val="0"/>
          <w:sz w:val="24"/>
          <w:szCs w:val="32"/>
        </w:rPr>
      </w:pPr>
      <w:bookmarkStart w:id="43" w:name="_Hlk72257590"/>
      <w:bookmarkStart w:id="44" w:name="_Hlk72257908"/>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bookmarkEnd w:id="43"/>
    <w:p>
      <w:pPr>
        <w:spacing w:before="120" w:beforeLines="50"/>
        <w:ind w:firstLine="422" w:firstLineChars="200"/>
        <w:rPr>
          <w:b/>
          <w:bCs/>
          <w:color w:val="FF0000"/>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（二）中小企业声明函、残疾人福利性单位声明函及监狱企业声明函（可选）</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w:t>
      </w:r>
      <w:bookmarkStart w:id="45"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5"/>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pPr>
        <w:ind w:firstLine="420" w:firstLineChars="200"/>
      </w:pPr>
    </w:p>
    <w:p>
      <w:pPr>
        <w:jc w:val="center"/>
        <w:outlineLvl w:val="3"/>
        <w:rPr>
          <w:b/>
          <w:sz w:val="24"/>
        </w:rPr>
      </w:pPr>
      <w:r>
        <w:rPr>
          <w:rFonts w:hint="eastAsia"/>
          <w:b/>
          <w:sz w:val="24"/>
        </w:rPr>
        <w:t>1、</w:t>
      </w:r>
      <w:r>
        <w:rPr>
          <w:b/>
          <w:sz w:val="24"/>
        </w:rPr>
        <w:t xml:space="preserve">中小企业声明函（货物） </w:t>
      </w:r>
    </w:p>
    <w:p>
      <w:pPr>
        <w:ind w:firstLine="420" w:firstLineChars="200"/>
        <w:outlineLvl w:val="3"/>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cstheme="minorBidi"/>
          <w:szCs w:val="21"/>
        </w:rPr>
        <w:t>郑重声明，根据《政府采购促进中小企业发展管理办法》（财库</w:t>
      </w:r>
      <w:r>
        <w:rPr>
          <w:rFonts w:hint="eastAsia" w:ascii="宋体" w:hAnsi="宋体" w:cs="微软雅黑"/>
          <w:szCs w:val="21"/>
        </w:rPr>
        <w:t>﹝</w:t>
      </w:r>
      <w:r>
        <w:rPr>
          <w:rFonts w:ascii="宋体" w:hAnsi="宋体" w:cstheme="minorBidi"/>
          <w:szCs w:val="21"/>
        </w:rPr>
        <w:t>2020</w:t>
      </w:r>
      <w:r>
        <w:rPr>
          <w:rFonts w:hint="eastAsia" w:ascii="宋体" w:hAnsi="宋体" w:cs="微软雅黑"/>
          <w:szCs w:val="21"/>
        </w:rPr>
        <w:t>﹞</w:t>
      </w:r>
      <w:r>
        <w:rPr>
          <w:rFonts w:ascii="宋体" w:hAnsi="宋体" w:cstheme="minorBidi"/>
          <w:szCs w:val="21"/>
        </w:rPr>
        <w:t>46 号）的规定，本</w:t>
      </w:r>
      <w:r>
        <w:rPr>
          <w:rFonts w:hint="eastAsia" w:ascii="宋体" w:hAnsi="宋体" w:cstheme="minorBidi"/>
          <w:szCs w:val="21"/>
        </w:rPr>
        <w:t>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pPr>
      <w:bookmarkStart w:id="46"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6"/>
    </w:p>
    <w:p>
      <w:pPr>
        <w:jc w:val="center"/>
        <w:outlineLvl w:val="3"/>
        <w:rPr>
          <w:b/>
          <w:sz w:val="24"/>
        </w:rPr>
      </w:pPr>
    </w:p>
    <w:p>
      <w:pPr>
        <w:jc w:val="center"/>
        <w:outlineLvl w:val="3"/>
        <w:rPr>
          <w:b/>
          <w:sz w:val="24"/>
        </w:rPr>
      </w:pPr>
      <w:r>
        <w:rPr>
          <w:rFonts w:hint="eastAsia"/>
          <w:b/>
          <w:sz w:val="24"/>
        </w:rPr>
        <w:t>2、残疾人福利性单位声明函（货物类）</w:t>
      </w:r>
    </w:p>
    <w:p>
      <w:pPr>
        <w:rPr>
          <w:b/>
          <w:bCs/>
        </w:rPr>
      </w:pP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hint="eastAsia" w:ascii="宋体" w:hAnsi="宋体"/>
          <w:szCs w:val="21"/>
        </w:rPr>
        <w:t>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bookmarkStart w:id="47" w:name="_Hlk73562331"/>
      <w:bookmarkStart w:id="48"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bookmarkEnd w:id="47"/>
    </w:p>
    <w:bookmarkEnd w:id="48"/>
    <w:p>
      <w:pPr>
        <w:ind w:firstLine="420" w:firstLineChars="200"/>
        <w:rPr>
          <w:rFonts w:ascii="宋体" w:hAnsi="宋体"/>
          <w:szCs w:val="21"/>
        </w:rPr>
      </w:pPr>
    </w:p>
    <w:p>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bookmarkEnd w:id="44"/>
    <w:p>
      <w:pPr>
        <w:rPr>
          <w:b/>
          <w:bCs/>
          <w:color w:val="FF0000"/>
          <w:sz w:val="24"/>
        </w:rPr>
      </w:pPr>
    </w:p>
    <w:p>
      <w:pPr>
        <w:ind w:firstLine="482" w:firstLineChars="200"/>
        <w:jc w:val="center"/>
        <w:outlineLvl w:val="3"/>
        <w:rPr>
          <w:b/>
          <w:sz w:val="24"/>
        </w:rPr>
      </w:pPr>
      <w:r>
        <w:rPr>
          <w:rFonts w:hint="eastAsia"/>
          <w:b/>
          <w:sz w:val="24"/>
        </w:rPr>
        <w:t>4</w:t>
      </w:r>
      <w:r>
        <w:rPr>
          <w:b/>
          <w:sz w:val="24"/>
        </w:rPr>
        <w:t>、</w:t>
      </w:r>
      <w:r>
        <w:rPr>
          <w:rFonts w:hint="eastAsia"/>
          <w:b/>
          <w:sz w:val="24"/>
        </w:rPr>
        <w:t>含有小型、微型企业的联合体声明函</w:t>
      </w:r>
    </w:p>
    <w:p>
      <w:pPr>
        <w:numPr>
          <w:ilvl w:val="0"/>
          <w:numId w:val="9"/>
        </w:numPr>
        <w:spacing w:after="120"/>
        <w:ind w:left="420" w:firstLine="420" w:firstLineChars="20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pPr>
        <w:numPr>
          <w:ilvl w:val="0"/>
          <w:numId w:val="9"/>
        </w:numPr>
        <w:spacing w:after="120"/>
        <w:ind w:left="420" w:firstLine="420" w:firstLineChars="20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pPr>
        <w:numPr>
          <w:ilvl w:val="0"/>
          <w:numId w:val="9"/>
        </w:numPr>
        <w:spacing w:after="120"/>
        <w:ind w:left="420" w:firstLine="420" w:firstLineChars="200"/>
      </w:pPr>
      <w:r>
        <w:rPr>
          <w:rFonts w:hint="eastAsia"/>
        </w:rPr>
        <w:t>本联合体对上述声明的真实性负责。如有虚假，将依法承担相应责任。</w:t>
      </w:r>
      <w:r>
        <w:t xml:space="preserve"> </w:t>
      </w:r>
    </w:p>
    <w:p>
      <w:pPr>
        <w:spacing w:after="120"/>
      </w:pPr>
    </w:p>
    <w:p>
      <w:pPr>
        <w:spacing w:after="120"/>
      </w:pPr>
      <w:r>
        <w:rPr>
          <w:rFonts w:hint="eastAsia"/>
        </w:rPr>
        <w:t>企业名称：</w:t>
      </w:r>
      <w:r>
        <w:t xml:space="preserve">                      </w:t>
      </w:r>
      <w:r>
        <w:rPr>
          <w:rFonts w:hint="eastAsia"/>
        </w:rPr>
        <w:t>企业名称：</w:t>
      </w:r>
      <w:r>
        <w:t xml:space="preserve"> </w:t>
      </w:r>
    </w:p>
    <w:p>
      <w:r>
        <w:rPr>
          <w:rFonts w:hint="eastAsia"/>
        </w:rPr>
        <w:t>日</w:t>
      </w:r>
      <w:r>
        <w:t xml:space="preserve"> </w:t>
      </w:r>
      <w:r>
        <w:rPr>
          <w:rFonts w:hint="eastAsia"/>
        </w:rPr>
        <w:t>期：</w:t>
      </w:r>
      <w:r>
        <w:t xml:space="preserve">                          </w:t>
      </w:r>
      <w:r>
        <w:rPr>
          <w:rFonts w:hint="eastAsia"/>
        </w:rPr>
        <w:t>日期：</w:t>
      </w:r>
      <w:r>
        <w:t xml:space="preserve">  </w:t>
      </w:r>
    </w:p>
    <w:p>
      <w:pPr>
        <w:rPr>
          <w:b/>
          <w:bCs/>
          <w:color w:val="FF0000"/>
          <w:sz w:val="24"/>
        </w:rPr>
      </w:pPr>
    </w:p>
    <w:p>
      <w:pPr>
        <w:keepNext/>
        <w:keepLines/>
        <w:spacing w:before="260" w:after="260"/>
        <w:jc w:val="center"/>
        <w:outlineLvl w:val="2"/>
        <w:rPr>
          <w:rFonts w:ascii="黑体" w:hAnsi="宋体" w:eastAsia="黑体"/>
          <w:bCs/>
          <w:sz w:val="24"/>
        </w:rPr>
      </w:pPr>
      <w:bookmarkStart w:id="49" w:name="_Hlk72259976"/>
      <w:r>
        <w:rPr>
          <w:rFonts w:hint="eastAsia" w:ascii="黑体" w:hAnsi="宋体" w:eastAsia="黑体"/>
          <w:bCs/>
          <w:sz w:val="24"/>
        </w:rPr>
        <w:t>四、项目详细报价</w:t>
      </w:r>
    </w:p>
    <w:p>
      <w:pPr>
        <w:tabs>
          <w:tab w:val="left" w:pos="720"/>
        </w:tabs>
        <w:ind w:firstLine="3132" w:firstLineChars="1300"/>
        <w:rPr>
          <w:b/>
          <w:sz w:val="24"/>
        </w:rPr>
      </w:pPr>
      <w:r>
        <w:rPr>
          <w:rFonts w:hint="eastAsia"/>
          <w:b/>
          <w:sz w:val="24"/>
        </w:rPr>
        <w:t>（一）分项报价表</w:t>
      </w:r>
    </w:p>
    <w:tbl>
      <w:tblPr>
        <w:tblStyle w:val="43"/>
        <w:tblpPr w:leftFromText="180" w:rightFromText="180" w:vertAnchor="text" w:horzAnchor="margin" w:tblpY="173"/>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585"/>
        <w:gridCol w:w="1337"/>
        <w:gridCol w:w="780"/>
        <w:gridCol w:w="680"/>
        <w:gridCol w:w="807"/>
        <w:gridCol w:w="513"/>
        <w:gridCol w:w="413"/>
        <w:gridCol w:w="634"/>
        <w:gridCol w:w="62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pPr>
              <w:jc w:val="center"/>
              <w:rPr>
                <w:bCs/>
                <w:szCs w:val="21"/>
              </w:rPr>
            </w:pPr>
            <w:r>
              <w:rPr>
                <w:rFonts w:hint="eastAsia"/>
                <w:bCs/>
                <w:szCs w:val="21"/>
              </w:rPr>
              <w:t>序号</w:t>
            </w:r>
          </w:p>
        </w:tc>
        <w:tc>
          <w:tcPr>
            <w:tcW w:w="1585" w:type="dxa"/>
            <w:vAlign w:val="center"/>
          </w:tcPr>
          <w:p>
            <w:pPr>
              <w:jc w:val="center"/>
              <w:rPr>
                <w:bCs/>
                <w:szCs w:val="21"/>
              </w:rPr>
            </w:pPr>
            <w:r>
              <w:rPr>
                <w:rFonts w:hint="eastAsia"/>
                <w:szCs w:val="21"/>
              </w:rPr>
              <w:t>采购计划编号</w:t>
            </w:r>
          </w:p>
        </w:tc>
        <w:tc>
          <w:tcPr>
            <w:tcW w:w="1337" w:type="dxa"/>
            <w:vAlign w:val="center"/>
          </w:tcPr>
          <w:p>
            <w:pPr>
              <w:jc w:val="center"/>
              <w:rPr>
                <w:bCs/>
                <w:szCs w:val="21"/>
              </w:rPr>
            </w:pPr>
            <w:r>
              <w:rPr>
                <w:rFonts w:hint="eastAsia"/>
                <w:bCs/>
                <w:szCs w:val="21"/>
              </w:rPr>
              <w:t>货物名称</w:t>
            </w:r>
          </w:p>
        </w:tc>
        <w:tc>
          <w:tcPr>
            <w:tcW w:w="780" w:type="dxa"/>
            <w:vAlign w:val="center"/>
          </w:tcPr>
          <w:p>
            <w:pPr>
              <w:jc w:val="center"/>
              <w:rPr>
                <w:bCs/>
                <w:szCs w:val="21"/>
              </w:rPr>
            </w:pPr>
            <w:r>
              <w:rPr>
                <w:rFonts w:hint="eastAsia"/>
                <w:szCs w:val="21"/>
              </w:rPr>
              <w:t>规格/品牌/型号</w:t>
            </w:r>
          </w:p>
        </w:tc>
        <w:tc>
          <w:tcPr>
            <w:tcW w:w="680" w:type="dxa"/>
            <w:vAlign w:val="center"/>
          </w:tcPr>
          <w:p>
            <w:pPr>
              <w:jc w:val="center"/>
              <w:rPr>
                <w:bCs/>
                <w:szCs w:val="21"/>
              </w:rPr>
            </w:pPr>
            <w:r>
              <w:rPr>
                <w:rFonts w:hint="eastAsia"/>
                <w:b/>
                <w:color w:val="FF0000"/>
                <w:szCs w:val="21"/>
              </w:rPr>
              <w:t>原产地</w:t>
            </w:r>
          </w:p>
        </w:tc>
        <w:tc>
          <w:tcPr>
            <w:tcW w:w="807" w:type="dxa"/>
            <w:vAlign w:val="center"/>
          </w:tcPr>
          <w:p>
            <w:pPr>
              <w:jc w:val="center"/>
              <w:rPr>
                <w:bCs/>
                <w:szCs w:val="21"/>
              </w:rPr>
            </w:pPr>
            <w:r>
              <w:rPr>
                <w:rFonts w:hint="eastAsia"/>
                <w:szCs w:val="21"/>
              </w:rPr>
              <w:t>制造商名称</w:t>
            </w:r>
          </w:p>
        </w:tc>
        <w:tc>
          <w:tcPr>
            <w:tcW w:w="513" w:type="dxa"/>
            <w:vAlign w:val="center"/>
          </w:tcPr>
          <w:p>
            <w:pPr>
              <w:jc w:val="center"/>
              <w:rPr>
                <w:bCs/>
                <w:szCs w:val="21"/>
              </w:rPr>
            </w:pPr>
            <w:r>
              <w:rPr>
                <w:rFonts w:hint="eastAsia"/>
                <w:bCs/>
                <w:szCs w:val="21"/>
              </w:rPr>
              <w:t>数量</w:t>
            </w:r>
          </w:p>
        </w:tc>
        <w:tc>
          <w:tcPr>
            <w:tcW w:w="413" w:type="dxa"/>
            <w:vAlign w:val="center"/>
          </w:tcPr>
          <w:p>
            <w:pPr>
              <w:jc w:val="center"/>
              <w:rPr>
                <w:bCs/>
                <w:szCs w:val="21"/>
              </w:rPr>
            </w:pPr>
            <w:r>
              <w:rPr>
                <w:rFonts w:hint="eastAsia"/>
                <w:bCs/>
                <w:szCs w:val="21"/>
              </w:rPr>
              <w:t>单位</w:t>
            </w:r>
          </w:p>
        </w:tc>
        <w:tc>
          <w:tcPr>
            <w:tcW w:w="634" w:type="dxa"/>
            <w:vAlign w:val="center"/>
          </w:tcPr>
          <w:p>
            <w:pPr>
              <w:jc w:val="center"/>
              <w:rPr>
                <w:bCs/>
                <w:szCs w:val="21"/>
              </w:rPr>
            </w:pPr>
            <w:r>
              <w:rPr>
                <w:rFonts w:hint="eastAsia"/>
                <w:szCs w:val="21"/>
              </w:rPr>
              <w:t>单价(元)</w:t>
            </w:r>
          </w:p>
        </w:tc>
        <w:tc>
          <w:tcPr>
            <w:tcW w:w="626" w:type="dxa"/>
            <w:vAlign w:val="center"/>
          </w:tcPr>
          <w:p>
            <w:pPr>
              <w:jc w:val="center"/>
              <w:rPr>
                <w:bCs/>
                <w:szCs w:val="21"/>
              </w:rPr>
            </w:pPr>
            <w:r>
              <w:rPr>
                <w:rFonts w:hint="eastAsia"/>
                <w:szCs w:val="21"/>
              </w:rPr>
              <w:t>合价(元)</w:t>
            </w:r>
          </w:p>
        </w:tc>
        <w:tc>
          <w:tcPr>
            <w:tcW w:w="780" w:type="dxa"/>
            <w:vAlign w:val="center"/>
          </w:tcPr>
          <w:p>
            <w:pPr>
              <w:jc w:val="center"/>
              <w:rPr>
                <w:szCs w:val="21"/>
              </w:rPr>
            </w:pPr>
            <w:r>
              <w:rPr>
                <w:rFonts w:hint="eastAsia"/>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tcPr>
          <w:p>
            <w:pPr>
              <w:jc w:val="center"/>
              <w:rPr>
                <w:bCs/>
                <w:szCs w:val="21"/>
              </w:rPr>
            </w:pPr>
            <w:r>
              <w:rPr>
                <w:rFonts w:hint="eastAsia"/>
                <w:bCs/>
                <w:szCs w:val="21"/>
              </w:rPr>
              <w:t>1</w:t>
            </w:r>
          </w:p>
        </w:tc>
        <w:tc>
          <w:tcPr>
            <w:tcW w:w="1585" w:type="dxa"/>
            <w:vAlign w:val="top"/>
          </w:tcPr>
          <w:p>
            <w:pPr>
              <w:jc w:val="center"/>
              <w:rPr>
                <w:rFonts w:ascii="Times New Roman" w:hAnsi="Times New Roman" w:eastAsia="宋体" w:cs="Times New Roman"/>
                <w:bCs/>
                <w:kern w:val="2"/>
                <w:sz w:val="21"/>
                <w:szCs w:val="21"/>
                <w:lang w:val="en-US" w:eastAsia="zh-CN" w:bidi="ar-SA"/>
              </w:rPr>
            </w:pPr>
            <w:r>
              <w:rPr>
                <w:rFonts w:hint="eastAsia"/>
                <w:bCs/>
                <w:szCs w:val="21"/>
              </w:rPr>
              <w:t>PLAN-2021-440301-0102018021-01127</w:t>
            </w:r>
          </w:p>
        </w:tc>
        <w:tc>
          <w:tcPr>
            <w:tcW w:w="1337" w:type="dxa"/>
            <w:vAlign w:val="top"/>
          </w:tcPr>
          <w:p>
            <w:pPr>
              <w:jc w:val="center"/>
              <w:rPr>
                <w:rFonts w:ascii="Times New Roman" w:hAnsi="Times New Roman" w:eastAsia="宋体" w:cs="Times New Roman"/>
                <w:bCs/>
                <w:kern w:val="2"/>
                <w:sz w:val="21"/>
                <w:szCs w:val="21"/>
                <w:lang w:val="en-US" w:eastAsia="zh-CN" w:bidi="ar-SA"/>
              </w:rPr>
            </w:pPr>
            <w:r>
              <w:rPr>
                <w:rFonts w:hint="eastAsia"/>
                <w:bCs/>
                <w:szCs w:val="21"/>
              </w:rPr>
              <w:t>全自动三维扫频生物测量仪</w:t>
            </w:r>
          </w:p>
        </w:tc>
        <w:tc>
          <w:tcPr>
            <w:tcW w:w="780" w:type="dxa"/>
            <w:vAlign w:val="center"/>
          </w:tcPr>
          <w:p>
            <w:pPr>
              <w:jc w:val="center"/>
              <w:rPr>
                <w:bCs/>
                <w:szCs w:val="21"/>
              </w:rPr>
            </w:pPr>
          </w:p>
        </w:tc>
        <w:tc>
          <w:tcPr>
            <w:tcW w:w="680" w:type="dxa"/>
            <w:vAlign w:val="center"/>
          </w:tcPr>
          <w:p>
            <w:pPr>
              <w:jc w:val="center"/>
              <w:rPr>
                <w:bCs/>
                <w:szCs w:val="21"/>
              </w:rPr>
            </w:pPr>
          </w:p>
        </w:tc>
        <w:tc>
          <w:tcPr>
            <w:tcW w:w="807" w:type="dxa"/>
            <w:vAlign w:val="center"/>
          </w:tcPr>
          <w:p>
            <w:pPr>
              <w:jc w:val="center"/>
              <w:rPr>
                <w:bCs/>
                <w:szCs w:val="21"/>
              </w:rPr>
            </w:pPr>
          </w:p>
        </w:tc>
        <w:tc>
          <w:tcPr>
            <w:tcW w:w="513" w:type="dxa"/>
            <w:vAlign w:val="top"/>
          </w:tcPr>
          <w:p>
            <w:pPr>
              <w:jc w:val="center"/>
              <w:rPr>
                <w:rFonts w:ascii="Times New Roman" w:hAnsi="Times New Roman" w:eastAsia="宋体" w:cs="Times New Roman"/>
                <w:bCs/>
                <w:kern w:val="2"/>
                <w:sz w:val="21"/>
                <w:szCs w:val="21"/>
                <w:lang w:val="en-US" w:eastAsia="zh-CN" w:bidi="ar-SA"/>
              </w:rPr>
            </w:pPr>
            <w:r>
              <w:rPr>
                <w:rFonts w:hint="eastAsia"/>
                <w:bCs/>
                <w:szCs w:val="21"/>
              </w:rPr>
              <w:t>2</w:t>
            </w:r>
          </w:p>
        </w:tc>
        <w:tc>
          <w:tcPr>
            <w:tcW w:w="413" w:type="dxa"/>
            <w:vAlign w:val="top"/>
          </w:tcPr>
          <w:p>
            <w:pPr>
              <w:jc w:val="center"/>
              <w:rPr>
                <w:rFonts w:ascii="Times New Roman" w:hAnsi="Times New Roman" w:eastAsia="宋体" w:cs="Times New Roman"/>
                <w:bCs/>
                <w:kern w:val="2"/>
                <w:sz w:val="21"/>
                <w:szCs w:val="21"/>
                <w:lang w:val="en-US" w:eastAsia="zh-CN" w:bidi="ar-SA"/>
              </w:rPr>
            </w:pPr>
            <w:r>
              <w:rPr>
                <w:rFonts w:hint="eastAsia"/>
                <w:bCs/>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Align w:val="top"/>
          </w:tcPr>
          <w:p>
            <w:pPr>
              <w:rPr>
                <w:rFonts w:hint="eastAsia" w:ascii="Times New Roman" w:hAnsi="Times New Roman" w:eastAsia="宋体" w:cs="Times New Roman"/>
                <w:bCs/>
                <w:kern w:val="2"/>
                <w:sz w:val="21"/>
                <w:szCs w:val="21"/>
                <w:lang w:val="en-US" w:eastAsia="zh-CN" w:bidi="ar-SA"/>
              </w:rPr>
            </w:pPr>
            <w:r>
              <w:rPr>
                <w:rFonts w:hint="eastAsia" w:ascii="宋体" w:hAnsi="宋体" w:cs="宋体"/>
                <w:sz w:val="18"/>
                <w:szCs w:val="18"/>
              </w:rPr>
              <w:t>1,700,000.00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81" w:type="dxa"/>
            <w:gridSpan w:val="11"/>
          </w:tcPr>
          <w:p>
            <w:pPr>
              <w:rPr>
                <w:bCs/>
                <w:szCs w:val="21"/>
              </w:rPr>
            </w:pPr>
            <w:r>
              <w:rPr>
                <w:rFonts w:hint="eastAsia"/>
                <w:bCs/>
                <w:szCs w:val="21"/>
              </w:rPr>
              <w:t xml:space="preserve">合计（即投标总价；币种：人民币；单位：元） 小写：          大写：          </w:t>
            </w:r>
          </w:p>
        </w:tc>
      </w:tr>
    </w:tbl>
    <w:p>
      <w:pPr>
        <w:ind w:firstLine="482" w:firstLineChars="200"/>
        <w:rPr>
          <w:rFonts w:ascii="宋体" w:hAnsi="宋体"/>
          <w:b/>
          <w:sz w:val="24"/>
        </w:rPr>
      </w:pPr>
      <w:r>
        <w:rPr>
          <w:rFonts w:hint="eastAsia" w:ascii="宋体" w:hAnsi="宋体"/>
          <w:b/>
          <w:sz w:val="24"/>
        </w:rPr>
        <w:t>注：1.本表可按同样格式扩展。</w:t>
      </w:r>
    </w:p>
    <w:p>
      <w:pPr>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 如所投货物属于定制类的非量产货物或无具体品牌、型号的货物，可以在“规格/品牌/型号”一栏仅填写规格信息而不填写品牌、型号等信息（品牌、型号信息用“定制”描述即可）；</w:t>
      </w:r>
      <w:bookmarkStart w:id="50" w:name="_Hlk73646428"/>
      <w:r>
        <w:rPr>
          <w:rFonts w:hint="eastAsia" w:ascii="宋体" w:hAnsi="宋体"/>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50"/>
    </w:p>
    <w:p>
      <w:pPr>
        <w:ind w:firstLine="472" w:firstLineChars="196"/>
        <w:rPr>
          <w:rFonts w:ascii="宋体" w:hAnsi="宋体"/>
          <w:b/>
          <w:sz w:val="24"/>
        </w:rPr>
      </w:pPr>
      <w:r>
        <w:rPr>
          <w:rFonts w:ascii="宋体" w:hAnsi="宋体"/>
          <w:b/>
          <w:sz w:val="24"/>
        </w:rPr>
        <w:t>3</w:t>
      </w:r>
      <w:r>
        <w:rPr>
          <w:rFonts w:hint="eastAsia" w:ascii="宋体" w:hAnsi="宋体"/>
          <w:b/>
          <w:sz w:val="24"/>
        </w:rPr>
        <w:t>.</w:t>
      </w:r>
      <w:bookmarkStart w:id="51" w:name="_Hlk72074795"/>
      <w:r>
        <w:rPr>
          <w:rFonts w:hint="eastAsia" w:ascii="宋体" w:hAnsi="宋体"/>
          <w:b/>
          <w:sz w:val="24"/>
        </w:rPr>
        <w:t>“原产地”是指该货物的实际生产加工地，而非品牌总公司所在地</w:t>
      </w:r>
      <w:bookmarkEnd w:id="51"/>
      <w:r>
        <w:rPr>
          <w:rFonts w:hint="eastAsia" w:ascii="宋体" w:hAnsi="宋体"/>
          <w:b/>
          <w:sz w:val="24"/>
        </w:rPr>
        <w:t>。</w:t>
      </w:r>
    </w:p>
    <w:p>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w:t>
      </w:r>
    </w:p>
    <w:p>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.所有价格应按“招标文件”中规定的货币单位填写；投标总价应为以上各分项价格之和；投标总价和项目报价表中单个采购预算条目报价均不得超过对应的财政预算限额，否则将导致投标无效。</w:t>
      </w:r>
    </w:p>
    <w:p>
      <w:pPr>
        <w:ind w:firstLine="482"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82" w:firstLineChars="200"/>
        <w:rPr>
          <w:rFonts w:ascii="宋体" w:hAnsi="宋体"/>
          <w:b/>
          <w:color w:val="FF0000"/>
          <w:sz w:val="24"/>
        </w:rPr>
      </w:pPr>
    </w:p>
    <w:p>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pPr>
        <w:ind w:firstLine="482" w:firstLineChars="200"/>
        <w:rPr>
          <w:rFonts w:ascii="宋体" w:hAnsi="宋体"/>
          <w:b/>
          <w:color w:val="FF0000"/>
          <w:sz w:val="24"/>
        </w:rPr>
      </w:pPr>
    </w:p>
    <w:p>
      <w:pPr>
        <w:ind w:firstLine="480" w:firstLineChars="200"/>
        <w:rPr>
          <w:rFonts w:ascii="宋体"/>
          <w:kern w:val="0"/>
          <w:szCs w:val="21"/>
        </w:rPr>
      </w:pPr>
      <w:r>
        <w:rPr>
          <w:rFonts w:hint="eastAsia" w:ascii="宋体" w:hAnsi="宋体"/>
          <w:sz w:val="24"/>
        </w:rPr>
        <w:t>备注：招标文件未列明核心产品的，无需填写该项。</w:t>
      </w:r>
    </w:p>
    <w:p>
      <w:pPr>
        <w:ind w:firstLine="482" w:firstLineChars="200"/>
        <w:rPr>
          <w:rFonts w:ascii="宋体"/>
          <w:kern w:val="0"/>
          <w:szCs w:val="21"/>
        </w:rPr>
      </w:pPr>
      <w:r>
        <w:rPr>
          <w:rFonts w:hint="eastAsia" w:ascii="宋体" w:hAnsi="宋体"/>
          <w:b/>
          <w:bCs/>
          <w:sz w:val="24"/>
        </w:rPr>
        <w:t>本项目核心产品为：</w:t>
      </w:r>
      <w:r>
        <w:rPr>
          <w:rFonts w:hint="eastAsia"/>
          <w:b/>
          <w:bCs/>
          <w:szCs w:val="21"/>
          <w:u w:val="single"/>
        </w:rPr>
        <w:tab/>
      </w:r>
      <w:r>
        <w:rPr>
          <w:rFonts w:hint="eastAsia"/>
          <w:b/>
          <w:bCs/>
          <w:szCs w:val="21"/>
          <w:u w:val="single"/>
        </w:rPr>
        <w:tab/>
      </w:r>
      <w:r>
        <w:rPr>
          <w:rFonts w:hint="eastAsia"/>
          <w:b/>
          <w:bCs/>
          <w:szCs w:val="21"/>
          <w:u w:val="single"/>
        </w:rPr>
        <w:t>单一产品采购项目，不设置核心产品。</w:t>
      </w:r>
      <w:r>
        <w:rPr>
          <w:rFonts w:hint="eastAsia"/>
          <w:b/>
          <w:bCs/>
          <w:szCs w:val="21"/>
          <w:u w:val="single"/>
        </w:rPr>
        <w:tab/>
      </w:r>
      <w:r>
        <w:rPr>
          <w:rFonts w:hint="eastAsia"/>
          <w:b/>
          <w:bCs/>
          <w:szCs w:val="21"/>
          <w:u w:val="single"/>
        </w:rPr>
        <w:tab/>
      </w:r>
    </w:p>
    <w:p>
      <w:pPr>
        <w:rPr>
          <w:b/>
          <w:sz w:val="24"/>
        </w:rPr>
      </w:pPr>
    </w:p>
    <w:p>
      <w:pPr>
        <w:ind w:firstLine="482" w:firstLineChars="200"/>
        <w:rPr>
          <w:rFonts w:hAnsi="宋体"/>
          <w:b/>
          <w:bCs/>
          <w:sz w:val="24"/>
        </w:rPr>
      </w:pPr>
      <w:r>
        <w:rPr>
          <w:rFonts w:hint="eastAsia" w:hAnsi="宋体"/>
          <w:b/>
          <w:bCs/>
          <w:sz w:val="24"/>
        </w:rPr>
        <w:t>（三）零配件、消耗品和延续保修合同报价清单（不包括在投标总价内）</w:t>
      </w:r>
    </w:p>
    <w:p>
      <w:pPr>
        <w:ind w:firstLine="422" w:firstLineChars="200"/>
        <w:rPr>
          <w:rFonts w:hAnsi="宋体"/>
          <w:b/>
          <w:bCs/>
          <w:szCs w:val="21"/>
        </w:rPr>
      </w:pPr>
      <w:r>
        <w:rPr>
          <w:rFonts w:hint="eastAsia" w:hAnsi="宋体"/>
          <w:b/>
          <w:bCs/>
          <w:szCs w:val="21"/>
        </w:rPr>
        <w:t>注：价格最高的前5项零配件、消耗品和延续保修合同的报价明细必须填写于此清单中。</w:t>
      </w:r>
    </w:p>
    <w:tbl>
      <w:tblPr>
        <w:tblStyle w:val="43"/>
        <w:tblW w:w="7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401"/>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szCs w:val="21"/>
              </w:rPr>
            </w:pPr>
            <w:r>
              <w:rPr>
                <w:rFonts w:hint="eastAsia"/>
                <w:szCs w:val="21"/>
              </w:rPr>
              <w:t>序号</w:t>
            </w:r>
          </w:p>
        </w:tc>
        <w:tc>
          <w:tcPr>
            <w:tcW w:w="1228" w:type="dxa"/>
            <w:vAlign w:val="center"/>
          </w:tcPr>
          <w:p>
            <w:pPr>
              <w:jc w:val="center"/>
              <w:rPr>
                <w:szCs w:val="21"/>
              </w:rPr>
            </w:pPr>
            <w:r>
              <w:rPr>
                <w:rFonts w:hint="eastAsia"/>
                <w:szCs w:val="21"/>
              </w:rPr>
              <w:t>货物名称</w:t>
            </w:r>
          </w:p>
        </w:tc>
        <w:tc>
          <w:tcPr>
            <w:tcW w:w="1694" w:type="dxa"/>
            <w:vAlign w:val="center"/>
          </w:tcPr>
          <w:p>
            <w:pPr>
              <w:jc w:val="center"/>
              <w:rPr>
                <w:szCs w:val="21"/>
              </w:rPr>
            </w:pPr>
            <w:r>
              <w:rPr>
                <w:rFonts w:hint="eastAsia"/>
                <w:szCs w:val="21"/>
              </w:rPr>
              <w:t>规格/型号</w:t>
            </w:r>
          </w:p>
        </w:tc>
        <w:tc>
          <w:tcPr>
            <w:tcW w:w="900" w:type="dxa"/>
            <w:vAlign w:val="center"/>
          </w:tcPr>
          <w:p>
            <w:pPr>
              <w:jc w:val="center"/>
              <w:rPr>
                <w:szCs w:val="21"/>
              </w:rPr>
            </w:pPr>
            <w:r>
              <w:rPr>
                <w:rFonts w:hint="eastAsia"/>
                <w:szCs w:val="21"/>
              </w:rPr>
              <w:t>原产地</w:t>
            </w:r>
          </w:p>
        </w:tc>
        <w:tc>
          <w:tcPr>
            <w:tcW w:w="1401" w:type="dxa"/>
            <w:vAlign w:val="center"/>
          </w:tcPr>
          <w:p>
            <w:pPr>
              <w:jc w:val="center"/>
              <w:rPr>
                <w:szCs w:val="21"/>
              </w:rPr>
            </w:pPr>
            <w:r>
              <w:rPr>
                <w:rFonts w:hint="eastAsia"/>
                <w:szCs w:val="21"/>
              </w:rPr>
              <w:t>制造商名称</w:t>
            </w:r>
          </w:p>
        </w:tc>
        <w:tc>
          <w:tcPr>
            <w:tcW w:w="709" w:type="dxa"/>
            <w:vAlign w:val="center"/>
          </w:tcPr>
          <w:p>
            <w:pPr>
              <w:jc w:val="center"/>
              <w:rPr>
                <w:szCs w:val="21"/>
              </w:rPr>
            </w:pPr>
            <w:r>
              <w:rPr>
                <w:rFonts w:hint="eastAsia"/>
                <w:szCs w:val="21"/>
              </w:rPr>
              <w:t>数量</w:t>
            </w:r>
          </w:p>
        </w:tc>
        <w:tc>
          <w:tcPr>
            <w:tcW w:w="992"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1</w:t>
            </w: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2</w:t>
            </w: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sz w:val="24"/>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sz w:val="24"/>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bl>
    <w:p>
      <w:pPr>
        <w:ind w:firstLine="482" w:firstLineChars="200"/>
        <w:rPr>
          <w:rFonts w:hAnsi="宋体"/>
          <w:b/>
          <w:bCs/>
          <w:sz w:val="24"/>
        </w:rPr>
      </w:pPr>
    </w:p>
    <w:tbl>
      <w:tblPr>
        <w:tblStyle w:val="4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szCs w:val="21"/>
              </w:rPr>
            </w:pPr>
            <w:r>
              <w:rPr>
                <w:rFonts w:hint="eastAsia"/>
                <w:szCs w:val="21"/>
              </w:rPr>
              <w:t>序号</w:t>
            </w:r>
          </w:p>
        </w:tc>
        <w:tc>
          <w:tcPr>
            <w:tcW w:w="2262" w:type="dxa"/>
          </w:tcPr>
          <w:p>
            <w:pPr>
              <w:jc w:val="center"/>
              <w:rPr>
                <w:szCs w:val="21"/>
              </w:rPr>
            </w:pPr>
            <w:r>
              <w:rPr>
                <w:rFonts w:hint="eastAsia"/>
                <w:szCs w:val="21"/>
              </w:rPr>
              <w:t>服务名称</w:t>
            </w:r>
          </w:p>
        </w:tc>
        <w:tc>
          <w:tcPr>
            <w:tcW w:w="2604" w:type="dxa"/>
          </w:tcPr>
          <w:p>
            <w:pPr>
              <w:jc w:val="center"/>
              <w:rPr>
                <w:szCs w:val="21"/>
              </w:rPr>
            </w:pPr>
            <w:r>
              <w:rPr>
                <w:rFonts w:hint="eastAsia"/>
                <w:szCs w:val="21"/>
              </w:rPr>
              <w:t>服务内容</w:t>
            </w:r>
          </w:p>
        </w:tc>
        <w:tc>
          <w:tcPr>
            <w:tcW w:w="1705" w:type="dxa"/>
          </w:tcPr>
          <w:p>
            <w:pPr>
              <w:jc w:val="center"/>
              <w:rPr>
                <w:szCs w:val="21"/>
              </w:rPr>
            </w:pPr>
            <w:r>
              <w:rPr>
                <w:rFonts w:hint="eastAsia"/>
                <w:szCs w:val="21"/>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szCs w:val="21"/>
              </w:rPr>
            </w:pPr>
            <w:r>
              <w:rPr>
                <w:rFonts w:hint="eastAsia"/>
                <w:szCs w:val="21"/>
              </w:rPr>
              <w:t>1</w:t>
            </w:r>
          </w:p>
        </w:tc>
        <w:tc>
          <w:tcPr>
            <w:tcW w:w="2262" w:type="dxa"/>
          </w:tcPr>
          <w:p>
            <w:pPr>
              <w:jc w:val="center"/>
              <w:rPr>
                <w:szCs w:val="21"/>
              </w:rPr>
            </w:pPr>
            <w:r>
              <w:rPr>
                <w:rFonts w:hint="eastAsia"/>
                <w:szCs w:val="21"/>
              </w:rPr>
              <w:t>延续保修合同</w:t>
            </w:r>
          </w:p>
        </w:tc>
        <w:tc>
          <w:tcPr>
            <w:tcW w:w="2604" w:type="dxa"/>
          </w:tcPr>
          <w:p>
            <w:pPr>
              <w:jc w:val="center"/>
              <w:rPr>
                <w:rFonts w:hAnsi="宋体"/>
                <w:b/>
                <w:bCs/>
                <w:sz w:val="24"/>
              </w:rPr>
            </w:pPr>
          </w:p>
        </w:tc>
        <w:tc>
          <w:tcPr>
            <w:tcW w:w="1705" w:type="dxa"/>
          </w:tcPr>
          <w:p>
            <w:pPr>
              <w:jc w:val="center"/>
              <w:rPr>
                <w:rFonts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szCs w:val="21"/>
              </w:rPr>
            </w:pPr>
          </w:p>
        </w:tc>
        <w:tc>
          <w:tcPr>
            <w:tcW w:w="2262" w:type="dxa"/>
          </w:tcPr>
          <w:p>
            <w:pPr>
              <w:jc w:val="center"/>
              <w:rPr>
                <w:szCs w:val="21"/>
              </w:rPr>
            </w:pPr>
          </w:p>
        </w:tc>
        <w:tc>
          <w:tcPr>
            <w:tcW w:w="2604" w:type="dxa"/>
          </w:tcPr>
          <w:p>
            <w:pPr>
              <w:jc w:val="center"/>
              <w:rPr>
                <w:rFonts w:hAnsi="宋体"/>
                <w:b/>
                <w:bCs/>
                <w:sz w:val="24"/>
              </w:rPr>
            </w:pPr>
          </w:p>
        </w:tc>
        <w:tc>
          <w:tcPr>
            <w:tcW w:w="1705" w:type="dxa"/>
          </w:tcPr>
          <w:p>
            <w:pPr>
              <w:jc w:val="center"/>
              <w:rPr>
                <w:rFonts w:hAnsi="宋体"/>
                <w:b/>
                <w:bCs/>
                <w:sz w:val="24"/>
              </w:rPr>
            </w:pPr>
          </w:p>
        </w:tc>
      </w:tr>
    </w:tbl>
    <w:p>
      <w:pPr>
        <w:ind w:firstLine="482" w:firstLineChars="200"/>
        <w:rPr>
          <w:rFonts w:hAnsi="宋体"/>
          <w:b/>
          <w:bCs/>
          <w:sz w:val="24"/>
        </w:rPr>
      </w:pPr>
    </w:p>
    <w:p>
      <w:pPr>
        <w:ind w:firstLine="482" w:firstLineChars="200"/>
        <w:rPr>
          <w:rFonts w:hAnsi="宋体"/>
          <w:b/>
          <w:bCs/>
          <w:sz w:val="24"/>
        </w:rPr>
      </w:pPr>
    </w:p>
    <w:p>
      <w:pPr>
        <w:tabs>
          <w:tab w:val="left" w:pos="720"/>
        </w:tabs>
        <w:jc w:val="center"/>
        <w:rPr>
          <w:b/>
          <w:sz w:val="24"/>
        </w:rPr>
      </w:pPr>
      <w:r>
        <w:rPr>
          <w:rFonts w:hint="eastAsia"/>
          <w:b/>
          <w:sz w:val="24"/>
        </w:rPr>
        <w:t>（四）</w:t>
      </w:r>
      <w:bookmarkStart w:id="52" w:name="_Hlk72073235"/>
      <w:r>
        <w:rPr>
          <w:rFonts w:hint="eastAsia"/>
          <w:b/>
          <w:sz w:val="24"/>
        </w:rPr>
        <w:t>投标人认为需要涉及的其他内容报价清单</w:t>
      </w:r>
      <w:bookmarkEnd w:id="52"/>
    </w:p>
    <w:p/>
    <w:p/>
    <w:p/>
    <w:p>
      <w:pPr>
        <w:ind w:firstLine="723" w:firstLineChars="300"/>
        <w:rPr>
          <w:b/>
          <w:color w:val="FF0000"/>
          <w:sz w:val="24"/>
        </w:rPr>
      </w:pPr>
      <w:r>
        <w:rPr>
          <w:rFonts w:hint="eastAsia"/>
          <w:b/>
          <w:color w:val="FF0000"/>
          <w:sz w:val="24"/>
        </w:rPr>
        <w:t>（信息公开部分的内容到此为止！以下为信息不公开部分。）</w:t>
      </w:r>
    </w:p>
    <w:bookmarkEnd w:id="49"/>
    <w:p>
      <w:r>
        <w:br w:type="page"/>
      </w:r>
    </w:p>
    <w:p>
      <w:pPr>
        <w:outlineLvl w:val="1"/>
        <w:rPr>
          <w:rFonts w:ascii="宋体" w:hAnsi="宋体"/>
          <w:b/>
          <w:color w:val="FF0000"/>
          <w:sz w:val="28"/>
          <w:szCs w:val="28"/>
        </w:rPr>
      </w:pPr>
      <w:bookmarkStart w:id="53" w:name="_Hlk72260530"/>
      <w:r>
        <w:rPr>
          <w:rFonts w:hint="eastAsia" w:ascii="宋体" w:hAnsi="宋体"/>
          <w:b/>
          <w:color w:val="FF0000"/>
          <w:sz w:val="28"/>
          <w:szCs w:val="28"/>
        </w:rPr>
        <w:t>投标文件附件（信息不公开部分）</w:t>
      </w:r>
    </w:p>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w:t>
      </w:r>
      <w:bookmarkStart w:id="54" w:name="_Hlk72092499"/>
      <w:r>
        <w:rPr>
          <w:rFonts w:hint="eastAsia" w:ascii="黑体" w:hAnsi="宋体" w:eastAsia="黑体"/>
          <w:bCs/>
          <w:sz w:val="24"/>
          <w:szCs w:val="32"/>
        </w:rPr>
        <w:t>法定代表人（负责人）证明书</w:t>
      </w:r>
      <w:bookmarkEnd w:id="54"/>
    </w:p>
    <w:p>
      <w:pPr>
        <w:rPr>
          <w:sz w:val="24"/>
        </w:rPr>
      </w:pPr>
    </w:p>
    <w:p>
      <w:pPr>
        <w:spacing w:line="360" w:lineRule="auto"/>
        <w:ind w:firstLine="42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spacing w:line="360" w:lineRule="auto"/>
        <w:ind w:firstLine="422" w:firstLineChars="200"/>
        <w:rPr>
          <w:b/>
          <w:color w:val="FF0000"/>
          <w:szCs w:val="21"/>
        </w:rPr>
      </w:pPr>
      <w:r>
        <w:rPr>
          <w:rFonts w:hint="eastAsia"/>
          <w:b/>
          <w:color w:val="FF0000"/>
          <w:szCs w:val="21"/>
        </w:rPr>
        <w:t>附： 请提供法定代表人（负责人）身份证扫描件（正反两面）；港澳台居民可提供来往通行证扫描件；非中国国籍管辖范围人员，可提供公安部门认可的身份证明材料扫描件。</w:t>
      </w:r>
    </w:p>
    <w:p>
      <w:pPr>
        <w:rPr>
          <w:b/>
          <w:bCs/>
          <w:sz w:val="24"/>
        </w:rPr>
      </w:pPr>
    </w:p>
    <w:p>
      <w:pPr>
        <w:keepNext/>
        <w:keepLines/>
        <w:spacing w:before="120" w:after="120"/>
        <w:jc w:val="center"/>
        <w:outlineLvl w:val="2"/>
        <w:rPr>
          <w:rFonts w:ascii="黑体" w:hAnsi="宋体" w:eastAsia="黑体"/>
          <w:bCs/>
          <w:sz w:val="24"/>
          <w:szCs w:val="32"/>
        </w:rPr>
      </w:pPr>
      <w:r>
        <w:rPr>
          <w:rFonts w:hint="eastAsia" w:ascii="黑体" w:hAnsi="宋体" w:eastAsia="黑体"/>
          <w:bCs/>
          <w:sz w:val="24"/>
          <w:szCs w:val="32"/>
        </w:rPr>
        <w:t>二、投标文件签署授权委托书</w:t>
      </w:r>
    </w:p>
    <w:p>
      <w:pPr>
        <w:spacing w:line="360" w:lineRule="auto"/>
        <w:ind w:firstLine="420" w:firstLineChars="200"/>
        <w:rPr>
          <w:szCs w:val="21"/>
        </w:rPr>
      </w:pPr>
      <w:r>
        <w:rPr>
          <w:rFonts w:hint="eastAsia"/>
          <w:szCs w:val="21"/>
        </w:rPr>
        <w:t>本授权委托书声明：我（姓名）             系（投标人名称）                的法定代表人（负责人），现授权委托（姓名）              为我单位签署本项目已递交的投标文件的法定代表人（负责人）的授权委托代理人，代理人全权代表我所签署的本项目已递交的投标文件内容我均承认。</w:t>
      </w:r>
    </w:p>
    <w:p>
      <w:pPr>
        <w:spacing w:line="360" w:lineRule="auto"/>
        <w:ind w:firstLine="420"/>
        <w:rPr>
          <w:szCs w:val="21"/>
        </w:rPr>
      </w:pPr>
      <w:r>
        <w:rPr>
          <w:rFonts w:hint="eastAsia"/>
          <w:szCs w:val="21"/>
        </w:rPr>
        <w:t>代理人无转委托权，特此委托。</w:t>
      </w:r>
    </w:p>
    <w:p>
      <w:pPr>
        <w:spacing w:line="360" w:lineRule="auto"/>
        <w:ind w:firstLine="420"/>
        <w:rPr>
          <w:szCs w:val="21"/>
        </w:rPr>
      </w:pPr>
    </w:p>
    <w:p>
      <w:pPr>
        <w:spacing w:line="360" w:lineRule="auto"/>
        <w:ind w:left="540" w:leftChars="257"/>
        <w:rPr>
          <w:szCs w:val="21"/>
          <w:u w:val="single"/>
        </w:rPr>
      </w:pPr>
      <w:r>
        <w:rPr>
          <w:rFonts w:hint="eastAsia"/>
          <w:szCs w:val="21"/>
        </w:rPr>
        <w:t>代理人：</w:t>
      </w:r>
    </w:p>
    <w:p>
      <w:pPr>
        <w:spacing w:line="360" w:lineRule="auto"/>
        <w:ind w:left="540" w:leftChars="257"/>
        <w:rPr>
          <w:szCs w:val="21"/>
        </w:rPr>
      </w:pPr>
      <w:r>
        <w:rPr>
          <w:rFonts w:hint="eastAsia"/>
          <w:szCs w:val="21"/>
        </w:rPr>
        <w:t>联系电话：                  手机：</w:t>
      </w:r>
    </w:p>
    <w:p>
      <w:pPr>
        <w:spacing w:line="360" w:lineRule="auto"/>
        <w:ind w:left="540" w:leftChars="257"/>
        <w:rPr>
          <w:szCs w:val="21"/>
          <w:u w:val="single"/>
        </w:rPr>
      </w:pPr>
      <w:r>
        <w:rPr>
          <w:rFonts w:hint="eastAsia"/>
          <w:szCs w:val="21"/>
        </w:rPr>
        <w:t>身份证号码：               职务：</w:t>
      </w:r>
    </w:p>
    <w:p>
      <w:pPr>
        <w:spacing w:line="360" w:lineRule="auto"/>
        <w:ind w:left="540" w:leftChars="257"/>
        <w:rPr>
          <w:szCs w:val="21"/>
        </w:rPr>
      </w:pPr>
      <w:r>
        <w:rPr>
          <w:rFonts w:hint="eastAsia"/>
          <w:szCs w:val="21"/>
        </w:rPr>
        <w:t>授权委托日期：    年    月     日</w:t>
      </w:r>
    </w:p>
    <w:p/>
    <w:p>
      <w:pPr>
        <w:spacing w:line="360" w:lineRule="auto"/>
        <w:ind w:firstLine="422"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pPr>
        <w:spacing w:line="360" w:lineRule="auto"/>
        <w:rPr>
          <w:b/>
          <w:szCs w:val="21"/>
        </w:rPr>
      </w:pPr>
    </w:p>
    <w:p>
      <w:pPr>
        <w:keepNext/>
        <w:keepLines/>
        <w:spacing w:before="260" w:after="260"/>
        <w:jc w:val="center"/>
        <w:outlineLvl w:val="2"/>
        <w:rPr>
          <w:rFonts w:ascii="黑体" w:hAnsi="宋体" w:eastAsia="黑体"/>
          <w:bCs/>
          <w:kern w:val="0"/>
          <w:sz w:val="24"/>
        </w:rPr>
      </w:pPr>
      <w:r>
        <w:rPr>
          <w:rFonts w:hint="eastAsia" w:ascii="黑体" w:hAnsi="宋体" w:eastAsia="黑体"/>
          <w:bCs/>
          <w:kern w:val="0"/>
          <w:sz w:val="24"/>
        </w:rPr>
        <w:t>三、</w:t>
      </w:r>
      <w:bookmarkStart w:id="55" w:name="_Hlk72092634"/>
      <w:r>
        <w:rPr>
          <w:rFonts w:hint="eastAsia" w:ascii="黑体" w:hAnsi="宋体" w:eastAsia="黑体"/>
          <w:bCs/>
          <w:kern w:val="0"/>
          <w:sz w:val="24"/>
        </w:rPr>
        <w:t>实质性条款响应情况表</w:t>
      </w:r>
      <w:bookmarkEnd w:id="55"/>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280"/>
        <w:gridCol w:w="1338"/>
        <w:gridCol w:w="819"/>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2" w:type="dxa"/>
            <w:vAlign w:val="center"/>
          </w:tcPr>
          <w:p>
            <w:pPr>
              <w:adjustRightInd w:val="0"/>
              <w:snapToGrid w:val="0"/>
              <w:spacing w:line="360" w:lineRule="auto"/>
              <w:jc w:val="center"/>
              <w:rPr>
                <w:rFonts w:ascii="宋体" w:hAnsi="宋体"/>
                <w:kern w:val="0"/>
                <w:szCs w:val="21"/>
              </w:rPr>
            </w:pPr>
            <w:bookmarkStart w:id="56" w:name="_Hlk72092651"/>
            <w:r>
              <w:rPr>
                <w:rFonts w:hint="eastAsia" w:ascii="宋体" w:hAnsi="宋体"/>
                <w:kern w:val="0"/>
                <w:szCs w:val="21"/>
              </w:rPr>
              <w:t>序号</w:t>
            </w:r>
          </w:p>
        </w:tc>
        <w:tc>
          <w:tcPr>
            <w:tcW w:w="5280"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33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投标文件载明的交货期不超过招标文件规定的期限</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投标文件载明的免费保修期不低于招标文件规定的期限</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具体技术要求、商务需求中带“★”要求</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 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53"/>
    </w:p>
    <w:p>
      <w:pPr>
        <w:rPr>
          <w:sz w:val="24"/>
        </w:rPr>
      </w:pPr>
    </w:p>
    <w:p>
      <w:pPr>
        <w:keepNext/>
        <w:keepLines/>
        <w:spacing w:before="260" w:after="260"/>
        <w:jc w:val="center"/>
        <w:outlineLvl w:val="2"/>
        <w:rPr>
          <w:sz w:val="24"/>
        </w:rPr>
      </w:pPr>
      <w:r>
        <w:rPr>
          <w:rFonts w:hint="eastAsia" w:ascii="黑体" w:hAnsi="宋体" w:eastAsia="黑体"/>
          <w:bCs/>
          <w:sz w:val="24"/>
        </w:rPr>
        <w:t>四、技术要求偏离表</w:t>
      </w:r>
    </w:p>
    <w:tbl>
      <w:tblPr>
        <w:tblStyle w:val="43"/>
        <w:tblW w:w="864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800"/>
        <w:gridCol w:w="5158"/>
        <w:gridCol w:w="987"/>
        <w:gridCol w:w="804"/>
        <w:gridCol w:w="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1" w:type="dxa"/>
            <w:vAlign w:val="center"/>
          </w:tcPr>
          <w:p>
            <w:pPr>
              <w:jc w:val="center"/>
              <w:rPr>
                <w:rFonts w:asciiTheme="minorEastAsia" w:hAnsiTheme="minorEastAsia" w:eastAsiaTheme="minorEastAsia" w:cstheme="minorEastAsia"/>
                <w:szCs w:val="21"/>
              </w:rPr>
            </w:pPr>
            <w:bookmarkStart w:id="57" w:name="_Hlk72095977"/>
            <w:r>
              <w:rPr>
                <w:rFonts w:hint="eastAsia"/>
                <w:sz w:val="24"/>
              </w:rPr>
              <w:t>序号</w:t>
            </w:r>
          </w:p>
        </w:tc>
        <w:tc>
          <w:tcPr>
            <w:tcW w:w="800" w:type="dxa"/>
            <w:vAlign w:val="center"/>
          </w:tcPr>
          <w:p>
            <w:pPr>
              <w:jc w:val="center"/>
              <w:rPr>
                <w:rFonts w:asciiTheme="minorEastAsia" w:hAnsiTheme="minorEastAsia" w:eastAsiaTheme="minorEastAsia" w:cstheme="minorEastAsia"/>
                <w:szCs w:val="21"/>
              </w:rPr>
            </w:pPr>
            <w:r>
              <w:rPr>
                <w:rFonts w:hint="eastAsia"/>
                <w:sz w:val="24"/>
              </w:rPr>
              <w:t>货物名称</w:t>
            </w:r>
          </w:p>
        </w:tc>
        <w:tc>
          <w:tcPr>
            <w:tcW w:w="5158" w:type="dxa"/>
            <w:vAlign w:val="center"/>
          </w:tcPr>
          <w:p>
            <w:pPr>
              <w:jc w:val="center"/>
              <w:rPr>
                <w:rFonts w:asciiTheme="minorEastAsia" w:hAnsiTheme="minorEastAsia" w:eastAsiaTheme="minorEastAsia" w:cstheme="minorEastAsia"/>
                <w:szCs w:val="21"/>
              </w:rPr>
            </w:pPr>
            <w:r>
              <w:rPr>
                <w:rFonts w:hint="eastAsia"/>
                <w:sz w:val="24"/>
              </w:rPr>
              <w:t>招标技术要求</w:t>
            </w:r>
          </w:p>
        </w:tc>
        <w:tc>
          <w:tcPr>
            <w:tcW w:w="987" w:type="dxa"/>
            <w:vAlign w:val="center"/>
          </w:tcPr>
          <w:p>
            <w:pPr>
              <w:jc w:val="center"/>
              <w:rPr>
                <w:rFonts w:hint="eastAsia" w:asciiTheme="minorEastAsia" w:hAnsiTheme="minorEastAsia" w:eastAsiaTheme="minorEastAsia" w:cstheme="minorEastAsia"/>
                <w:szCs w:val="21"/>
              </w:rPr>
            </w:pPr>
            <w:r>
              <w:rPr>
                <w:rFonts w:hint="eastAsia"/>
                <w:sz w:val="24"/>
              </w:rPr>
              <w:t>投标技术响应</w:t>
            </w:r>
          </w:p>
        </w:tc>
        <w:tc>
          <w:tcPr>
            <w:tcW w:w="804" w:type="dxa"/>
            <w:vAlign w:val="center"/>
          </w:tcPr>
          <w:p>
            <w:pPr>
              <w:jc w:val="center"/>
              <w:rPr>
                <w:rFonts w:hint="eastAsia" w:asciiTheme="minorEastAsia" w:hAnsiTheme="minorEastAsia" w:eastAsiaTheme="minorEastAsia" w:cstheme="minorEastAsia"/>
                <w:szCs w:val="21"/>
              </w:rPr>
            </w:pPr>
            <w:r>
              <w:rPr>
                <w:rFonts w:hint="eastAsia"/>
                <w:sz w:val="24"/>
              </w:rPr>
              <w:t>偏离情况</w:t>
            </w:r>
          </w:p>
        </w:tc>
        <w:tc>
          <w:tcPr>
            <w:tcW w:w="445" w:type="dxa"/>
            <w:vAlign w:val="center"/>
          </w:tcPr>
          <w:p>
            <w:pPr>
              <w:jc w:val="center"/>
              <w:rPr>
                <w:rFonts w:hint="eastAsia" w:asciiTheme="minorEastAsia" w:hAnsiTheme="minorEastAsia" w:eastAsiaTheme="minorEastAsia" w:cstheme="minorEastAsia"/>
                <w:szCs w:val="21"/>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800" w:type="dxa"/>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全自动三维扫频生物测量仪</w:t>
            </w:r>
          </w:p>
        </w:tc>
        <w:tc>
          <w:tcPr>
            <w:tcW w:w="515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▲1、光源：扫频激光（要求提供产品彩页关键信息或产品制造商官网关键信息截图）</w:t>
            </w:r>
          </w:p>
        </w:tc>
        <w:tc>
          <w:tcPr>
            <w:tcW w:w="987" w:type="dxa"/>
          </w:tcPr>
          <w:p>
            <w:pPr>
              <w:rPr>
                <w:rFonts w:hint="eastAsia" w:asciiTheme="minorEastAsia" w:hAnsiTheme="minorEastAsia" w:eastAsiaTheme="minorEastAsia" w:cstheme="minorEastAsia"/>
                <w:b/>
                <w:bCs/>
                <w:color w:val="FF0000"/>
                <w:szCs w:val="21"/>
              </w:rPr>
            </w:pPr>
          </w:p>
        </w:tc>
        <w:tc>
          <w:tcPr>
            <w:tcW w:w="804" w:type="dxa"/>
          </w:tcPr>
          <w:p>
            <w:pPr>
              <w:rPr>
                <w:rFonts w:hint="eastAsia" w:asciiTheme="minorEastAsia" w:hAnsiTheme="minorEastAsia" w:eastAsiaTheme="minorEastAsia" w:cstheme="minorEastAsia"/>
                <w:b/>
                <w:bCs/>
                <w:color w:val="FF0000"/>
                <w:szCs w:val="21"/>
              </w:rPr>
            </w:pPr>
          </w:p>
        </w:tc>
        <w:tc>
          <w:tcPr>
            <w:tcW w:w="445"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continue"/>
            <w:vAlign w:val="center"/>
          </w:tcPr>
          <w:p>
            <w:pPr>
              <w:jc w:val="center"/>
              <w:rPr>
                <w:rFonts w:asciiTheme="minorEastAsia" w:hAnsiTheme="minorEastAsia" w:eastAsiaTheme="minorEastAsia" w:cstheme="minorEastAsia"/>
                <w:bCs/>
                <w:szCs w:val="21"/>
              </w:rPr>
            </w:pPr>
          </w:p>
        </w:tc>
        <w:tc>
          <w:tcPr>
            <w:tcW w:w="800" w:type="dxa"/>
            <w:vMerge w:val="continue"/>
          </w:tcPr>
          <w:p>
            <w:pPr>
              <w:rPr>
                <w:rFonts w:asciiTheme="minorEastAsia" w:hAnsiTheme="minorEastAsia" w:eastAsiaTheme="minorEastAsia" w:cstheme="minorEastAsia"/>
                <w:bCs/>
                <w:szCs w:val="21"/>
              </w:rPr>
            </w:pPr>
          </w:p>
        </w:tc>
        <w:tc>
          <w:tcPr>
            <w:tcW w:w="515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▲2、测量方式：全自动对焦、自动测量；操作方式：≥10.4英寸触摸屏+三维全向助力手柄（要求提供产品彩页关键信息或产品制造商官网关键信息截图）</w:t>
            </w:r>
          </w:p>
        </w:tc>
        <w:tc>
          <w:tcPr>
            <w:tcW w:w="987" w:type="dxa"/>
          </w:tcPr>
          <w:p>
            <w:pPr>
              <w:rPr>
                <w:rFonts w:hint="eastAsia" w:asciiTheme="minorEastAsia" w:hAnsiTheme="minorEastAsia" w:eastAsiaTheme="minorEastAsia" w:cstheme="minorEastAsia"/>
                <w:b/>
                <w:bCs/>
                <w:color w:val="FF0000"/>
                <w:szCs w:val="21"/>
              </w:rPr>
            </w:pPr>
          </w:p>
        </w:tc>
        <w:tc>
          <w:tcPr>
            <w:tcW w:w="804" w:type="dxa"/>
          </w:tcPr>
          <w:p>
            <w:pPr>
              <w:rPr>
                <w:rFonts w:hint="eastAsia" w:asciiTheme="minorEastAsia" w:hAnsiTheme="minorEastAsia" w:eastAsiaTheme="minorEastAsia" w:cstheme="minorEastAsia"/>
                <w:b/>
                <w:bCs/>
                <w:color w:val="FF0000"/>
                <w:szCs w:val="21"/>
              </w:rPr>
            </w:pPr>
          </w:p>
        </w:tc>
        <w:tc>
          <w:tcPr>
            <w:tcW w:w="445"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continue"/>
            <w:vAlign w:val="center"/>
          </w:tcPr>
          <w:p>
            <w:pPr>
              <w:jc w:val="center"/>
              <w:rPr>
                <w:rFonts w:asciiTheme="minorEastAsia" w:hAnsiTheme="minorEastAsia" w:eastAsiaTheme="minorEastAsia" w:cstheme="minorEastAsia"/>
                <w:bCs/>
                <w:szCs w:val="21"/>
              </w:rPr>
            </w:pPr>
          </w:p>
        </w:tc>
        <w:tc>
          <w:tcPr>
            <w:tcW w:w="800" w:type="dxa"/>
            <w:vMerge w:val="continue"/>
          </w:tcPr>
          <w:p>
            <w:pPr>
              <w:rPr>
                <w:rFonts w:asciiTheme="minorEastAsia" w:hAnsiTheme="minorEastAsia" w:eastAsiaTheme="minorEastAsia" w:cstheme="minorEastAsia"/>
                <w:bCs/>
                <w:szCs w:val="21"/>
              </w:rPr>
            </w:pPr>
          </w:p>
        </w:tc>
        <w:tc>
          <w:tcPr>
            <w:tcW w:w="515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▲3、测量功能：眼轴长、角膜厚度、前房深度、晶体厚度、角膜曲率、瞳孔直径、角膜直径、角膜地形图（要求提供产品彩页关键信息或产品制造商官网关键信息截图）</w:t>
            </w:r>
          </w:p>
        </w:tc>
        <w:tc>
          <w:tcPr>
            <w:tcW w:w="987" w:type="dxa"/>
          </w:tcPr>
          <w:p>
            <w:pPr>
              <w:rPr>
                <w:rFonts w:hint="eastAsia" w:asciiTheme="minorEastAsia" w:hAnsiTheme="minorEastAsia" w:eastAsiaTheme="minorEastAsia" w:cstheme="minorEastAsia"/>
                <w:b/>
                <w:bCs/>
                <w:color w:val="FF0000"/>
                <w:szCs w:val="21"/>
              </w:rPr>
            </w:pPr>
          </w:p>
        </w:tc>
        <w:tc>
          <w:tcPr>
            <w:tcW w:w="804" w:type="dxa"/>
          </w:tcPr>
          <w:p>
            <w:pPr>
              <w:rPr>
                <w:rFonts w:hint="eastAsia" w:asciiTheme="minorEastAsia" w:hAnsiTheme="minorEastAsia" w:eastAsiaTheme="minorEastAsia" w:cstheme="minorEastAsia"/>
                <w:b/>
                <w:bCs/>
                <w:color w:val="FF0000"/>
                <w:szCs w:val="21"/>
              </w:rPr>
            </w:pPr>
          </w:p>
        </w:tc>
        <w:tc>
          <w:tcPr>
            <w:tcW w:w="445"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continue"/>
            <w:vAlign w:val="center"/>
          </w:tcPr>
          <w:p>
            <w:pPr>
              <w:jc w:val="center"/>
              <w:rPr>
                <w:rFonts w:asciiTheme="minorEastAsia" w:hAnsiTheme="minorEastAsia" w:eastAsiaTheme="minorEastAsia" w:cstheme="minorEastAsia"/>
                <w:bCs/>
                <w:szCs w:val="21"/>
              </w:rPr>
            </w:pPr>
          </w:p>
        </w:tc>
        <w:tc>
          <w:tcPr>
            <w:tcW w:w="800" w:type="dxa"/>
            <w:vMerge w:val="continue"/>
          </w:tcPr>
          <w:p>
            <w:pPr>
              <w:rPr>
                <w:rFonts w:asciiTheme="minorEastAsia" w:hAnsiTheme="minorEastAsia" w:eastAsiaTheme="minorEastAsia" w:cstheme="minorEastAsia"/>
                <w:bCs/>
                <w:szCs w:val="21"/>
              </w:rPr>
            </w:pPr>
          </w:p>
        </w:tc>
        <w:tc>
          <w:tcPr>
            <w:tcW w:w="515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4、眼轴长测量范围：14.0～40.0mm</w:t>
            </w:r>
          </w:p>
        </w:tc>
        <w:tc>
          <w:tcPr>
            <w:tcW w:w="987" w:type="dxa"/>
          </w:tcPr>
          <w:p>
            <w:pPr>
              <w:rPr>
                <w:rFonts w:hint="eastAsia" w:asciiTheme="minorEastAsia" w:hAnsiTheme="minorEastAsia" w:eastAsiaTheme="minorEastAsia" w:cstheme="minorEastAsia"/>
                <w:szCs w:val="21"/>
              </w:rPr>
            </w:pPr>
          </w:p>
        </w:tc>
        <w:tc>
          <w:tcPr>
            <w:tcW w:w="804" w:type="dxa"/>
          </w:tcPr>
          <w:p>
            <w:pPr>
              <w:rPr>
                <w:rFonts w:hint="eastAsia" w:asciiTheme="minorEastAsia" w:hAnsiTheme="minorEastAsia" w:eastAsiaTheme="minorEastAsia" w:cstheme="minorEastAsia"/>
                <w:szCs w:val="21"/>
              </w:rPr>
            </w:pPr>
          </w:p>
        </w:tc>
        <w:tc>
          <w:tcPr>
            <w:tcW w:w="445"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continue"/>
            <w:vAlign w:val="center"/>
          </w:tcPr>
          <w:p>
            <w:pPr>
              <w:jc w:val="center"/>
              <w:rPr>
                <w:rFonts w:asciiTheme="minorEastAsia" w:hAnsiTheme="minorEastAsia" w:eastAsiaTheme="minorEastAsia" w:cstheme="minorEastAsia"/>
                <w:bCs/>
                <w:szCs w:val="21"/>
              </w:rPr>
            </w:pPr>
          </w:p>
        </w:tc>
        <w:tc>
          <w:tcPr>
            <w:tcW w:w="800" w:type="dxa"/>
            <w:vMerge w:val="continue"/>
          </w:tcPr>
          <w:p>
            <w:pPr>
              <w:rPr>
                <w:rFonts w:asciiTheme="minorEastAsia" w:hAnsiTheme="minorEastAsia" w:eastAsiaTheme="minorEastAsia" w:cstheme="minorEastAsia"/>
                <w:bCs/>
                <w:szCs w:val="21"/>
              </w:rPr>
            </w:pPr>
          </w:p>
        </w:tc>
        <w:tc>
          <w:tcPr>
            <w:tcW w:w="515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5、前房深度测量范围：1.5～7.0mm</w:t>
            </w:r>
          </w:p>
        </w:tc>
        <w:tc>
          <w:tcPr>
            <w:tcW w:w="987" w:type="dxa"/>
          </w:tcPr>
          <w:p>
            <w:pPr>
              <w:rPr>
                <w:rFonts w:hint="eastAsia" w:asciiTheme="minorEastAsia" w:hAnsiTheme="minorEastAsia" w:eastAsiaTheme="minorEastAsia" w:cstheme="minorEastAsia"/>
                <w:szCs w:val="21"/>
              </w:rPr>
            </w:pPr>
          </w:p>
        </w:tc>
        <w:tc>
          <w:tcPr>
            <w:tcW w:w="804" w:type="dxa"/>
          </w:tcPr>
          <w:p>
            <w:pPr>
              <w:rPr>
                <w:rFonts w:hint="eastAsia" w:asciiTheme="minorEastAsia" w:hAnsiTheme="minorEastAsia" w:eastAsiaTheme="minorEastAsia" w:cstheme="minorEastAsia"/>
                <w:szCs w:val="21"/>
              </w:rPr>
            </w:pPr>
          </w:p>
        </w:tc>
        <w:tc>
          <w:tcPr>
            <w:tcW w:w="445"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continue"/>
            <w:vAlign w:val="center"/>
          </w:tcPr>
          <w:p>
            <w:pPr>
              <w:jc w:val="center"/>
              <w:rPr>
                <w:rFonts w:asciiTheme="minorEastAsia" w:hAnsiTheme="minorEastAsia" w:eastAsiaTheme="minorEastAsia" w:cstheme="minorEastAsia"/>
                <w:bCs/>
                <w:szCs w:val="21"/>
              </w:rPr>
            </w:pPr>
          </w:p>
        </w:tc>
        <w:tc>
          <w:tcPr>
            <w:tcW w:w="800" w:type="dxa"/>
            <w:vMerge w:val="continue"/>
          </w:tcPr>
          <w:p>
            <w:pPr>
              <w:rPr>
                <w:rFonts w:asciiTheme="minorEastAsia" w:hAnsiTheme="minorEastAsia" w:eastAsiaTheme="minorEastAsia" w:cstheme="minorEastAsia"/>
                <w:bCs/>
                <w:szCs w:val="21"/>
              </w:rPr>
            </w:pPr>
          </w:p>
        </w:tc>
        <w:tc>
          <w:tcPr>
            <w:tcW w:w="515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6、晶体厚度测量范围：0.5～6.0mm</w:t>
            </w:r>
          </w:p>
        </w:tc>
        <w:tc>
          <w:tcPr>
            <w:tcW w:w="987" w:type="dxa"/>
          </w:tcPr>
          <w:p>
            <w:pPr>
              <w:rPr>
                <w:rFonts w:hint="eastAsia" w:asciiTheme="minorEastAsia" w:hAnsiTheme="minorEastAsia" w:eastAsiaTheme="minorEastAsia" w:cstheme="minorEastAsia"/>
                <w:szCs w:val="21"/>
              </w:rPr>
            </w:pPr>
          </w:p>
        </w:tc>
        <w:tc>
          <w:tcPr>
            <w:tcW w:w="804" w:type="dxa"/>
          </w:tcPr>
          <w:p>
            <w:pPr>
              <w:rPr>
                <w:rFonts w:hint="eastAsia" w:asciiTheme="minorEastAsia" w:hAnsiTheme="minorEastAsia" w:eastAsiaTheme="minorEastAsia" w:cstheme="minorEastAsia"/>
                <w:szCs w:val="21"/>
              </w:rPr>
            </w:pPr>
          </w:p>
        </w:tc>
        <w:tc>
          <w:tcPr>
            <w:tcW w:w="445"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continue"/>
            <w:vAlign w:val="center"/>
          </w:tcPr>
          <w:p>
            <w:pPr>
              <w:jc w:val="center"/>
              <w:rPr>
                <w:rFonts w:asciiTheme="minorEastAsia" w:hAnsiTheme="minorEastAsia" w:eastAsiaTheme="minorEastAsia" w:cstheme="minorEastAsia"/>
                <w:bCs/>
                <w:szCs w:val="21"/>
              </w:rPr>
            </w:pPr>
          </w:p>
        </w:tc>
        <w:tc>
          <w:tcPr>
            <w:tcW w:w="800" w:type="dxa"/>
            <w:vMerge w:val="continue"/>
          </w:tcPr>
          <w:p>
            <w:pPr>
              <w:rPr>
                <w:rFonts w:asciiTheme="minorEastAsia" w:hAnsiTheme="minorEastAsia" w:eastAsiaTheme="minorEastAsia" w:cstheme="minorEastAsia"/>
                <w:bCs/>
                <w:szCs w:val="21"/>
              </w:rPr>
            </w:pPr>
          </w:p>
        </w:tc>
        <w:tc>
          <w:tcPr>
            <w:tcW w:w="515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7、角膜厚测量范围：0.2～1.2mm</w:t>
            </w:r>
          </w:p>
        </w:tc>
        <w:tc>
          <w:tcPr>
            <w:tcW w:w="987" w:type="dxa"/>
          </w:tcPr>
          <w:p>
            <w:pPr>
              <w:rPr>
                <w:rFonts w:hint="eastAsia" w:asciiTheme="minorEastAsia" w:hAnsiTheme="minorEastAsia" w:eastAsiaTheme="minorEastAsia" w:cstheme="minorEastAsia"/>
                <w:szCs w:val="21"/>
              </w:rPr>
            </w:pPr>
          </w:p>
        </w:tc>
        <w:tc>
          <w:tcPr>
            <w:tcW w:w="804" w:type="dxa"/>
          </w:tcPr>
          <w:p>
            <w:pPr>
              <w:rPr>
                <w:rFonts w:hint="eastAsia" w:asciiTheme="minorEastAsia" w:hAnsiTheme="minorEastAsia" w:eastAsiaTheme="minorEastAsia" w:cstheme="minorEastAsia"/>
                <w:szCs w:val="21"/>
              </w:rPr>
            </w:pPr>
          </w:p>
        </w:tc>
        <w:tc>
          <w:tcPr>
            <w:tcW w:w="445"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continue"/>
            <w:vAlign w:val="center"/>
          </w:tcPr>
          <w:p>
            <w:pPr>
              <w:jc w:val="center"/>
              <w:rPr>
                <w:rFonts w:asciiTheme="minorEastAsia" w:hAnsiTheme="minorEastAsia" w:eastAsiaTheme="minorEastAsia" w:cstheme="minorEastAsia"/>
                <w:bCs/>
                <w:szCs w:val="21"/>
              </w:rPr>
            </w:pPr>
          </w:p>
        </w:tc>
        <w:tc>
          <w:tcPr>
            <w:tcW w:w="800" w:type="dxa"/>
            <w:vMerge w:val="continue"/>
          </w:tcPr>
          <w:p>
            <w:pPr>
              <w:rPr>
                <w:rFonts w:asciiTheme="minorEastAsia" w:hAnsiTheme="minorEastAsia" w:eastAsiaTheme="minorEastAsia" w:cstheme="minorEastAsia"/>
                <w:bCs/>
                <w:szCs w:val="21"/>
              </w:rPr>
            </w:pPr>
          </w:p>
        </w:tc>
        <w:tc>
          <w:tcPr>
            <w:tcW w:w="515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8、角膜曲率测量范围：5.0～11.0mm</w:t>
            </w:r>
          </w:p>
        </w:tc>
        <w:tc>
          <w:tcPr>
            <w:tcW w:w="987" w:type="dxa"/>
          </w:tcPr>
          <w:p>
            <w:pPr>
              <w:rPr>
                <w:rFonts w:hint="eastAsia" w:asciiTheme="minorEastAsia" w:hAnsiTheme="minorEastAsia" w:eastAsiaTheme="minorEastAsia" w:cstheme="minorEastAsia"/>
                <w:szCs w:val="21"/>
              </w:rPr>
            </w:pPr>
          </w:p>
        </w:tc>
        <w:tc>
          <w:tcPr>
            <w:tcW w:w="804" w:type="dxa"/>
          </w:tcPr>
          <w:p>
            <w:pPr>
              <w:rPr>
                <w:rFonts w:hint="eastAsia" w:asciiTheme="minorEastAsia" w:hAnsiTheme="minorEastAsia" w:eastAsiaTheme="minorEastAsia" w:cstheme="minorEastAsia"/>
                <w:szCs w:val="21"/>
              </w:rPr>
            </w:pPr>
          </w:p>
        </w:tc>
        <w:tc>
          <w:tcPr>
            <w:tcW w:w="445"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continue"/>
            <w:vAlign w:val="center"/>
          </w:tcPr>
          <w:p>
            <w:pPr>
              <w:jc w:val="center"/>
              <w:rPr>
                <w:rFonts w:asciiTheme="minorEastAsia" w:hAnsiTheme="minorEastAsia" w:eastAsiaTheme="minorEastAsia" w:cstheme="minorEastAsia"/>
                <w:bCs/>
                <w:szCs w:val="21"/>
              </w:rPr>
            </w:pPr>
          </w:p>
        </w:tc>
        <w:tc>
          <w:tcPr>
            <w:tcW w:w="800" w:type="dxa"/>
            <w:vMerge w:val="continue"/>
          </w:tcPr>
          <w:p>
            <w:pPr>
              <w:rPr>
                <w:rFonts w:asciiTheme="minorEastAsia" w:hAnsiTheme="minorEastAsia" w:eastAsiaTheme="minorEastAsia" w:cstheme="minorEastAsia"/>
                <w:bCs/>
                <w:szCs w:val="21"/>
              </w:rPr>
            </w:pPr>
          </w:p>
        </w:tc>
        <w:tc>
          <w:tcPr>
            <w:tcW w:w="515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9、瞳孔直径测量范围：1.5～13.0mm</w:t>
            </w:r>
          </w:p>
        </w:tc>
        <w:tc>
          <w:tcPr>
            <w:tcW w:w="987" w:type="dxa"/>
          </w:tcPr>
          <w:p>
            <w:pPr>
              <w:rPr>
                <w:rFonts w:hint="eastAsia" w:asciiTheme="minorEastAsia" w:hAnsiTheme="minorEastAsia" w:eastAsiaTheme="minorEastAsia" w:cstheme="minorEastAsia"/>
                <w:szCs w:val="21"/>
              </w:rPr>
            </w:pPr>
          </w:p>
        </w:tc>
        <w:tc>
          <w:tcPr>
            <w:tcW w:w="804" w:type="dxa"/>
          </w:tcPr>
          <w:p>
            <w:pPr>
              <w:rPr>
                <w:rFonts w:hint="eastAsia" w:asciiTheme="minorEastAsia" w:hAnsiTheme="minorEastAsia" w:eastAsiaTheme="minorEastAsia" w:cstheme="minorEastAsia"/>
                <w:szCs w:val="21"/>
              </w:rPr>
            </w:pPr>
          </w:p>
        </w:tc>
        <w:tc>
          <w:tcPr>
            <w:tcW w:w="445"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continue"/>
            <w:vAlign w:val="center"/>
          </w:tcPr>
          <w:p>
            <w:pPr>
              <w:jc w:val="center"/>
              <w:rPr>
                <w:rFonts w:asciiTheme="minorEastAsia" w:hAnsiTheme="minorEastAsia" w:eastAsiaTheme="minorEastAsia" w:cstheme="minorEastAsia"/>
                <w:bCs/>
                <w:szCs w:val="21"/>
              </w:rPr>
            </w:pPr>
          </w:p>
        </w:tc>
        <w:tc>
          <w:tcPr>
            <w:tcW w:w="800" w:type="dxa"/>
            <w:vMerge w:val="continue"/>
          </w:tcPr>
          <w:p>
            <w:pPr>
              <w:rPr>
                <w:rFonts w:asciiTheme="minorEastAsia" w:hAnsiTheme="minorEastAsia" w:eastAsiaTheme="minorEastAsia" w:cstheme="minorEastAsia"/>
                <w:bCs/>
                <w:szCs w:val="21"/>
              </w:rPr>
            </w:pPr>
          </w:p>
        </w:tc>
        <w:tc>
          <w:tcPr>
            <w:tcW w:w="515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10、角膜直径测量范围：7.0～16.0mm</w:t>
            </w:r>
          </w:p>
        </w:tc>
        <w:tc>
          <w:tcPr>
            <w:tcW w:w="987" w:type="dxa"/>
          </w:tcPr>
          <w:p>
            <w:pPr>
              <w:rPr>
                <w:rFonts w:hint="eastAsia" w:asciiTheme="minorEastAsia" w:hAnsiTheme="minorEastAsia" w:eastAsiaTheme="minorEastAsia" w:cstheme="minorEastAsia"/>
                <w:szCs w:val="21"/>
              </w:rPr>
            </w:pPr>
          </w:p>
        </w:tc>
        <w:tc>
          <w:tcPr>
            <w:tcW w:w="804" w:type="dxa"/>
          </w:tcPr>
          <w:p>
            <w:pPr>
              <w:rPr>
                <w:rFonts w:hint="eastAsia" w:asciiTheme="minorEastAsia" w:hAnsiTheme="minorEastAsia" w:eastAsiaTheme="minorEastAsia" w:cstheme="minorEastAsia"/>
                <w:szCs w:val="21"/>
              </w:rPr>
            </w:pPr>
          </w:p>
        </w:tc>
        <w:tc>
          <w:tcPr>
            <w:tcW w:w="445"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continue"/>
            <w:vAlign w:val="center"/>
          </w:tcPr>
          <w:p>
            <w:pPr>
              <w:jc w:val="center"/>
              <w:rPr>
                <w:rFonts w:asciiTheme="minorEastAsia" w:hAnsiTheme="minorEastAsia" w:eastAsiaTheme="minorEastAsia" w:cstheme="minorEastAsia"/>
                <w:bCs/>
                <w:szCs w:val="21"/>
              </w:rPr>
            </w:pPr>
          </w:p>
        </w:tc>
        <w:tc>
          <w:tcPr>
            <w:tcW w:w="800" w:type="dxa"/>
            <w:vMerge w:val="continue"/>
          </w:tcPr>
          <w:p>
            <w:pPr>
              <w:rPr>
                <w:rFonts w:asciiTheme="minorEastAsia" w:hAnsiTheme="minorEastAsia" w:eastAsiaTheme="minorEastAsia" w:cstheme="minorEastAsia"/>
                <w:bCs/>
                <w:szCs w:val="21"/>
              </w:rPr>
            </w:pPr>
          </w:p>
        </w:tc>
        <w:tc>
          <w:tcPr>
            <w:tcW w:w="515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▲11、角膜地形图环数：≧9环；测量点数：≧2304点（要求提供产品彩页关键信息或产品制造商官网关键信息截图）</w:t>
            </w:r>
          </w:p>
        </w:tc>
        <w:tc>
          <w:tcPr>
            <w:tcW w:w="987" w:type="dxa"/>
          </w:tcPr>
          <w:p>
            <w:pPr>
              <w:rPr>
                <w:rFonts w:hint="eastAsia" w:asciiTheme="minorEastAsia" w:hAnsiTheme="minorEastAsia" w:eastAsiaTheme="minorEastAsia" w:cstheme="minorEastAsia"/>
                <w:b/>
                <w:bCs/>
                <w:color w:val="FF0000"/>
                <w:szCs w:val="21"/>
              </w:rPr>
            </w:pPr>
          </w:p>
        </w:tc>
        <w:tc>
          <w:tcPr>
            <w:tcW w:w="804" w:type="dxa"/>
          </w:tcPr>
          <w:p>
            <w:pPr>
              <w:rPr>
                <w:rFonts w:hint="eastAsia" w:asciiTheme="minorEastAsia" w:hAnsiTheme="minorEastAsia" w:eastAsiaTheme="minorEastAsia" w:cstheme="minorEastAsia"/>
                <w:b/>
                <w:bCs/>
                <w:color w:val="FF0000"/>
                <w:szCs w:val="21"/>
              </w:rPr>
            </w:pPr>
          </w:p>
        </w:tc>
        <w:tc>
          <w:tcPr>
            <w:tcW w:w="445"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continue"/>
            <w:vAlign w:val="center"/>
          </w:tcPr>
          <w:p>
            <w:pPr>
              <w:jc w:val="center"/>
              <w:rPr>
                <w:rFonts w:asciiTheme="minorEastAsia" w:hAnsiTheme="minorEastAsia" w:eastAsiaTheme="minorEastAsia" w:cstheme="minorEastAsia"/>
                <w:bCs/>
                <w:szCs w:val="21"/>
              </w:rPr>
            </w:pPr>
          </w:p>
        </w:tc>
        <w:tc>
          <w:tcPr>
            <w:tcW w:w="800" w:type="dxa"/>
            <w:vMerge w:val="continue"/>
          </w:tcPr>
          <w:p>
            <w:pPr>
              <w:rPr>
                <w:rFonts w:asciiTheme="minorEastAsia" w:hAnsiTheme="minorEastAsia" w:eastAsiaTheme="minorEastAsia" w:cstheme="minorEastAsia"/>
                <w:bCs/>
                <w:szCs w:val="21"/>
              </w:rPr>
            </w:pPr>
          </w:p>
        </w:tc>
        <w:tc>
          <w:tcPr>
            <w:tcW w:w="515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12、TORIC晶体辅助功能：有</w:t>
            </w:r>
          </w:p>
        </w:tc>
        <w:tc>
          <w:tcPr>
            <w:tcW w:w="987" w:type="dxa"/>
          </w:tcPr>
          <w:p>
            <w:pPr>
              <w:rPr>
                <w:rFonts w:hint="eastAsia" w:asciiTheme="minorEastAsia" w:hAnsiTheme="minorEastAsia" w:eastAsiaTheme="minorEastAsia" w:cstheme="minorEastAsia"/>
                <w:szCs w:val="21"/>
              </w:rPr>
            </w:pPr>
          </w:p>
        </w:tc>
        <w:tc>
          <w:tcPr>
            <w:tcW w:w="804" w:type="dxa"/>
          </w:tcPr>
          <w:p>
            <w:pPr>
              <w:rPr>
                <w:rFonts w:hint="eastAsia" w:asciiTheme="minorEastAsia" w:hAnsiTheme="minorEastAsia" w:eastAsiaTheme="minorEastAsia" w:cstheme="minorEastAsia"/>
                <w:szCs w:val="21"/>
              </w:rPr>
            </w:pPr>
          </w:p>
        </w:tc>
        <w:tc>
          <w:tcPr>
            <w:tcW w:w="445"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continue"/>
            <w:vAlign w:val="center"/>
          </w:tcPr>
          <w:p>
            <w:pPr>
              <w:jc w:val="center"/>
              <w:rPr>
                <w:rFonts w:asciiTheme="minorEastAsia" w:hAnsiTheme="minorEastAsia" w:eastAsiaTheme="minorEastAsia" w:cstheme="minorEastAsia"/>
                <w:bCs/>
                <w:szCs w:val="21"/>
              </w:rPr>
            </w:pPr>
          </w:p>
        </w:tc>
        <w:tc>
          <w:tcPr>
            <w:tcW w:w="800" w:type="dxa"/>
            <w:vMerge w:val="continue"/>
          </w:tcPr>
          <w:p>
            <w:pPr>
              <w:rPr>
                <w:rFonts w:asciiTheme="minorEastAsia" w:hAnsiTheme="minorEastAsia" w:eastAsiaTheme="minorEastAsia" w:cstheme="minorEastAsia"/>
                <w:bCs/>
                <w:szCs w:val="21"/>
              </w:rPr>
            </w:pPr>
          </w:p>
        </w:tc>
        <w:tc>
          <w:tcPr>
            <w:tcW w:w="5158" w:type="dxa"/>
          </w:tcPr>
          <w:p>
            <w:pPr>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▲13、人工晶体计算公式：</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Barrett Universal II , Barrett Toric Calculator，Barrett TrueK，OKULIX，Olsen，Haigis standard, Haigis optimized, Hoffer® Q, Holladay 1, SRK/T, Shammas-PL, SRK/T Double K，SRK SHOWA，easyIOL（近期加入），SRK 2（要求提供产品彩页关键信息或产品制造商官网关键信息截图）</w:t>
            </w:r>
          </w:p>
        </w:tc>
        <w:tc>
          <w:tcPr>
            <w:tcW w:w="987" w:type="dxa"/>
          </w:tcPr>
          <w:p>
            <w:pPr>
              <w:rPr>
                <w:rFonts w:hint="eastAsia" w:asciiTheme="minorEastAsia" w:hAnsiTheme="minorEastAsia" w:eastAsiaTheme="minorEastAsia" w:cstheme="minorEastAsia"/>
                <w:b/>
                <w:bCs/>
                <w:color w:val="FF0000"/>
                <w:szCs w:val="21"/>
              </w:rPr>
            </w:pPr>
          </w:p>
        </w:tc>
        <w:tc>
          <w:tcPr>
            <w:tcW w:w="804" w:type="dxa"/>
          </w:tcPr>
          <w:p>
            <w:pPr>
              <w:rPr>
                <w:rFonts w:hint="eastAsia" w:asciiTheme="minorEastAsia" w:hAnsiTheme="minorEastAsia" w:eastAsiaTheme="minorEastAsia" w:cstheme="minorEastAsia"/>
                <w:b/>
                <w:bCs/>
                <w:color w:val="FF0000"/>
                <w:szCs w:val="21"/>
              </w:rPr>
            </w:pPr>
          </w:p>
        </w:tc>
        <w:tc>
          <w:tcPr>
            <w:tcW w:w="445"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1" w:type="dxa"/>
            <w:vMerge w:val="continue"/>
            <w:vAlign w:val="center"/>
          </w:tcPr>
          <w:p>
            <w:pPr>
              <w:jc w:val="center"/>
              <w:rPr>
                <w:rFonts w:asciiTheme="minorEastAsia" w:hAnsiTheme="minorEastAsia" w:eastAsiaTheme="minorEastAsia" w:cstheme="minorEastAsia"/>
                <w:bCs/>
                <w:szCs w:val="21"/>
              </w:rPr>
            </w:pPr>
          </w:p>
        </w:tc>
        <w:tc>
          <w:tcPr>
            <w:tcW w:w="800" w:type="dxa"/>
            <w:vMerge w:val="continue"/>
          </w:tcPr>
          <w:p>
            <w:pPr>
              <w:rPr>
                <w:rFonts w:asciiTheme="minorEastAsia" w:hAnsiTheme="minorEastAsia" w:eastAsiaTheme="minorEastAsia" w:cstheme="minorEastAsia"/>
                <w:bCs/>
                <w:szCs w:val="21"/>
              </w:rPr>
            </w:pPr>
          </w:p>
        </w:tc>
        <w:tc>
          <w:tcPr>
            <w:tcW w:w="515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14、存储： SD卡， USB存储媒介，DICOM电子病历</w:t>
            </w:r>
          </w:p>
        </w:tc>
        <w:tc>
          <w:tcPr>
            <w:tcW w:w="987" w:type="dxa"/>
          </w:tcPr>
          <w:p>
            <w:pPr>
              <w:rPr>
                <w:rFonts w:hint="eastAsia" w:asciiTheme="minorEastAsia" w:hAnsiTheme="minorEastAsia" w:eastAsiaTheme="minorEastAsia" w:cstheme="minorEastAsia"/>
                <w:szCs w:val="21"/>
              </w:rPr>
            </w:pPr>
          </w:p>
        </w:tc>
        <w:tc>
          <w:tcPr>
            <w:tcW w:w="804" w:type="dxa"/>
          </w:tcPr>
          <w:p>
            <w:pPr>
              <w:rPr>
                <w:rFonts w:hint="eastAsia" w:asciiTheme="minorEastAsia" w:hAnsiTheme="minorEastAsia" w:eastAsiaTheme="minorEastAsia" w:cstheme="minorEastAsia"/>
                <w:szCs w:val="21"/>
              </w:rPr>
            </w:pPr>
          </w:p>
        </w:tc>
        <w:tc>
          <w:tcPr>
            <w:tcW w:w="445" w:type="dxa"/>
          </w:tcPr>
          <w:p>
            <w:pPr>
              <w:rPr>
                <w:rFonts w:hint="eastAsia" w:asciiTheme="minorEastAsia" w:hAnsiTheme="minorEastAsia" w:eastAsiaTheme="minorEastAsia" w:cstheme="minorEastAsia"/>
                <w:szCs w:val="21"/>
              </w:rPr>
            </w:pPr>
          </w:p>
        </w:tc>
      </w:tr>
    </w:tbl>
    <w:p>
      <w:pPr>
        <w:rPr>
          <w:color w:val="FF0000"/>
          <w:sz w:val="24"/>
        </w:rPr>
      </w:pPr>
      <w:r>
        <w:rPr>
          <w:rFonts w:hint="eastAsia"/>
          <w:color w:val="FF0000"/>
          <w:sz w:val="24"/>
        </w:rPr>
        <w:t>证明资料【如有的话，提供的证明资料应统一编号（排序），格式自定】</w:t>
      </w:r>
      <w:bookmarkEnd w:id="57"/>
      <w:r>
        <w:rPr>
          <w:rFonts w:hint="eastAsia"/>
          <w:color w:val="FF0000"/>
          <w:sz w:val="24"/>
        </w:rPr>
        <w:t>：</w:t>
      </w:r>
    </w:p>
    <w:p>
      <w:pPr>
        <w:ind w:firstLine="482" w:firstLineChars="200"/>
        <w:rPr>
          <w:b/>
          <w:sz w:val="24"/>
        </w:rPr>
      </w:pPr>
    </w:p>
    <w:p>
      <w:pPr>
        <w:ind w:firstLine="482" w:firstLineChars="200"/>
        <w:rPr>
          <w:b/>
          <w:sz w:val="24"/>
        </w:rPr>
      </w:pPr>
      <w:r>
        <w:rPr>
          <w:rFonts w:hint="eastAsia"/>
          <w:b/>
          <w:sz w:val="24"/>
        </w:rPr>
        <w:t>《技术要求偏离表》编制指引：</w:t>
      </w:r>
    </w:p>
    <w:p>
      <w:pPr>
        <w:ind w:firstLine="482" w:firstLineChars="200"/>
        <w:rPr>
          <w:b/>
          <w:sz w:val="24"/>
        </w:rPr>
      </w:pPr>
      <w:r>
        <w:rPr>
          <w:rFonts w:hint="eastAsia"/>
          <w:b/>
          <w:sz w:val="24"/>
        </w:rPr>
        <w:t>1、技术要求偏离表的序号、货物名称、招标技术要求等栏目</w:t>
      </w:r>
      <w:bookmarkStart w:id="58" w:name="_Hlk72094407"/>
      <w:r>
        <w:rPr>
          <w:rFonts w:hint="eastAsia"/>
          <w:b/>
          <w:sz w:val="24"/>
        </w:rPr>
        <w:t>对应“招标项目需求”中的“具体技术要求”章节</w:t>
      </w:r>
      <w:bookmarkEnd w:id="58"/>
      <w:r>
        <w:rPr>
          <w:rFonts w:hint="eastAsia"/>
          <w:b/>
          <w:sz w:val="24"/>
        </w:rPr>
        <w:t>相关内容。</w:t>
      </w:r>
    </w:p>
    <w:p>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pPr>
        <w:ind w:firstLine="482" w:firstLineChars="200"/>
        <w:rPr>
          <w:b/>
          <w:sz w:val="24"/>
        </w:rPr>
      </w:pPr>
      <w:r>
        <w:rPr>
          <w:b/>
          <w:sz w:val="24"/>
        </w:rPr>
        <w:t>3</w:t>
      </w:r>
      <w:r>
        <w:rPr>
          <w:rFonts w:hint="eastAsia"/>
          <w:b/>
          <w:sz w:val="24"/>
        </w:rPr>
        <w:t>、</w:t>
      </w:r>
      <w:bookmarkStart w:id="59" w:name="_Hlk72158270"/>
      <w:r>
        <w:rPr>
          <w:rFonts w:hint="eastAsia"/>
          <w:b/>
          <w:sz w:val="24"/>
        </w:rPr>
        <w:t>“偏离情况”</w:t>
      </w:r>
      <w:bookmarkEnd w:id="59"/>
      <w:r>
        <w:rPr>
          <w:rFonts w:hint="eastAsia"/>
          <w:b/>
          <w:sz w:val="24"/>
        </w:rPr>
        <w:t>一栏填写如实填写“正偏离”、“负偏离”或“无偏离”，其中：</w:t>
      </w:r>
      <w:bookmarkStart w:id="60" w:name="_Hlk72093866"/>
      <w:r>
        <w:rPr>
          <w:rFonts w:hint="eastAsia"/>
          <w:b/>
          <w:sz w:val="24"/>
        </w:rPr>
        <w:t>“正偏离”表示“投标响应优于招标技术要求”，“负偏离”表示“投标响应不满足招标技术要求”，“无偏离”表示“投标响应与招标技术要求一致”</w:t>
      </w:r>
      <w:bookmarkEnd w:id="60"/>
      <w:r>
        <w:rPr>
          <w:rFonts w:hint="eastAsia"/>
          <w:b/>
          <w:sz w:val="24"/>
        </w:rPr>
        <w:t>。“投标技术响应”对比“招标技术要求”存在响应不全（包括未响应整项招标技术要求或者未响应一项招标技术要求的部分内容），均视为“负偏离”。</w:t>
      </w:r>
    </w:p>
    <w:p>
      <w:pPr>
        <w:ind w:firstLine="482" w:firstLineChars="200"/>
        <w:rPr>
          <w:b/>
          <w:sz w:val="24"/>
        </w:rPr>
      </w:pPr>
      <w:r>
        <w:rPr>
          <w:b/>
          <w:sz w:val="24"/>
        </w:rPr>
        <w:t>4</w:t>
      </w:r>
      <w:r>
        <w:rPr>
          <w:rFonts w:hint="eastAsia"/>
          <w:b/>
          <w:sz w:val="24"/>
        </w:rPr>
        <w:t>、未要求提供证明资料的招标技术要求，可以不提供证明资料（如实响应即可）。</w:t>
      </w:r>
    </w:p>
    <w:p>
      <w:pPr>
        <w:ind w:firstLine="482" w:firstLineChars="200"/>
        <w:rPr>
          <w:b/>
          <w:sz w:val="24"/>
        </w:rPr>
      </w:pPr>
      <w:r>
        <w:rPr>
          <w:rFonts w:hint="eastAsia"/>
          <w:b/>
          <w:sz w:val="24"/>
        </w:rPr>
        <w:t>5、</w:t>
      </w:r>
      <w:bookmarkStart w:id="61" w:name="_Hlk72096106"/>
      <w:r>
        <w:rPr>
          <w:rFonts w:hint="eastAsia"/>
          <w:b/>
          <w:sz w:val="24"/>
        </w:rPr>
        <w:t>证明资料条款响应要求</w:t>
      </w:r>
      <w:bookmarkEnd w:id="61"/>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62"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3" w:name="_Hlk73558164"/>
      <w:r>
        <w:rPr>
          <w:rFonts w:hint="eastAsia"/>
          <w:b/>
          <w:sz w:val="24"/>
        </w:rPr>
        <w:t>且投标人在“偏离情况”一栏响应为“正偏离”或“无偏离”的，经评审委员会认定，将判定为负偏离。</w:t>
      </w:r>
      <w:bookmarkEnd w:id="62"/>
      <w:bookmarkEnd w:id="63"/>
    </w:p>
    <w:p>
      <w:pPr>
        <w:ind w:firstLine="482" w:firstLineChars="200"/>
        <w:rPr>
          <w:b/>
          <w:sz w:val="24"/>
        </w:rPr>
      </w:pPr>
      <w:r>
        <w:rPr>
          <w:rFonts w:hint="eastAsia"/>
          <w:b/>
          <w:sz w:val="24"/>
        </w:rPr>
        <w:t>6、</w:t>
      </w:r>
      <w:bookmarkStart w:id="64" w:name="_Hlk72096137"/>
      <w:r>
        <w:rPr>
          <w:rFonts w:hint="eastAsia"/>
          <w:b/>
          <w:sz w:val="24"/>
        </w:rPr>
        <w:t>表后“证明资料”部分内容的编制</w:t>
      </w:r>
      <w:bookmarkEnd w:id="64"/>
      <w:r>
        <w:rPr>
          <w:rFonts w:hint="eastAsia"/>
          <w:b/>
          <w:sz w:val="24"/>
        </w:rPr>
        <w:t>：提供的所有证明资料应当统一编号（排序），且证明资料的编号（顺序）、数量和名称（形式）均应与“说明”一栏所填内容保持一致（一一对应），以便评审委员会查看。</w:t>
      </w:r>
      <w:bookmarkStart w:id="65" w:name="_Hlk73558180"/>
      <w:r>
        <w:rPr>
          <w:rFonts w:hint="eastAsia"/>
          <w:b/>
          <w:sz w:val="24"/>
        </w:rPr>
        <w:t>未按照招标文件要求在表后放置证明材料的供应商将承担不利后果，经评审委员会认定，相关技术要求将判定为负偏离。</w:t>
      </w:r>
      <w:bookmarkEnd w:id="65"/>
    </w:p>
    <w:p>
      <w:pPr>
        <w:ind w:firstLine="482" w:firstLineChars="200"/>
        <w:rPr>
          <w:b/>
          <w:sz w:val="24"/>
        </w:rPr>
      </w:pPr>
      <w:r>
        <w:rPr>
          <w:rFonts w:hint="eastAsia"/>
          <w:b/>
          <w:sz w:val="24"/>
        </w:rPr>
        <w:t>7、</w:t>
      </w:r>
      <w:bookmarkStart w:id="66" w:name="_Hlk72096176"/>
      <w:r>
        <w:rPr>
          <w:rFonts w:hint="eastAsia"/>
          <w:b/>
          <w:sz w:val="24"/>
        </w:rPr>
        <w:t>证明资料的形式及其它具体要求</w:t>
      </w:r>
      <w:bookmarkEnd w:id="66"/>
      <w:r>
        <w:rPr>
          <w:rFonts w:hint="eastAsia"/>
          <w:b/>
          <w:sz w:val="24"/>
        </w:rPr>
        <w:t>：</w:t>
      </w:r>
    </w:p>
    <w:p>
      <w:pPr>
        <w:ind w:firstLine="482" w:firstLineChars="200"/>
        <w:rPr>
          <w:b/>
          <w:sz w:val="24"/>
        </w:rPr>
      </w:pPr>
      <w:r>
        <w:rPr>
          <w:rFonts w:hint="eastAsia"/>
          <w:b/>
          <w:sz w:val="24"/>
        </w:rPr>
        <w:t>（1）除照片、图片（截图）及不需加盖公章的文字说明（技术说明）外，其它证明资料均要求为原件扫描件；</w:t>
      </w:r>
    </w:p>
    <w:p>
      <w:pPr>
        <w:ind w:firstLine="482"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82"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82"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pPr>
        <w:ind w:firstLine="482"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82" w:firstLineChars="200"/>
        <w:rPr>
          <w:b/>
          <w:sz w:val="24"/>
        </w:rPr>
      </w:pPr>
      <w:r>
        <w:rPr>
          <w:rFonts w:hint="eastAsia"/>
          <w:b/>
          <w:sz w:val="24"/>
        </w:rPr>
        <w:t>其它证明资料的形式要求参照以上要求执行；</w:t>
      </w:r>
    </w:p>
    <w:p>
      <w:pPr>
        <w:ind w:firstLine="482" w:firstLineChars="200"/>
        <w:rPr>
          <w:b/>
          <w:sz w:val="24"/>
        </w:rPr>
      </w:pPr>
      <w:r>
        <w:rPr>
          <w:rFonts w:hint="eastAsia"/>
          <w:b/>
          <w:sz w:val="24"/>
        </w:rPr>
        <w:t>（4）证明资料均要求原件备查。</w:t>
      </w:r>
    </w:p>
    <w:p>
      <w:pPr>
        <w:ind w:firstLine="482" w:firstLineChars="200"/>
        <w:rPr>
          <w:b/>
          <w:sz w:val="24"/>
        </w:rPr>
      </w:pPr>
      <w:r>
        <w:rPr>
          <w:rFonts w:hint="eastAsia"/>
          <w:b/>
          <w:sz w:val="24"/>
        </w:rPr>
        <w:t>8、其它注意事项：</w:t>
      </w:r>
    </w:p>
    <w:p>
      <w:pPr>
        <w:ind w:firstLine="482" w:firstLineChars="200"/>
        <w:rPr>
          <w:b/>
          <w:sz w:val="24"/>
        </w:rPr>
      </w:pPr>
      <w:r>
        <w:rPr>
          <w:rFonts w:hint="eastAsia"/>
          <w:b/>
          <w:sz w:val="24"/>
        </w:rPr>
        <w:t>（1）评审委员会有权对投标人的响应情况作出判断（评审结论）；</w:t>
      </w:r>
    </w:p>
    <w:p>
      <w:pPr>
        <w:ind w:firstLine="482" w:firstLineChars="200"/>
        <w:rPr>
          <w:b/>
          <w:sz w:val="24"/>
        </w:rPr>
      </w:pPr>
      <w:r>
        <w:rPr>
          <w:rFonts w:hint="eastAsia"/>
          <w:b/>
          <w:sz w:val="24"/>
        </w:rPr>
        <w:t>（2）</w:t>
      </w:r>
      <w:bookmarkStart w:id="67"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7"/>
    </w:p>
    <w:p>
      <w:pPr>
        <w:rPr>
          <w:sz w:val="24"/>
        </w:rPr>
      </w:pPr>
    </w:p>
    <w:p>
      <w:pPr>
        <w:keepNext/>
        <w:keepLines/>
        <w:spacing w:before="260" w:after="260"/>
        <w:jc w:val="center"/>
        <w:outlineLvl w:val="2"/>
        <w:rPr>
          <w:b/>
          <w:sz w:val="24"/>
        </w:rPr>
      </w:pPr>
      <w:r>
        <w:rPr>
          <w:rFonts w:hint="eastAsia" w:ascii="黑体" w:hAnsi="宋体" w:eastAsia="黑体"/>
          <w:sz w:val="24"/>
          <w:szCs w:val="20"/>
        </w:rPr>
        <w:t>五、商务要求偏离表</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38"/>
        <w:gridCol w:w="4877"/>
        <w:gridCol w:w="1123"/>
        <w:gridCol w:w="770"/>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7" w:type="dxa"/>
            <w:vAlign w:val="center"/>
          </w:tcPr>
          <w:p>
            <w:pPr>
              <w:jc w:val="center"/>
              <w:rPr>
                <w:b/>
              </w:rPr>
            </w:pPr>
            <w:r>
              <w:rPr>
                <w:rFonts w:hint="eastAsia"/>
                <w:sz w:val="24"/>
              </w:rPr>
              <w:t>序号</w:t>
            </w:r>
          </w:p>
        </w:tc>
        <w:tc>
          <w:tcPr>
            <w:tcW w:w="738" w:type="dxa"/>
            <w:vAlign w:val="center"/>
          </w:tcPr>
          <w:p>
            <w:pPr>
              <w:jc w:val="center"/>
              <w:rPr>
                <w:b/>
              </w:rPr>
            </w:pPr>
            <w:r>
              <w:rPr>
                <w:rFonts w:hint="eastAsia"/>
                <w:b/>
              </w:rPr>
              <w:t>商务需求项</w:t>
            </w:r>
          </w:p>
        </w:tc>
        <w:tc>
          <w:tcPr>
            <w:tcW w:w="4877" w:type="dxa"/>
            <w:vAlign w:val="center"/>
          </w:tcPr>
          <w:p>
            <w:pPr>
              <w:jc w:val="center"/>
              <w:rPr>
                <w:b/>
              </w:rPr>
            </w:pPr>
            <w:r>
              <w:rPr>
                <w:rFonts w:hint="eastAsia"/>
                <w:sz w:val="24"/>
              </w:rPr>
              <w:t>招标商务要求</w:t>
            </w:r>
          </w:p>
        </w:tc>
        <w:tc>
          <w:tcPr>
            <w:tcW w:w="1123" w:type="dxa"/>
            <w:vAlign w:val="center"/>
          </w:tcPr>
          <w:p>
            <w:pPr>
              <w:jc w:val="center"/>
              <w:rPr>
                <w:rFonts w:hint="eastAsia"/>
                <w:b/>
              </w:rPr>
            </w:pPr>
            <w:r>
              <w:rPr>
                <w:rFonts w:hint="eastAsia"/>
                <w:sz w:val="24"/>
              </w:rPr>
              <w:t>投标商务响应</w:t>
            </w:r>
          </w:p>
        </w:tc>
        <w:tc>
          <w:tcPr>
            <w:tcW w:w="770" w:type="dxa"/>
            <w:vAlign w:val="center"/>
          </w:tcPr>
          <w:p>
            <w:pPr>
              <w:jc w:val="center"/>
              <w:rPr>
                <w:rFonts w:hint="eastAsia"/>
                <w:b/>
              </w:rPr>
            </w:pPr>
            <w:r>
              <w:rPr>
                <w:rFonts w:hint="eastAsia"/>
              </w:rPr>
              <w:t>偏离情况</w:t>
            </w:r>
          </w:p>
        </w:tc>
        <w:tc>
          <w:tcPr>
            <w:tcW w:w="456" w:type="dxa"/>
            <w:vAlign w:val="center"/>
          </w:tcPr>
          <w:p>
            <w:pPr>
              <w:jc w:val="center"/>
              <w:rPr>
                <w:rFonts w:hint="eastAsia"/>
                <w:b/>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21" w:type="dxa"/>
            <w:gridSpan w:val="6"/>
          </w:tcPr>
          <w:p>
            <w:pPr>
              <w:rPr>
                <w:rFonts w:hint="eastAsia"/>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restart"/>
            <w:vAlign w:val="center"/>
          </w:tcPr>
          <w:p>
            <w:pPr>
              <w:jc w:val="center"/>
              <w:rPr>
                <w:bCs/>
              </w:rPr>
            </w:pPr>
            <w:r>
              <w:rPr>
                <w:rFonts w:hint="eastAsia"/>
                <w:bCs/>
              </w:rPr>
              <w:t>1</w:t>
            </w:r>
          </w:p>
        </w:tc>
        <w:tc>
          <w:tcPr>
            <w:tcW w:w="738" w:type="dxa"/>
            <w:vMerge w:val="restart"/>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维修响应及维护服务</w:t>
            </w:r>
          </w:p>
        </w:tc>
        <w:tc>
          <w:tcPr>
            <w:tcW w:w="4877" w:type="dxa"/>
          </w:tcPr>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1.1 各投标人应在投标文件中列明各主机、配件和易耗品的保 修期限。</w:t>
            </w:r>
          </w:p>
        </w:tc>
        <w:tc>
          <w:tcPr>
            <w:tcW w:w="1123" w:type="dxa"/>
          </w:tcPr>
          <w:p>
            <w:pPr>
              <w:rPr>
                <w:rFonts w:hint="eastAsia"/>
                <w:bCs/>
                <w:color w:val="000000" w:themeColor="text1"/>
                <w14:textFill>
                  <w14:solidFill>
                    <w14:schemeClr w14:val="tx1"/>
                  </w14:solidFill>
                </w14:textFill>
              </w:rPr>
            </w:pPr>
          </w:p>
        </w:tc>
        <w:tc>
          <w:tcPr>
            <w:tcW w:w="770" w:type="dxa"/>
          </w:tcPr>
          <w:p>
            <w:pPr>
              <w:rPr>
                <w:rFonts w:hint="eastAsia"/>
                <w:bCs/>
                <w:color w:val="000000" w:themeColor="text1"/>
                <w14:textFill>
                  <w14:solidFill>
                    <w14:schemeClr w14:val="tx1"/>
                  </w14:solidFill>
                </w14:textFill>
              </w:rPr>
            </w:pPr>
          </w:p>
        </w:tc>
        <w:tc>
          <w:tcPr>
            <w:tcW w:w="0" w:type="auto"/>
          </w:tcPr>
          <w:p>
            <w:pPr>
              <w:rPr>
                <w:rFonts w:hint="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738" w:type="dxa"/>
            <w:vMerge w:val="continue"/>
          </w:tcPr>
          <w:p>
            <w:pPr>
              <w:rPr>
                <w:color w:val="000000" w:themeColor="text1"/>
                <w14:textFill>
                  <w14:solidFill>
                    <w14:schemeClr w14:val="tx1"/>
                  </w14:solidFill>
                </w14:textFill>
              </w:rPr>
            </w:pPr>
          </w:p>
        </w:tc>
        <w:tc>
          <w:tcPr>
            <w:tcW w:w="4877" w:type="dxa"/>
          </w:tcPr>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★1.2</w:t>
            </w:r>
            <w:r>
              <w:rPr>
                <w:rFonts w:hint="eastAsia"/>
                <w:bCs/>
                <w:color w:val="000000" w:themeColor="text1"/>
                <w14:textFill>
                  <w14:solidFill>
                    <w14:schemeClr w14:val="tx1"/>
                  </w14:solidFill>
                </w14:textFill>
              </w:rPr>
              <w:t>承诺提供整机免费保修期不少于</w:t>
            </w:r>
            <w:r>
              <w:rPr>
                <w:rFonts w:hint="eastAsia"/>
                <w:bCs/>
                <w:color w:val="000000" w:themeColor="text1"/>
                <w:u w:val="single"/>
                <w14:textFill>
                  <w14:solidFill>
                    <w14:schemeClr w14:val="tx1"/>
                  </w14:solidFill>
                </w14:textFill>
              </w:rPr>
              <w:t xml:space="preserve"> 2 </w:t>
            </w:r>
            <w:r>
              <w:rPr>
                <w:rFonts w:hint="eastAsia"/>
                <w:bCs/>
                <w:color w:val="000000" w:themeColor="text1"/>
                <w14:textFill>
                  <w14:solidFill>
                    <w14:schemeClr w14:val="tx1"/>
                  </w14:solidFill>
                </w14:textFill>
              </w:rPr>
              <w:t xml:space="preserve">年，终身维修，保修期内,年度定期预防性维护保养次数应不少于 3 次。保修期内免费 更换零配件、免工时费。 </w:t>
            </w:r>
          </w:p>
        </w:tc>
        <w:tc>
          <w:tcPr>
            <w:tcW w:w="1123" w:type="dxa"/>
          </w:tcPr>
          <w:p>
            <w:pPr>
              <w:rPr>
                <w:rFonts w:hint="eastAsia"/>
                <w:bCs/>
                <w:color w:val="000000" w:themeColor="text1"/>
                <w:szCs w:val="21"/>
                <w14:textFill>
                  <w14:solidFill>
                    <w14:schemeClr w14:val="tx1"/>
                  </w14:solidFill>
                </w14:textFill>
              </w:rPr>
            </w:pPr>
          </w:p>
        </w:tc>
        <w:tc>
          <w:tcPr>
            <w:tcW w:w="770" w:type="dxa"/>
          </w:tcPr>
          <w:p>
            <w:pPr>
              <w:rPr>
                <w:rFonts w:hint="eastAsia"/>
                <w:bCs/>
                <w:color w:val="000000" w:themeColor="text1"/>
                <w:szCs w:val="21"/>
                <w14:textFill>
                  <w14:solidFill>
                    <w14:schemeClr w14:val="tx1"/>
                  </w14:solidFill>
                </w14:textFill>
              </w:rPr>
            </w:pPr>
          </w:p>
        </w:tc>
        <w:tc>
          <w:tcPr>
            <w:tcW w:w="0" w:type="auto"/>
          </w:tcPr>
          <w:p>
            <w:pPr>
              <w:rPr>
                <w:rFonts w:hint="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738" w:type="dxa"/>
            <w:vMerge w:val="continue"/>
          </w:tcPr>
          <w:p>
            <w:pPr>
              <w:rPr>
                <w:color w:val="000000" w:themeColor="text1"/>
                <w14:textFill>
                  <w14:solidFill>
                    <w14:schemeClr w14:val="tx1"/>
                  </w14:solidFill>
                </w14:textFill>
              </w:rPr>
            </w:pPr>
          </w:p>
        </w:tc>
        <w:tc>
          <w:tcPr>
            <w:tcW w:w="4877" w:type="dxa"/>
          </w:tcPr>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1.3 由设备制造商提供售后服务，</w:t>
            </w:r>
            <w:r>
              <w:rPr>
                <w:rFonts w:hint="eastAsia"/>
                <w:bCs/>
                <w:color w:val="000000" w:themeColor="text1"/>
                <w:u w:val="single"/>
                <w14:textFill>
                  <w14:solidFill>
                    <w14:schemeClr w14:val="tx1"/>
                  </w14:solidFill>
                </w14:textFill>
              </w:rPr>
              <w:t xml:space="preserve">4 </w:t>
            </w:r>
            <w:r>
              <w:rPr>
                <w:rFonts w:hint="eastAsia"/>
                <w:bCs/>
                <w:color w:val="000000" w:themeColor="text1"/>
                <w14:textFill>
                  <w14:solidFill>
                    <w14:schemeClr w14:val="tx1"/>
                  </w14:solidFill>
                </w14:textFill>
              </w:rPr>
              <w:t>小时内响应，</w:t>
            </w:r>
            <w:r>
              <w:rPr>
                <w:rFonts w:hint="eastAsia"/>
                <w:bCs/>
                <w:color w:val="000000" w:themeColor="text1"/>
                <w:u w:val="single"/>
                <w14:textFill>
                  <w14:solidFill>
                    <w14:schemeClr w14:val="tx1"/>
                  </w14:solidFill>
                </w14:textFill>
              </w:rPr>
              <w:t xml:space="preserve">24 </w:t>
            </w:r>
            <w:r>
              <w:rPr>
                <w:rFonts w:hint="eastAsia"/>
                <w:bCs/>
                <w:color w:val="000000" w:themeColor="text1"/>
                <w14:textFill>
                  <w14:solidFill>
                    <w14:schemeClr w14:val="tx1"/>
                  </w14:solidFill>
                </w14:textFill>
              </w:rPr>
              <w:t xml:space="preserve">小时维修到位（不可抗力情况除外）,否则提供备用机,消耗品和零配件供应及时。 </w:t>
            </w:r>
          </w:p>
        </w:tc>
        <w:tc>
          <w:tcPr>
            <w:tcW w:w="1123" w:type="dxa"/>
          </w:tcPr>
          <w:p>
            <w:pPr>
              <w:rPr>
                <w:rFonts w:hint="eastAsia"/>
                <w:bCs/>
                <w:color w:val="000000" w:themeColor="text1"/>
                <w14:textFill>
                  <w14:solidFill>
                    <w14:schemeClr w14:val="tx1"/>
                  </w14:solidFill>
                </w14:textFill>
              </w:rPr>
            </w:pPr>
          </w:p>
        </w:tc>
        <w:tc>
          <w:tcPr>
            <w:tcW w:w="770" w:type="dxa"/>
          </w:tcPr>
          <w:p>
            <w:pPr>
              <w:rPr>
                <w:rFonts w:hint="eastAsia"/>
                <w:bCs/>
                <w:color w:val="000000" w:themeColor="text1"/>
                <w14:textFill>
                  <w14:solidFill>
                    <w14:schemeClr w14:val="tx1"/>
                  </w14:solidFill>
                </w14:textFill>
              </w:rPr>
            </w:pPr>
          </w:p>
        </w:tc>
        <w:tc>
          <w:tcPr>
            <w:tcW w:w="0" w:type="auto"/>
          </w:tcPr>
          <w:p>
            <w:pPr>
              <w:rPr>
                <w:rFonts w:hint="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738" w:type="dxa"/>
            <w:vMerge w:val="continue"/>
          </w:tcPr>
          <w:p>
            <w:pPr>
              <w:rPr>
                <w:color w:val="000000" w:themeColor="text1"/>
                <w14:textFill>
                  <w14:solidFill>
                    <w14:schemeClr w14:val="tx1"/>
                  </w14:solidFill>
                </w14:textFill>
              </w:rPr>
            </w:pPr>
          </w:p>
        </w:tc>
        <w:tc>
          <w:tcPr>
            <w:tcW w:w="4877" w:type="dxa"/>
          </w:tcPr>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1.4</w:t>
            </w:r>
            <w:r>
              <w:rPr>
                <w:rFonts w:hint="eastAsia" w:ascii="宋体" w:hAnsi="宋体" w:cs="宋体"/>
                <w:color w:val="000000" w:themeColor="text1"/>
                <w:kern w:val="0"/>
                <w:szCs w:val="21"/>
                <w14:textFill>
                  <w14:solidFill>
                    <w14:schemeClr w14:val="tx1"/>
                  </w14:solidFill>
                </w14:textFill>
              </w:rPr>
              <w:t>投标人负责货物的终身维护</w:t>
            </w:r>
            <w:r>
              <w:rPr>
                <w:rFonts w:hint="eastAsia"/>
                <w:bCs/>
                <w:color w:val="000000" w:themeColor="text1"/>
                <w14:textFill>
                  <w14:solidFill>
                    <w14:schemeClr w14:val="tx1"/>
                  </w14:solidFill>
                </w14:textFill>
              </w:rPr>
              <w:t>，保证</w:t>
            </w:r>
            <w:r>
              <w:rPr>
                <w:rFonts w:hint="eastAsia"/>
                <w:bCs/>
                <w:color w:val="000000" w:themeColor="text1"/>
                <w:u w:val="single"/>
                <w14:textFill>
                  <w14:solidFill>
                    <w14:schemeClr w14:val="tx1"/>
                  </w14:solidFill>
                </w14:textFill>
              </w:rPr>
              <w:t xml:space="preserve"> 5 </w:t>
            </w:r>
            <w:r>
              <w:rPr>
                <w:rFonts w:hint="eastAsia"/>
                <w:bCs/>
                <w:color w:val="000000" w:themeColor="text1"/>
                <w14:textFill>
                  <w14:solidFill>
                    <w14:schemeClr w14:val="tx1"/>
                  </w14:solidFill>
                </w14:textFill>
              </w:rPr>
              <w:t>年以上供应维修配件，终身免费提供软件升级服务。在免费保修期后，维修只收取零配件费用，不收取其他任何费用。</w:t>
            </w:r>
          </w:p>
        </w:tc>
        <w:tc>
          <w:tcPr>
            <w:tcW w:w="1123" w:type="dxa"/>
          </w:tcPr>
          <w:p>
            <w:pPr>
              <w:rPr>
                <w:rFonts w:hint="eastAsia"/>
                <w:bCs/>
                <w:color w:val="000000" w:themeColor="text1"/>
                <w14:textFill>
                  <w14:solidFill>
                    <w14:schemeClr w14:val="tx1"/>
                  </w14:solidFill>
                </w14:textFill>
              </w:rPr>
            </w:pPr>
          </w:p>
        </w:tc>
        <w:tc>
          <w:tcPr>
            <w:tcW w:w="770" w:type="dxa"/>
          </w:tcPr>
          <w:p>
            <w:pPr>
              <w:rPr>
                <w:rFonts w:hint="eastAsia"/>
                <w:bCs/>
                <w:color w:val="000000" w:themeColor="text1"/>
                <w14:textFill>
                  <w14:solidFill>
                    <w14:schemeClr w14:val="tx1"/>
                  </w14:solidFill>
                </w14:textFill>
              </w:rPr>
            </w:pPr>
          </w:p>
        </w:tc>
        <w:tc>
          <w:tcPr>
            <w:tcW w:w="0" w:type="auto"/>
          </w:tcPr>
          <w:p>
            <w:pPr>
              <w:rPr>
                <w:rFonts w:hint="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738" w:type="dxa"/>
            <w:vMerge w:val="continue"/>
          </w:tcPr>
          <w:p>
            <w:pPr>
              <w:rPr>
                <w:color w:val="000000" w:themeColor="text1"/>
                <w:highlight w:val="none"/>
                <w14:textFill>
                  <w14:solidFill>
                    <w14:schemeClr w14:val="tx1"/>
                  </w14:solidFill>
                </w14:textFill>
              </w:rPr>
            </w:pPr>
          </w:p>
        </w:tc>
        <w:tc>
          <w:tcPr>
            <w:tcW w:w="4877" w:type="dxa"/>
          </w:tcPr>
          <w:p>
            <w:pPr>
              <w:rPr>
                <w:rFonts w:hint="eastAsia"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需免费提供标准DICOM格式及开放接口，并与医院HIS、PACS系统等进行无缝对接，符合实时数据采集上传和局域网存储功能，产生费用由中标单位自行承担</w:t>
            </w:r>
            <w:r>
              <w:rPr>
                <w:rStyle w:val="52"/>
                <w:rFonts w:hint="eastAsia" w:ascii="宋体"/>
                <w:color w:val="000000" w:themeColor="text1"/>
                <w:kern w:val="0"/>
                <w:highlight w:val="none"/>
                <w:lang w:eastAsia="zh-CN"/>
                <w14:textFill>
                  <w14:solidFill>
                    <w14:schemeClr w14:val="tx1"/>
                  </w14:solidFill>
                </w14:textFill>
              </w:rPr>
              <w:t>。</w:t>
            </w:r>
          </w:p>
        </w:tc>
        <w:tc>
          <w:tcPr>
            <w:tcW w:w="1123" w:type="dxa"/>
          </w:tcPr>
          <w:p>
            <w:pPr>
              <w:rPr>
                <w:rFonts w:hint="eastAsia"/>
                <w:bCs/>
                <w:color w:val="000000" w:themeColor="text1"/>
                <w:highlight w:val="none"/>
                <w:lang w:val="en-US" w:eastAsia="zh-CN"/>
                <w14:textFill>
                  <w14:solidFill>
                    <w14:schemeClr w14:val="tx1"/>
                  </w14:solidFill>
                </w14:textFill>
              </w:rPr>
            </w:pPr>
          </w:p>
        </w:tc>
        <w:tc>
          <w:tcPr>
            <w:tcW w:w="770" w:type="dxa"/>
          </w:tcPr>
          <w:p>
            <w:pPr>
              <w:rPr>
                <w:rFonts w:hint="eastAsia"/>
                <w:bCs/>
                <w:color w:val="000000" w:themeColor="text1"/>
                <w:highlight w:val="none"/>
                <w:lang w:val="en-US" w:eastAsia="zh-CN"/>
                <w14:textFill>
                  <w14:solidFill>
                    <w14:schemeClr w14:val="tx1"/>
                  </w14:solidFill>
                </w14:textFill>
              </w:rPr>
            </w:pPr>
          </w:p>
        </w:tc>
        <w:tc>
          <w:tcPr>
            <w:tcW w:w="0" w:type="auto"/>
          </w:tcPr>
          <w:p>
            <w:pPr>
              <w:rPr>
                <w:rFonts w:hint="eastAsia"/>
                <w:bCs/>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0" w:type="auto"/>
            <w:vAlign w:val="center"/>
          </w:tcPr>
          <w:p>
            <w:pPr>
              <w:jc w:val="center"/>
              <w:rPr>
                <w:b/>
              </w:rPr>
            </w:pPr>
            <w:r>
              <w:rPr>
                <w:rFonts w:hint="eastAsia"/>
                <w:b/>
              </w:rPr>
              <w:t>2</w:t>
            </w:r>
          </w:p>
        </w:tc>
        <w:tc>
          <w:tcPr>
            <w:tcW w:w="738" w:type="dxa"/>
            <w:vAlign w:val="center"/>
          </w:tcPr>
          <w:p>
            <w:r>
              <w:rPr>
                <w:rFonts w:hint="eastAsia"/>
                <w:szCs w:val="21"/>
              </w:rPr>
              <w:t>质量保证</w:t>
            </w:r>
          </w:p>
        </w:tc>
        <w:tc>
          <w:tcPr>
            <w:tcW w:w="4877" w:type="dxa"/>
            <w:vAlign w:val="center"/>
          </w:tcPr>
          <w:p>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c>
          <w:tcPr>
            <w:tcW w:w="1123" w:type="dxa"/>
            <w:vAlign w:val="center"/>
          </w:tcPr>
          <w:p>
            <w:pPr>
              <w:rPr>
                <w:rFonts w:hint="eastAsia"/>
                <w:bCs/>
              </w:rPr>
            </w:pPr>
          </w:p>
        </w:tc>
        <w:tc>
          <w:tcPr>
            <w:tcW w:w="770" w:type="dxa"/>
            <w:vAlign w:val="center"/>
          </w:tcPr>
          <w:p>
            <w:pPr>
              <w:rPr>
                <w:rFonts w:hint="eastAsia"/>
                <w:bCs/>
              </w:rPr>
            </w:pPr>
          </w:p>
        </w:tc>
        <w:tc>
          <w:tcPr>
            <w:tcW w:w="0" w:type="auto"/>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0" w:type="auto"/>
            <w:vAlign w:val="center"/>
          </w:tcPr>
          <w:p>
            <w:pPr>
              <w:jc w:val="center"/>
              <w:rPr>
                <w:bCs/>
              </w:rPr>
            </w:pPr>
            <w:r>
              <w:rPr>
                <w:rFonts w:hint="eastAsia"/>
                <w:bCs/>
              </w:rPr>
              <w:t>3</w:t>
            </w:r>
          </w:p>
        </w:tc>
        <w:tc>
          <w:tcPr>
            <w:tcW w:w="738" w:type="dxa"/>
            <w:vAlign w:val="center"/>
          </w:tcPr>
          <w:p>
            <w:pPr>
              <w:rPr>
                <w:b/>
              </w:rPr>
            </w:pPr>
            <w:r>
              <w:rPr>
                <w:rFonts w:hint="eastAsia"/>
              </w:rPr>
              <w:t>其他</w:t>
            </w:r>
          </w:p>
        </w:tc>
        <w:tc>
          <w:tcPr>
            <w:tcW w:w="4877" w:type="dxa"/>
            <w:vAlign w:val="center"/>
          </w:tcPr>
          <w:p>
            <w:pPr>
              <w:rPr>
                <w:b/>
              </w:rPr>
            </w:pPr>
            <w:r>
              <w:rPr>
                <w:rFonts w:hint="eastAsia"/>
                <w:bCs/>
                <w:szCs w:val="21"/>
              </w:rPr>
              <w:t>投标人应按其投标文件中的承诺，进行其他售后服务工作。</w:t>
            </w:r>
          </w:p>
        </w:tc>
        <w:tc>
          <w:tcPr>
            <w:tcW w:w="1123" w:type="dxa"/>
            <w:vAlign w:val="center"/>
          </w:tcPr>
          <w:p>
            <w:pPr>
              <w:rPr>
                <w:rFonts w:hint="eastAsia"/>
                <w:bCs/>
                <w:szCs w:val="21"/>
              </w:rPr>
            </w:pPr>
          </w:p>
        </w:tc>
        <w:tc>
          <w:tcPr>
            <w:tcW w:w="770" w:type="dxa"/>
            <w:vAlign w:val="center"/>
          </w:tcPr>
          <w:p>
            <w:pPr>
              <w:rPr>
                <w:rFonts w:hint="eastAsia"/>
                <w:bCs/>
                <w:szCs w:val="21"/>
              </w:rPr>
            </w:pPr>
          </w:p>
        </w:tc>
        <w:tc>
          <w:tcPr>
            <w:tcW w:w="0" w:type="auto"/>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21" w:type="dxa"/>
            <w:gridSpan w:val="6"/>
          </w:tcPr>
          <w:p>
            <w:pPr>
              <w:rPr>
                <w:rFonts w:hint="eastAsia"/>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Cs/>
              </w:rPr>
            </w:pPr>
            <w:r>
              <w:rPr>
                <w:rFonts w:hint="eastAsia"/>
                <w:bCs/>
              </w:rPr>
              <w:t>1</w:t>
            </w:r>
          </w:p>
        </w:tc>
        <w:tc>
          <w:tcPr>
            <w:tcW w:w="738" w:type="dxa"/>
            <w:vMerge w:val="restart"/>
          </w:tcPr>
          <w:p>
            <w:pPr>
              <w:rPr>
                <w:b/>
              </w:rPr>
            </w:pPr>
            <w:r>
              <w:rPr>
                <w:rFonts w:hint="eastAsia" w:ascii="宋体" w:hAnsi="宋体"/>
                <w:b/>
                <w:kern w:val="0"/>
                <w:szCs w:val="21"/>
              </w:rPr>
              <w:t>维修零配件、消耗品和延续保修合同的报价</w:t>
            </w:r>
          </w:p>
        </w:tc>
        <w:tc>
          <w:tcPr>
            <w:tcW w:w="4877" w:type="dxa"/>
          </w:tcPr>
          <w:p>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c>
          <w:tcPr>
            <w:tcW w:w="1123" w:type="dxa"/>
          </w:tcPr>
          <w:p>
            <w:pPr>
              <w:spacing w:line="300" w:lineRule="exact"/>
              <w:rPr>
                <w:rFonts w:hint="eastAsia" w:ascii="宋体" w:hAnsi="宋体"/>
                <w:kern w:val="0"/>
                <w:szCs w:val="21"/>
              </w:rPr>
            </w:pPr>
          </w:p>
        </w:tc>
        <w:tc>
          <w:tcPr>
            <w:tcW w:w="770" w:type="dxa"/>
          </w:tcPr>
          <w:p>
            <w:pPr>
              <w:spacing w:line="300" w:lineRule="exact"/>
              <w:rPr>
                <w:rFonts w:hint="eastAsia" w:ascii="宋体" w:hAnsi="宋体"/>
                <w:kern w:val="0"/>
                <w:szCs w:val="21"/>
              </w:rPr>
            </w:pPr>
          </w:p>
        </w:tc>
        <w:tc>
          <w:tcPr>
            <w:tcW w:w="0" w:type="auto"/>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38" w:type="dxa"/>
            <w:vMerge w:val="continue"/>
          </w:tcPr>
          <w:p>
            <w:pPr>
              <w:rPr>
                <w:b/>
              </w:rPr>
            </w:pPr>
          </w:p>
        </w:tc>
        <w:tc>
          <w:tcPr>
            <w:tcW w:w="4877" w:type="dxa"/>
          </w:tcPr>
          <w:p>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c>
          <w:tcPr>
            <w:tcW w:w="1123" w:type="dxa"/>
          </w:tcPr>
          <w:p>
            <w:pPr>
              <w:spacing w:line="300" w:lineRule="exact"/>
              <w:rPr>
                <w:rFonts w:hint="eastAsia" w:ascii="宋体" w:hAnsi="宋体"/>
                <w:kern w:val="0"/>
                <w:szCs w:val="21"/>
              </w:rPr>
            </w:pPr>
          </w:p>
        </w:tc>
        <w:tc>
          <w:tcPr>
            <w:tcW w:w="770" w:type="dxa"/>
          </w:tcPr>
          <w:p>
            <w:pPr>
              <w:spacing w:line="300" w:lineRule="exact"/>
              <w:rPr>
                <w:rFonts w:hint="eastAsia" w:ascii="宋体" w:hAnsi="宋体"/>
                <w:kern w:val="0"/>
                <w:szCs w:val="21"/>
              </w:rPr>
            </w:pPr>
          </w:p>
        </w:tc>
        <w:tc>
          <w:tcPr>
            <w:tcW w:w="0" w:type="auto"/>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38" w:type="dxa"/>
            <w:vMerge w:val="continue"/>
          </w:tcPr>
          <w:p>
            <w:pPr>
              <w:rPr>
                <w:b/>
              </w:rPr>
            </w:pPr>
          </w:p>
        </w:tc>
        <w:tc>
          <w:tcPr>
            <w:tcW w:w="4877" w:type="dxa"/>
          </w:tcPr>
          <w:p>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1123" w:type="dxa"/>
          </w:tcPr>
          <w:p>
            <w:pPr>
              <w:spacing w:line="300" w:lineRule="exact"/>
              <w:rPr>
                <w:rFonts w:hint="eastAsia" w:ascii="宋体" w:hAnsi="宋体"/>
                <w:kern w:val="0"/>
                <w:szCs w:val="21"/>
              </w:rPr>
            </w:pPr>
          </w:p>
        </w:tc>
        <w:tc>
          <w:tcPr>
            <w:tcW w:w="770" w:type="dxa"/>
          </w:tcPr>
          <w:p>
            <w:pPr>
              <w:spacing w:line="300" w:lineRule="exact"/>
              <w:rPr>
                <w:rFonts w:hint="eastAsia" w:ascii="宋体" w:hAnsi="宋体"/>
                <w:kern w:val="0"/>
                <w:szCs w:val="21"/>
              </w:rPr>
            </w:pPr>
          </w:p>
        </w:tc>
        <w:tc>
          <w:tcPr>
            <w:tcW w:w="0" w:type="auto"/>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pPr>
              <w:jc w:val="center"/>
              <w:rPr>
                <w:bCs/>
              </w:rPr>
            </w:pPr>
          </w:p>
        </w:tc>
        <w:tc>
          <w:tcPr>
            <w:tcW w:w="738" w:type="dxa"/>
            <w:vMerge w:val="continue"/>
          </w:tcPr>
          <w:p>
            <w:pPr>
              <w:rPr>
                <w:b/>
              </w:rPr>
            </w:pPr>
          </w:p>
        </w:tc>
        <w:tc>
          <w:tcPr>
            <w:tcW w:w="4877" w:type="dxa"/>
          </w:tcPr>
          <w:p>
            <w:pPr>
              <w:rPr>
                <w:b/>
              </w:rPr>
            </w:pPr>
            <w:r>
              <w:rPr>
                <w:rFonts w:hint="eastAsia" w:ascii="宋体" w:hAnsi="宋体"/>
                <w:kern w:val="0"/>
                <w:szCs w:val="21"/>
              </w:rPr>
              <w:t>1.4设备制造商维修的货物经采购人验收合格，且设备制造商提供维修专用发票后，采购人支付维修费用。</w:t>
            </w:r>
          </w:p>
        </w:tc>
        <w:tc>
          <w:tcPr>
            <w:tcW w:w="1123" w:type="dxa"/>
          </w:tcPr>
          <w:p>
            <w:pPr>
              <w:rPr>
                <w:rFonts w:hint="eastAsia" w:ascii="宋体" w:hAnsi="宋体"/>
                <w:kern w:val="0"/>
                <w:szCs w:val="21"/>
              </w:rPr>
            </w:pPr>
          </w:p>
        </w:tc>
        <w:tc>
          <w:tcPr>
            <w:tcW w:w="770" w:type="dxa"/>
          </w:tcPr>
          <w:p>
            <w:pPr>
              <w:rPr>
                <w:rFonts w:hint="eastAsia" w:ascii="宋体" w:hAnsi="宋体"/>
                <w:kern w:val="0"/>
                <w:szCs w:val="21"/>
              </w:rPr>
            </w:pPr>
          </w:p>
        </w:tc>
        <w:tc>
          <w:tcPr>
            <w:tcW w:w="0" w:type="auto"/>
          </w:tcPr>
          <w:p>
            <w:pP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38" w:type="dxa"/>
            <w:vMerge w:val="continue"/>
          </w:tcPr>
          <w:p>
            <w:pPr>
              <w:rPr>
                <w:b/>
              </w:rPr>
            </w:pPr>
          </w:p>
        </w:tc>
        <w:tc>
          <w:tcPr>
            <w:tcW w:w="4877"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1123" w:type="dxa"/>
          </w:tcPr>
          <w:p>
            <w:pPr>
              <w:rPr>
                <w:rFonts w:hint="eastAsia" w:ascii="宋体" w:hAnsi="宋体"/>
                <w:kern w:val="0"/>
                <w:szCs w:val="21"/>
              </w:rPr>
            </w:pPr>
          </w:p>
        </w:tc>
        <w:tc>
          <w:tcPr>
            <w:tcW w:w="770" w:type="dxa"/>
          </w:tcPr>
          <w:p>
            <w:pPr>
              <w:rPr>
                <w:rFonts w:hint="eastAsia" w:ascii="宋体" w:hAnsi="宋体"/>
                <w:kern w:val="0"/>
                <w:szCs w:val="21"/>
              </w:rPr>
            </w:pPr>
          </w:p>
        </w:tc>
        <w:tc>
          <w:tcPr>
            <w:tcW w:w="0" w:type="auto"/>
          </w:tcPr>
          <w:p>
            <w:pP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21" w:type="dxa"/>
            <w:gridSpan w:val="6"/>
          </w:tcPr>
          <w:p>
            <w:pPr>
              <w:rPr>
                <w:rFonts w:hint="eastAsia"/>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restart"/>
            <w:vAlign w:val="center"/>
          </w:tcPr>
          <w:p>
            <w:pPr>
              <w:jc w:val="center"/>
              <w:rPr>
                <w:bCs/>
              </w:rPr>
            </w:pPr>
            <w:r>
              <w:rPr>
                <w:rFonts w:hint="eastAsia"/>
                <w:bCs/>
              </w:rPr>
              <w:t>1</w:t>
            </w:r>
          </w:p>
        </w:tc>
        <w:tc>
          <w:tcPr>
            <w:tcW w:w="738" w:type="dxa"/>
            <w:vMerge w:val="restart"/>
            <w:vAlign w:val="center"/>
          </w:tcPr>
          <w:p>
            <w:r>
              <w:rPr>
                <w:rFonts w:hint="eastAsia"/>
              </w:rPr>
              <w:t>关于交货</w:t>
            </w:r>
          </w:p>
        </w:tc>
        <w:tc>
          <w:tcPr>
            <w:tcW w:w="4877" w:type="dxa"/>
          </w:tcPr>
          <w:p>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1123" w:type="dxa"/>
          </w:tcPr>
          <w:p>
            <w:pPr>
              <w:rPr>
                <w:rFonts w:hint="eastAsia"/>
                <w:bCs/>
                <w:szCs w:val="21"/>
              </w:rPr>
            </w:pPr>
          </w:p>
        </w:tc>
        <w:tc>
          <w:tcPr>
            <w:tcW w:w="77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0" w:type="auto"/>
            <w:vMerge w:val="continue"/>
            <w:vAlign w:val="center"/>
          </w:tcPr>
          <w:p>
            <w:pPr>
              <w:jc w:val="center"/>
              <w:rPr>
                <w:bCs/>
              </w:rPr>
            </w:pPr>
          </w:p>
        </w:tc>
        <w:tc>
          <w:tcPr>
            <w:tcW w:w="738" w:type="dxa"/>
            <w:vMerge w:val="continue"/>
            <w:vAlign w:val="center"/>
          </w:tcPr>
          <w:p>
            <w:pPr>
              <w:jc w:val="center"/>
            </w:pPr>
          </w:p>
        </w:tc>
        <w:tc>
          <w:tcPr>
            <w:tcW w:w="4877" w:type="dxa"/>
          </w:tcPr>
          <w:p>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c>
          <w:tcPr>
            <w:tcW w:w="1123" w:type="dxa"/>
          </w:tcPr>
          <w:p>
            <w:pPr>
              <w:rPr>
                <w:rFonts w:hint="eastAsia"/>
                <w:bCs/>
                <w:szCs w:val="21"/>
              </w:rPr>
            </w:pPr>
          </w:p>
        </w:tc>
        <w:tc>
          <w:tcPr>
            <w:tcW w:w="77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0" w:type="auto"/>
            <w:vMerge w:val="continue"/>
            <w:vAlign w:val="center"/>
          </w:tcPr>
          <w:p>
            <w:pPr>
              <w:jc w:val="center"/>
              <w:rPr>
                <w:bCs/>
              </w:rPr>
            </w:pPr>
            <w:r>
              <w:rPr>
                <w:rFonts w:hint="eastAsia"/>
                <w:bCs/>
              </w:rPr>
              <w:t>+</w:t>
            </w:r>
          </w:p>
        </w:tc>
        <w:tc>
          <w:tcPr>
            <w:tcW w:w="738" w:type="dxa"/>
            <w:vMerge w:val="continue"/>
            <w:vAlign w:val="center"/>
          </w:tcPr>
          <w:p>
            <w:pPr>
              <w:jc w:val="center"/>
            </w:pPr>
          </w:p>
        </w:tc>
        <w:tc>
          <w:tcPr>
            <w:tcW w:w="4877" w:type="dxa"/>
          </w:tcPr>
          <w:p>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c>
          <w:tcPr>
            <w:tcW w:w="1123" w:type="dxa"/>
          </w:tcPr>
          <w:p>
            <w:pPr>
              <w:rPr>
                <w:rFonts w:hint="eastAsia"/>
                <w:bCs/>
                <w:szCs w:val="21"/>
              </w:rPr>
            </w:pPr>
          </w:p>
        </w:tc>
        <w:tc>
          <w:tcPr>
            <w:tcW w:w="77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Cs/>
              </w:rPr>
            </w:pPr>
            <w:r>
              <w:rPr>
                <w:rFonts w:hint="eastAsia"/>
                <w:bCs/>
              </w:rPr>
              <w:t>2</w:t>
            </w:r>
          </w:p>
        </w:tc>
        <w:tc>
          <w:tcPr>
            <w:tcW w:w="738" w:type="dxa"/>
            <w:vMerge w:val="restart"/>
            <w:vAlign w:val="center"/>
          </w:tcPr>
          <w:p>
            <w:r>
              <w:rPr>
                <w:rFonts w:hint="eastAsia"/>
              </w:rPr>
              <w:t>运输、安装调试及验收</w:t>
            </w:r>
          </w:p>
        </w:tc>
        <w:tc>
          <w:tcPr>
            <w:tcW w:w="4877" w:type="dxa"/>
          </w:tcPr>
          <w:p>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c>
          <w:tcPr>
            <w:tcW w:w="1123" w:type="dxa"/>
          </w:tcPr>
          <w:p>
            <w:pPr>
              <w:spacing w:line="340" w:lineRule="exact"/>
              <w:rPr>
                <w:rFonts w:hint="eastAsia"/>
                <w:bCs/>
                <w:szCs w:val="21"/>
              </w:rPr>
            </w:pPr>
          </w:p>
        </w:tc>
        <w:tc>
          <w:tcPr>
            <w:tcW w:w="770" w:type="dxa"/>
          </w:tcPr>
          <w:p>
            <w:pPr>
              <w:spacing w:line="340" w:lineRule="exact"/>
              <w:rPr>
                <w:rFonts w:hint="eastAsia"/>
                <w:bCs/>
                <w:szCs w:val="21"/>
              </w:rPr>
            </w:pPr>
          </w:p>
        </w:tc>
        <w:tc>
          <w:tcPr>
            <w:tcW w:w="0" w:type="auto"/>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
              </w:rPr>
            </w:pPr>
          </w:p>
        </w:tc>
        <w:tc>
          <w:tcPr>
            <w:tcW w:w="738" w:type="dxa"/>
            <w:vMerge w:val="continue"/>
          </w:tcPr>
          <w:p>
            <w:pPr>
              <w:rPr>
                <w:b/>
              </w:rPr>
            </w:pPr>
          </w:p>
        </w:tc>
        <w:tc>
          <w:tcPr>
            <w:tcW w:w="4877" w:type="dxa"/>
          </w:tcPr>
          <w:p>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c>
          <w:tcPr>
            <w:tcW w:w="1123" w:type="dxa"/>
          </w:tcPr>
          <w:p>
            <w:pPr>
              <w:spacing w:line="340" w:lineRule="exact"/>
              <w:rPr>
                <w:rFonts w:hint="eastAsia"/>
                <w:bCs/>
                <w:szCs w:val="21"/>
              </w:rPr>
            </w:pPr>
          </w:p>
        </w:tc>
        <w:tc>
          <w:tcPr>
            <w:tcW w:w="770" w:type="dxa"/>
          </w:tcPr>
          <w:p>
            <w:pPr>
              <w:spacing w:line="340" w:lineRule="exact"/>
              <w:rPr>
                <w:rFonts w:hint="eastAsia"/>
                <w:bCs/>
                <w:szCs w:val="21"/>
              </w:rPr>
            </w:pPr>
          </w:p>
        </w:tc>
        <w:tc>
          <w:tcPr>
            <w:tcW w:w="0" w:type="auto"/>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
              </w:rPr>
            </w:pPr>
          </w:p>
        </w:tc>
        <w:tc>
          <w:tcPr>
            <w:tcW w:w="738" w:type="dxa"/>
            <w:vMerge w:val="continue"/>
          </w:tcPr>
          <w:p>
            <w:pPr>
              <w:rPr>
                <w:b/>
              </w:rPr>
            </w:pPr>
          </w:p>
        </w:tc>
        <w:tc>
          <w:tcPr>
            <w:tcW w:w="4877" w:type="dxa"/>
          </w:tcPr>
          <w:p>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c>
          <w:tcPr>
            <w:tcW w:w="1123" w:type="dxa"/>
          </w:tcPr>
          <w:p>
            <w:pPr>
              <w:spacing w:line="340" w:lineRule="exact"/>
              <w:rPr>
                <w:rFonts w:hint="eastAsia"/>
                <w:bCs/>
                <w:szCs w:val="21"/>
              </w:rPr>
            </w:pPr>
          </w:p>
        </w:tc>
        <w:tc>
          <w:tcPr>
            <w:tcW w:w="770" w:type="dxa"/>
          </w:tcPr>
          <w:p>
            <w:pPr>
              <w:spacing w:line="340" w:lineRule="exact"/>
              <w:rPr>
                <w:rFonts w:hint="eastAsia"/>
                <w:bCs/>
                <w:szCs w:val="21"/>
              </w:rPr>
            </w:pPr>
          </w:p>
        </w:tc>
        <w:tc>
          <w:tcPr>
            <w:tcW w:w="0" w:type="auto"/>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
              </w:rPr>
            </w:pPr>
          </w:p>
        </w:tc>
        <w:tc>
          <w:tcPr>
            <w:tcW w:w="738" w:type="dxa"/>
            <w:vMerge w:val="continue"/>
          </w:tcPr>
          <w:p>
            <w:pPr>
              <w:rPr>
                <w:b/>
              </w:rPr>
            </w:pPr>
          </w:p>
        </w:tc>
        <w:tc>
          <w:tcPr>
            <w:tcW w:w="4877" w:type="dxa"/>
          </w:tcPr>
          <w:p>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pPr>
              <w:rPr>
                <w:bCs/>
                <w:szCs w:val="21"/>
              </w:rPr>
            </w:pPr>
            <w:r>
              <w:rPr>
                <w:rFonts w:hint="eastAsia"/>
                <w:bCs/>
                <w:szCs w:val="21"/>
              </w:rPr>
              <w:t>（1）设备全新,外观无伤痕变形或明显修饰痕迹。</w:t>
            </w:r>
          </w:p>
          <w:p>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rPr>
                <w:bCs/>
                <w:szCs w:val="21"/>
              </w:rPr>
            </w:pPr>
            <w:r>
              <w:rPr>
                <w:rFonts w:hint="eastAsia"/>
                <w:bCs/>
                <w:szCs w:val="21"/>
              </w:rPr>
              <w:t>（3）技术文件资料、备件等已按规定数量移交完毕。</w:t>
            </w:r>
          </w:p>
          <w:p>
            <w:pPr>
              <w:rPr>
                <w:bCs/>
                <w:szCs w:val="21"/>
              </w:rPr>
            </w:pPr>
            <w:r>
              <w:rPr>
                <w:rFonts w:hint="eastAsia"/>
                <w:bCs/>
                <w:szCs w:val="21"/>
              </w:rPr>
              <w:t>（4）按照招标书要求及投标文件提供的技术要求验收必须合格。</w:t>
            </w:r>
          </w:p>
          <w:p>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pPr>
              <w:spacing w:line="340" w:lineRule="exact"/>
              <w:rPr>
                <w:bCs/>
                <w:szCs w:val="21"/>
              </w:rPr>
            </w:pPr>
            <w:r>
              <w:rPr>
                <w:rFonts w:hint="eastAsia"/>
                <w:bCs/>
                <w:szCs w:val="21"/>
              </w:rPr>
              <w:t>（6）货物具备产品合格证。</w:t>
            </w:r>
          </w:p>
          <w:p>
            <w:pPr>
              <w:spacing w:line="340" w:lineRule="exact"/>
              <w:rPr>
                <w:bCs/>
                <w:szCs w:val="21"/>
              </w:rPr>
            </w:pPr>
            <w:r>
              <w:rPr>
                <w:rFonts w:hint="eastAsia"/>
                <w:bCs/>
                <w:szCs w:val="21"/>
              </w:rPr>
              <w:t>（7）在货物安装调试合格后，所有技术指标达到技术规范书要求，经验收合格后，双方共同签署验收报告。</w:t>
            </w:r>
          </w:p>
        </w:tc>
        <w:tc>
          <w:tcPr>
            <w:tcW w:w="1123" w:type="dxa"/>
          </w:tcPr>
          <w:p>
            <w:pPr>
              <w:spacing w:line="340" w:lineRule="exact"/>
              <w:rPr>
                <w:rFonts w:hint="eastAsia"/>
                <w:bCs/>
                <w:szCs w:val="21"/>
              </w:rPr>
            </w:pPr>
          </w:p>
        </w:tc>
        <w:tc>
          <w:tcPr>
            <w:tcW w:w="770" w:type="dxa"/>
          </w:tcPr>
          <w:p>
            <w:pPr>
              <w:spacing w:line="340" w:lineRule="exact"/>
              <w:rPr>
                <w:rFonts w:hint="eastAsia"/>
                <w:bCs/>
                <w:szCs w:val="21"/>
              </w:rPr>
            </w:pPr>
          </w:p>
        </w:tc>
        <w:tc>
          <w:tcPr>
            <w:tcW w:w="0" w:type="auto"/>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Cs/>
              </w:rPr>
            </w:pPr>
            <w:r>
              <w:rPr>
                <w:rFonts w:hint="eastAsia"/>
                <w:bCs/>
              </w:rPr>
              <w:t>3</w:t>
            </w:r>
          </w:p>
        </w:tc>
        <w:tc>
          <w:tcPr>
            <w:tcW w:w="738" w:type="dxa"/>
            <w:vMerge w:val="restart"/>
            <w:vAlign w:val="center"/>
          </w:tcPr>
          <w:p>
            <w:pPr>
              <w:jc w:val="center"/>
            </w:pPr>
            <w:r>
              <w:rPr>
                <w:rFonts w:hint="eastAsia"/>
              </w:rPr>
              <w:t>关于违约</w:t>
            </w:r>
          </w:p>
        </w:tc>
        <w:tc>
          <w:tcPr>
            <w:tcW w:w="4877" w:type="dxa"/>
          </w:tcPr>
          <w:p>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1123" w:type="dxa"/>
          </w:tcPr>
          <w:p>
            <w:pPr>
              <w:rPr>
                <w:rFonts w:hint="eastAsia"/>
                <w:b/>
              </w:rPr>
            </w:pPr>
          </w:p>
        </w:tc>
        <w:tc>
          <w:tcPr>
            <w:tcW w:w="770" w:type="dxa"/>
          </w:tcPr>
          <w:p>
            <w:pPr>
              <w:rPr>
                <w:rFonts w:hint="eastAsia"/>
                <w:b/>
              </w:rPr>
            </w:pPr>
          </w:p>
        </w:tc>
        <w:tc>
          <w:tcPr>
            <w:tcW w:w="0" w:type="auto"/>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38" w:type="dxa"/>
            <w:vMerge w:val="continue"/>
            <w:vAlign w:val="center"/>
          </w:tcPr>
          <w:p>
            <w:pPr>
              <w:jc w:val="center"/>
            </w:pPr>
          </w:p>
        </w:tc>
        <w:tc>
          <w:tcPr>
            <w:tcW w:w="4877" w:type="dxa"/>
          </w:tcPr>
          <w:p>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1123" w:type="dxa"/>
          </w:tcPr>
          <w:p>
            <w:pPr>
              <w:rPr>
                <w:rFonts w:hint="eastAsia"/>
                <w:b/>
              </w:rPr>
            </w:pPr>
          </w:p>
        </w:tc>
        <w:tc>
          <w:tcPr>
            <w:tcW w:w="770" w:type="dxa"/>
          </w:tcPr>
          <w:p>
            <w:pPr>
              <w:rPr>
                <w:rFonts w:hint="eastAsia"/>
                <w:b/>
              </w:rPr>
            </w:pPr>
          </w:p>
        </w:tc>
        <w:tc>
          <w:tcPr>
            <w:tcW w:w="0" w:type="auto"/>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38" w:type="dxa"/>
            <w:vMerge w:val="continue"/>
            <w:vAlign w:val="center"/>
          </w:tcPr>
          <w:p>
            <w:pPr>
              <w:jc w:val="center"/>
            </w:pPr>
          </w:p>
        </w:tc>
        <w:tc>
          <w:tcPr>
            <w:tcW w:w="4877" w:type="dxa"/>
          </w:tcPr>
          <w:p>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1123" w:type="dxa"/>
          </w:tcPr>
          <w:p>
            <w:pPr>
              <w:rPr>
                <w:rFonts w:hint="eastAsia"/>
                <w:bCs/>
              </w:rPr>
            </w:pPr>
          </w:p>
        </w:tc>
        <w:tc>
          <w:tcPr>
            <w:tcW w:w="77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38" w:type="dxa"/>
            <w:vMerge w:val="continue"/>
            <w:vAlign w:val="center"/>
          </w:tcPr>
          <w:p>
            <w:pPr>
              <w:jc w:val="center"/>
            </w:pPr>
          </w:p>
        </w:tc>
        <w:tc>
          <w:tcPr>
            <w:tcW w:w="4877" w:type="dxa"/>
          </w:tcPr>
          <w:p>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c>
          <w:tcPr>
            <w:tcW w:w="1123" w:type="dxa"/>
          </w:tcPr>
          <w:p>
            <w:pPr>
              <w:rPr>
                <w:rFonts w:hint="eastAsia"/>
                <w:bCs/>
              </w:rPr>
            </w:pPr>
          </w:p>
        </w:tc>
        <w:tc>
          <w:tcPr>
            <w:tcW w:w="77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38" w:type="dxa"/>
            <w:vMerge w:val="continue"/>
            <w:vAlign w:val="center"/>
          </w:tcPr>
          <w:p>
            <w:pPr>
              <w:jc w:val="center"/>
            </w:pPr>
          </w:p>
        </w:tc>
        <w:tc>
          <w:tcPr>
            <w:tcW w:w="4877" w:type="dxa"/>
          </w:tcPr>
          <w:p>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c>
          <w:tcPr>
            <w:tcW w:w="1123" w:type="dxa"/>
          </w:tcPr>
          <w:p>
            <w:pPr>
              <w:rPr>
                <w:rFonts w:hint="eastAsia" w:ascii="宋体" w:hAnsi="宋体"/>
                <w:bCs/>
                <w:kern w:val="0"/>
                <w:szCs w:val="21"/>
              </w:rPr>
            </w:pPr>
          </w:p>
        </w:tc>
        <w:tc>
          <w:tcPr>
            <w:tcW w:w="770" w:type="dxa"/>
          </w:tcPr>
          <w:p>
            <w:pPr>
              <w:rPr>
                <w:rFonts w:hint="eastAsia" w:ascii="宋体" w:hAnsi="宋体"/>
                <w:bCs/>
                <w:kern w:val="0"/>
                <w:szCs w:val="21"/>
              </w:rPr>
            </w:pPr>
          </w:p>
        </w:tc>
        <w:tc>
          <w:tcPr>
            <w:tcW w:w="0" w:type="auto"/>
          </w:tcPr>
          <w:p>
            <w:pPr>
              <w:rPr>
                <w:rFonts w:hint="eastAsia"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38" w:type="dxa"/>
            <w:vMerge w:val="continue"/>
            <w:vAlign w:val="center"/>
          </w:tcPr>
          <w:p>
            <w:pPr>
              <w:jc w:val="center"/>
            </w:pPr>
          </w:p>
        </w:tc>
        <w:tc>
          <w:tcPr>
            <w:tcW w:w="4877" w:type="dxa"/>
          </w:tcPr>
          <w:p>
            <w:pPr>
              <w:rPr>
                <w:bCs/>
              </w:rPr>
            </w:pPr>
            <w:r>
              <w:rPr>
                <w:rFonts w:hint="eastAsia"/>
                <w:bCs/>
              </w:rPr>
              <w:t>3.6中标人逾期交货的，将被没收履约保证金并按主管部门相关规定处理。</w:t>
            </w:r>
          </w:p>
        </w:tc>
        <w:tc>
          <w:tcPr>
            <w:tcW w:w="1123" w:type="dxa"/>
          </w:tcPr>
          <w:p>
            <w:pPr>
              <w:rPr>
                <w:rFonts w:hint="eastAsia"/>
                <w:bCs/>
              </w:rPr>
            </w:pPr>
          </w:p>
        </w:tc>
        <w:tc>
          <w:tcPr>
            <w:tcW w:w="77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38" w:type="dxa"/>
            <w:vMerge w:val="continue"/>
            <w:vAlign w:val="center"/>
          </w:tcPr>
          <w:p>
            <w:pPr>
              <w:jc w:val="center"/>
            </w:pPr>
          </w:p>
        </w:tc>
        <w:tc>
          <w:tcPr>
            <w:tcW w:w="4877" w:type="dxa"/>
          </w:tcPr>
          <w:p>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1123" w:type="dxa"/>
          </w:tcPr>
          <w:p>
            <w:pPr>
              <w:rPr>
                <w:rFonts w:hint="eastAsia"/>
                <w:bCs/>
              </w:rPr>
            </w:pPr>
          </w:p>
        </w:tc>
        <w:tc>
          <w:tcPr>
            <w:tcW w:w="77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Align w:val="center"/>
          </w:tcPr>
          <w:p>
            <w:pPr>
              <w:jc w:val="center"/>
              <w:rPr>
                <w:bCs/>
              </w:rPr>
            </w:pPr>
            <w:r>
              <w:rPr>
                <w:rFonts w:hint="eastAsia"/>
                <w:bCs/>
              </w:rPr>
              <w:t>4</w:t>
            </w:r>
          </w:p>
        </w:tc>
        <w:tc>
          <w:tcPr>
            <w:tcW w:w="738" w:type="dxa"/>
            <w:vAlign w:val="center"/>
          </w:tcPr>
          <w:p>
            <w:pPr>
              <w:jc w:val="center"/>
            </w:pPr>
            <w:r>
              <w:rPr>
                <w:rFonts w:hint="eastAsia"/>
              </w:rPr>
              <w:t>关于付款</w:t>
            </w:r>
          </w:p>
        </w:tc>
        <w:tc>
          <w:tcPr>
            <w:tcW w:w="4877" w:type="dxa"/>
          </w:tcPr>
          <w:p>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c>
          <w:tcPr>
            <w:tcW w:w="1123" w:type="dxa"/>
          </w:tcPr>
          <w:p>
            <w:pPr>
              <w:rPr>
                <w:rFonts w:hint="eastAsia"/>
                <w:bCs/>
                <w:szCs w:val="21"/>
              </w:rPr>
            </w:pPr>
          </w:p>
        </w:tc>
        <w:tc>
          <w:tcPr>
            <w:tcW w:w="77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Align w:val="center"/>
          </w:tcPr>
          <w:p>
            <w:pPr>
              <w:jc w:val="center"/>
              <w:rPr>
                <w:bCs/>
              </w:rPr>
            </w:pPr>
            <w:r>
              <w:rPr>
                <w:rFonts w:hint="eastAsia"/>
                <w:bCs/>
              </w:rPr>
              <w:t>5</w:t>
            </w:r>
          </w:p>
        </w:tc>
        <w:tc>
          <w:tcPr>
            <w:tcW w:w="738" w:type="dxa"/>
            <w:vAlign w:val="center"/>
          </w:tcPr>
          <w:p>
            <w:pPr>
              <w:jc w:val="center"/>
            </w:pPr>
            <w:r>
              <w:rPr>
                <w:rFonts w:hint="eastAsia"/>
              </w:rPr>
              <w:t>报价要求</w:t>
            </w:r>
          </w:p>
        </w:tc>
        <w:tc>
          <w:tcPr>
            <w:tcW w:w="4877" w:type="dxa"/>
          </w:tcPr>
          <w:p>
            <w:pPr>
              <w:ind w:firstLine="420" w:firstLineChars="200"/>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c>
          <w:tcPr>
            <w:tcW w:w="1123" w:type="dxa"/>
          </w:tcPr>
          <w:p>
            <w:pPr>
              <w:ind w:firstLine="420" w:firstLineChars="200"/>
              <w:rPr>
                <w:rFonts w:hint="eastAsia"/>
                <w:bCs/>
                <w:szCs w:val="21"/>
              </w:rPr>
            </w:pPr>
          </w:p>
        </w:tc>
        <w:tc>
          <w:tcPr>
            <w:tcW w:w="770" w:type="dxa"/>
          </w:tcPr>
          <w:p>
            <w:pPr>
              <w:ind w:firstLine="420" w:firstLineChars="200"/>
              <w:rPr>
                <w:rFonts w:hint="eastAsia"/>
                <w:bCs/>
                <w:szCs w:val="21"/>
              </w:rPr>
            </w:pPr>
          </w:p>
        </w:tc>
        <w:tc>
          <w:tcPr>
            <w:tcW w:w="0" w:type="auto"/>
          </w:tcPr>
          <w:p>
            <w:pPr>
              <w:ind w:firstLine="420" w:firstLineChars="200"/>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
                <w:color w:val="FF0000"/>
              </w:rPr>
            </w:pPr>
            <w:r>
              <w:rPr>
                <w:b/>
                <w:color w:val="FF0000"/>
              </w:rPr>
              <w:t>6</w:t>
            </w:r>
          </w:p>
        </w:tc>
        <w:tc>
          <w:tcPr>
            <w:tcW w:w="738" w:type="dxa"/>
            <w:vMerge w:val="restart"/>
            <w:vAlign w:val="center"/>
          </w:tcPr>
          <w:p>
            <w:pPr>
              <w:jc w:val="center"/>
              <w:rPr>
                <w:b/>
                <w:color w:val="FF0000"/>
              </w:rPr>
            </w:pPr>
            <w:r>
              <w:rPr>
                <w:rFonts w:hint="eastAsia"/>
                <w:b/>
                <w:color w:val="FF0000"/>
              </w:rPr>
              <w:t>项目（产品）要求</w:t>
            </w:r>
          </w:p>
        </w:tc>
        <w:tc>
          <w:tcPr>
            <w:tcW w:w="4877" w:type="dxa"/>
          </w:tcPr>
          <w:p>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c>
          <w:tcPr>
            <w:tcW w:w="1123" w:type="dxa"/>
          </w:tcPr>
          <w:p>
            <w:pPr>
              <w:rPr>
                <w:rFonts w:hint="eastAsia"/>
                <w:b/>
                <w:color w:val="FF0000"/>
              </w:rPr>
            </w:pPr>
          </w:p>
        </w:tc>
        <w:tc>
          <w:tcPr>
            <w:tcW w:w="770" w:type="dxa"/>
          </w:tcPr>
          <w:p>
            <w:pPr>
              <w:rPr>
                <w:rFonts w:hint="eastAsia"/>
                <w:b/>
                <w:color w:val="FF0000"/>
              </w:rPr>
            </w:pPr>
          </w:p>
        </w:tc>
        <w:tc>
          <w:tcPr>
            <w:tcW w:w="0" w:type="auto"/>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rPr>
                <w:b/>
                <w:color w:val="FF0000"/>
              </w:rPr>
            </w:pPr>
          </w:p>
        </w:tc>
        <w:tc>
          <w:tcPr>
            <w:tcW w:w="738" w:type="dxa"/>
            <w:vMerge w:val="continue"/>
          </w:tcPr>
          <w:p>
            <w:pPr>
              <w:rPr>
                <w:b/>
                <w:color w:val="FF0000"/>
              </w:rPr>
            </w:pPr>
          </w:p>
        </w:tc>
        <w:tc>
          <w:tcPr>
            <w:tcW w:w="4877" w:type="dxa"/>
          </w:tcPr>
          <w:p>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c>
          <w:tcPr>
            <w:tcW w:w="1123" w:type="dxa"/>
          </w:tcPr>
          <w:p>
            <w:pPr>
              <w:rPr>
                <w:rFonts w:hint="eastAsia"/>
                <w:b/>
                <w:color w:val="FF0000"/>
              </w:rPr>
            </w:pPr>
          </w:p>
        </w:tc>
        <w:tc>
          <w:tcPr>
            <w:tcW w:w="770" w:type="dxa"/>
          </w:tcPr>
          <w:p>
            <w:pPr>
              <w:rPr>
                <w:rFonts w:hint="eastAsia"/>
                <w:b/>
                <w:color w:val="FF0000"/>
              </w:rPr>
            </w:pPr>
          </w:p>
        </w:tc>
        <w:tc>
          <w:tcPr>
            <w:tcW w:w="0" w:type="auto"/>
          </w:tcPr>
          <w:p>
            <w:pPr>
              <w:rPr>
                <w:rFonts w:hint="eastAsia"/>
                <w:b/>
                <w:color w:val="FF0000"/>
              </w:rPr>
            </w:pPr>
          </w:p>
        </w:tc>
      </w:tr>
    </w:tbl>
    <w:p>
      <w:pPr>
        <w:ind w:firstLine="482" w:firstLineChars="200"/>
        <w:rPr>
          <w:b/>
          <w:sz w:val="24"/>
        </w:rPr>
      </w:pPr>
      <w:r>
        <w:rPr>
          <w:rFonts w:hint="eastAsia"/>
          <w:b/>
          <w:sz w:val="24"/>
        </w:rPr>
        <w:t>《商务要求偏离表》编制指引：</w:t>
      </w:r>
    </w:p>
    <w:p>
      <w:pPr>
        <w:ind w:firstLine="482" w:firstLineChars="200"/>
        <w:rPr>
          <w:b/>
          <w:sz w:val="24"/>
        </w:rPr>
      </w:pPr>
      <w:r>
        <w:rPr>
          <w:rFonts w:hint="eastAsia"/>
          <w:b/>
          <w:sz w:val="24"/>
        </w:rPr>
        <w:t>1、商务要求偏离表的序号、商务需求项、招标商务要求等栏目对应“招标项目需求”中的“商务需求”章节相关内容。</w:t>
      </w:r>
    </w:p>
    <w:p>
      <w:pPr>
        <w:ind w:firstLine="482" w:firstLineChars="200"/>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pPr>
        <w:ind w:firstLine="482"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pPr>
        <w:rPr>
          <w:sz w:val="24"/>
        </w:rPr>
      </w:pPr>
      <w:r>
        <w:rPr>
          <w:rFonts w:hint="eastAsia"/>
          <w:b/>
          <w:sz w:val="24"/>
        </w:rPr>
        <w:t>“投标商务响应”对比“招标商务要求”存在响应不全（包括未响应整项招标商务要求或者未响应一项招标商务要求的部分内容），均视为“负偏离”。</w:t>
      </w:r>
    </w:p>
    <w:p>
      <w:pPr>
        <w:rPr>
          <w:sz w:val="24"/>
        </w:rPr>
      </w:pPr>
    </w:p>
    <w:p>
      <w:pPr>
        <w:keepNext/>
        <w:keepLines/>
        <w:spacing w:before="260" w:after="260"/>
        <w:jc w:val="center"/>
        <w:outlineLvl w:val="2"/>
        <w:rPr>
          <w:rFonts w:ascii="黑体" w:hAnsi="宋体" w:eastAsia="黑体"/>
          <w:bCs/>
          <w:sz w:val="24"/>
        </w:rPr>
      </w:pPr>
      <w:bookmarkStart w:id="68" w:name="_Hlk72260576"/>
      <w:r>
        <w:rPr>
          <w:rFonts w:hint="eastAsia" w:ascii="黑体" w:hAnsi="宋体" w:eastAsia="黑体"/>
          <w:bCs/>
          <w:sz w:val="24"/>
        </w:rPr>
        <w:t>六、项目实施方案</w:t>
      </w:r>
    </w:p>
    <w:p>
      <w:pPr>
        <w:rPr>
          <w:sz w:val="24"/>
        </w:rPr>
      </w:pPr>
      <w:r>
        <w:rPr>
          <w:rFonts w:hint="eastAsia"/>
          <w:sz w:val="24"/>
        </w:rPr>
        <w:t>主要内容应包括</w:t>
      </w:r>
      <w:r>
        <w:rPr>
          <w:rFonts w:hint="eastAsia"/>
          <w:color w:val="FF0000"/>
          <w:sz w:val="24"/>
        </w:rPr>
        <w:t>(根据项目实际情况适当调整内容)</w:t>
      </w:r>
      <w:r>
        <w:rPr>
          <w:rFonts w:hint="eastAsia"/>
          <w:sz w:val="24"/>
        </w:rPr>
        <w:t>：</w:t>
      </w:r>
    </w:p>
    <w:p>
      <w:pPr>
        <w:rPr>
          <w:sz w:val="24"/>
        </w:rPr>
      </w:pPr>
    </w:p>
    <w:p>
      <w:pPr>
        <w:rPr>
          <w:sz w:val="24"/>
        </w:rPr>
      </w:pPr>
      <w:r>
        <w:rPr>
          <w:rFonts w:hint="eastAsia"/>
          <w:sz w:val="24"/>
        </w:rPr>
        <w:t>1、项目实施方案、维修维护方案</w:t>
      </w:r>
    </w:p>
    <w:p>
      <w:pPr>
        <w:rPr>
          <w:sz w:val="24"/>
        </w:rPr>
      </w:pPr>
      <w:r>
        <w:rPr>
          <w:sz w:val="24"/>
        </w:rPr>
        <w:t>2</w:t>
      </w:r>
      <w:r>
        <w:rPr>
          <w:rFonts w:hint="eastAsia"/>
          <w:sz w:val="24"/>
        </w:rPr>
        <w:t>、其他相关配套措施</w:t>
      </w:r>
    </w:p>
    <w:p>
      <w:pPr>
        <w:rPr>
          <w:sz w:val="24"/>
        </w:rPr>
      </w:pPr>
      <w:r>
        <w:rPr>
          <w:rFonts w:hint="eastAsia"/>
          <w:sz w:val="24"/>
        </w:rPr>
        <w:t>3、实施进度表</w:t>
      </w:r>
    </w:p>
    <w:p>
      <w:pPr>
        <w:rPr>
          <w:b/>
          <w:bCs/>
          <w:color w:val="FF0000"/>
          <w:sz w:val="24"/>
        </w:rPr>
      </w:pPr>
      <w:r>
        <w:rPr>
          <w:rFonts w:hint="eastAsia"/>
          <w:b/>
          <w:bCs/>
          <w:color w:val="FF0000"/>
          <w:sz w:val="24"/>
        </w:rPr>
        <w:t>（备注：该部分须与投标文件其他部分内容应当相呼应，不得前后矛盾。）</w:t>
      </w:r>
    </w:p>
    <w:p>
      <w:pPr>
        <w:rPr>
          <w:b/>
          <w:bCs/>
          <w:sz w:val="24"/>
        </w:rPr>
      </w:pPr>
    </w:p>
    <w:p>
      <w:pPr>
        <w:keepNext/>
        <w:keepLines/>
        <w:spacing w:before="260" w:after="260"/>
        <w:jc w:val="center"/>
        <w:outlineLvl w:val="2"/>
        <w:rPr>
          <w:rFonts w:ascii="黑体" w:hAnsi="宋体" w:eastAsia="黑体"/>
          <w:sz w:val="24"/>
          <w:szCs w:val="20"/>
        </w:rPr>
      </w:pPr>
      <w:r>
        <w:rPr>
          <w:rFonts w:hint="eastAsia" w:ascii="黑体" w:hAnsi="宋体" w:eastAsia="黑体"/>
          <w:sz w:val="24"/>
          <w:szCs w:val="20"/>
        </w:rPr>
        <w:t>七、</w:t>
      </w:r>
      <w:bookmarkStart w:id="69" w:name="_Hlk72062872"/>
      <w:r>
        <w:rPr>
          <w:rFonts w:hint="eastAsia" w:ascii="黑体" w:hAnsi="宋体" w:eastAsia="黑体"/>
          <w:sz w:val="24"/>
          <w:szCs w:val="20"/>
        </w:rPr>
        <w:t>投标人认为需要加以说明的其他内容</w:t>
      </w:r>
      <w:bookmarkEnd w:id="69"/>
    </w:p>
    <w:bookmarkEnd w:id="68"/>
    <w:p>
      <w:pPr>
        <w:outlineLvl w:val="3"/>
        <w:rPr>
          <w:b/>
          <w:sz w:val="22"/>
        </w:rPr>
      </w:pPr>
      <w:r>
        <w:rPr>
          <w:rFonts w:hint="eastAsia" w:ascii="黑体" w:hAnsi="宋体" w:eastAsia="黑体"/>
          <w:bCs/>
          <w:kern w:val="0"/>
          <w:sz w:val="24"/>
          <w:szCs w:val="32"/>
        </w:rPr>
        <w:t>（一）</w:t>
      </w:r>
      <w:r>
        <w:rPr>
          <w:rFonts w:hint="eastAsia"/>
          <w:b/>
          <w:sz w:val="22"/>
        </w:rPr>
        <w:t>投标人认为需提供的其他证明文件</w:t>
      </w:r>
    </w:p>
    <w:p/>
    <w:p/>
    <w:p/>
    <w:p>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第四章  合同条款及格式</w:t>
      </w:r>
    </w:p>
    <w:p>
      <w:pPr>
        <w:ind w:firstLine="411" w:firstLineChars="196"/>
      </w:pPr>
    </w:p>
    <w:p>
      <w:pPr>
        <w:jc w:val="center"/>
        <w:outlineLvl w:val="0"/>
      </w:pPr>
      <w:bookmarkStart w:id="70" w:name="_Hlk72574405"/>
      <w:bookmarkStart w:id="71" w:name="_Hlk72260917"/>
      <w:r>
        <w:rPr>
          <w:rFonts w:hint="eastAsia"/>
          <w:b/>
          <w:sz w:val="24"/>
        </w:rPr>
        <w:t>（仅供参考，具体以项目需求及采购结果为准）</w:t>
      </w:r>
      <w:bookmarkEnd w:id="70"/>
    </w:p>
    <w:p>
      <w:pPr>
        <w:rPr>
          <w:rFonts w:ascii="宋体" w:hAnsi="宋体"/>
          <w:b/>
          <w:bCs/>
          <w:szCs w:val="21"/>
        </w:rPr>
      </w:pPr>
      <w:r>
        <w:rPr>
          <w:rFonts w:hint="eastAsia" w:ascii="宋体" w:hAnsi="宋体"/>
          <w:b/>
          <w:bCs/>
          <w:szCs w:val="21"/>
        </w:rPr>
        <w:t>甲方：</w:t>
      </w:r>
    </w:p>
    <w:p>
      <w:pPr>
        <w:rPr>
          <w:rFonts w:ascii="宋体" w:hAnsi="宋体"/>
          <w:szCs w:val="21"/>
        </w:rPr>
      </w:pPr>
      <w:bookmarkStart w:id="72" w:name="_Hlk75014453"/>
      <w:r>
        <w:rPr>
          <w:rFonts w:hint="eastAsia" w:ascii="宋体" w:hAnsi="宋体"/>
          <w:szCs w:val="21"/>
        </w:rPr>
        <w:t>地址：</w:t>
      </w:r>
    </w:p>
    <w:p>
      <w:pPr>
        <w:rPr>
          <w:rFonts w:ascii="宋体" w:hAnsi="宋体"/>
          <w:szCs w:val="21"/>
        </w:rPr>
      </w:pPr>
      <w:r>
        <w:rPr>
          <w:rFonts w:hint="eastAsia" w:ascii="宋体" w:hAnsi="宋体"/>
          <w:szCs w:val="21"/>
        </w:rPr>
        <w:t>联系人：</w:t>
      </w:r>
    </w:p>
    <w:p>
      <w:pPr>
        <w:rPr>
          <w:rFonts w:ascii="宋体" w:hAnsi="宋体"/>
          <w:b/>
          <w:bCs/>
          <w:szCs w:val="21"/>
        </w:rPr>
      </w:pPr>
      <w:r>
        <w:rPr>
          <w:rFonts w:hint="eastAsia" w:ascii="宋体" w:hAnsi="宋体"/>
          <w:szCs w:val="21"/>
        </w:rPr>
        <w:t>联系电话：</w:t>
      </w:r>
      <w:bookmarkEnd w:id="72"/>
    </w:p>
    <w:p>
      <w:pPr>
        <w:rPr>
          <w:rFonts w:ascii="宋体" w:hAnsi="宋体"/>
          <w:b/>
          <w:bCs/>
          <w:szCs w:val="21"/>
        </w:rPr>
      </w:pPr>
    </w:p>
    <w:p>
      <w:pPr>
        <w:rPr>
          <w:rFonts w:ascii="宋体" w:hAnsi="宋体"/>
          <w:b/>
          <w:bCs/>
          <w:szCs w:val="21"/>
        </w:rPr>
      </w:pPr>
      <w:r>
        <w:rPr>
          <w:rFonts w:hint="eastAsia" w:ascii="宋体" w:hAnsi="宋体"/>
          <w:b/>
          <w:bCs/>
          <w:szCs w:val="21"/>
        </w:rPr>
        <w:t>乙方：</w:t>
      </w:r>
      <w:bookmarkEnd w:id="71"/>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p>
    <w:p>
      <w:pPr>
        <w:rPr>
          <w:rFonts w:ascii="宋体" w:hAnsi="宋体"/>
          <w:szCs w:val="21"/>
        </w:rPr>
      </w:pPr>
      <w:r>
        <w:rPr>
          <w:rFonts w:hint="eastAsia" w:ascii="宋体" w:hAnsi="宋体"/>
          <w:szCs w:val="21"/>
        </w:rPr>
        <w:t>联系电话：</w:t>
      </w:r>
    </w:p>
    <w:p>
      <w:pPr>
        <w:rPr>
          <w:rFonts w:ascii="宋体" w:hAnsi="宋体"/>
          <w:szCs w:val="21"/>
        </w:rPr>
      </w:pPr>
    </w:p>
    <w:p>
      <w:pPr>
        <w:spacing w:line="360" w:lineRule="auto"/>
        <w:ind w:firstLine="560"/>
        <w:jc w:val="left"/>
        <w:rPr>
          <w:szCs w:val="21"/>
        </w:rPr>
      </w:pPr>
      <w:bookmarkStart w:id="73" w:name="_Hlk72574434"/>
      <w:r>
        <w:rPr>
          <w:rFonts w:hint="eastAsia"/>
          <w:szCs w:val="21"/>
        </w:rPr>
        <w:t>根据深圳公共资源交易中心（深圳交易集团有限公司政府采购业务分公司）号项目结果，</w:t>
      </w:r>
      <w:r>
        <w:rPr>
          <w:rFonts w:hint="eastAsia" w:ascii="宋体" w:hAnsi="宋体"/>
          <w:szCs w:val="21"/>
        </w:rPr>
        <w:t>*</w:t>
      </w:r>
      <w:r>
        <w:rPr>
          <w:rFonts w:ascii="宋体" w:hAnsi="宋体"/>
          <w:szCs w:val="21"/>
        </w:rPr>
        <w:t>**</w:t>
      </w:r>
      <w:r>
        <w:rPr>
          <w:rFonts w:hint="eastAsia" w:ascii="宋体" w:hAnsi="宋体"/>
          <w:szCs w:val="21"/>
        </w:rPr>
        <w:t>单位为中标人</w:t>
      </w:r>
      <w:r>
        <w:rPr>
          <w:rFonts w:hint="eastAsia"/>
          <w:szCs w:val="21"/>
        </w:rPr>
        <w:t>。</w:t>
      </w:r>
      <w:bookmarkEnd w:id="73"/>
      <w:r>
        <w:rPr>
          <w:rFonts w:hint="eastAsia"/>
          <w:szCs w:val="21"/>
        </w:rPr>
        <w:t>按照《中华人民共和国民法典》（第三编 合同）和《深圳经济特区政府采购条例》，经深圳市（以下简称甲方）和单位（以下简称乙方）协商，达成以下合同条款：</w:t>
      </w:r>
    </w:p>
    <w:p>
      <w:pPr>
        <w:spacing w:line="360" w:lineRule="auto"/>
        <w:ind w:firstLine="560"/>
        <w:jc w:val="left"/>
        <w:outlineLvl w:val="0"/>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outlineLvl w:val="0"/>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numPr>
          <w:ilvl w:val="0"/>
          <w:numId w:val="10"/>
        </w:numPr>
        <w:spacing w:line="360" w:lineRule="auto"/>
        <w:ind w:firstLine="560"/>
        <w:jc w:val="left"/>
        <w:outlineLvl w:val="0"/>
        <w:rPr>
          <w:b/>
          <w:szCs w:val="21"/>
        </w:rPr>
      </w:pPr>
      <w:r>
        <w:rPr>
          <w:rFonts w:hint="eastAsia"/>
          <w:b/>
          <w:szCs w:val="21"/>
        </w:rPr>
        <w:t>履行期限</w:t>
      </w:r>
    </w:p>
    <w:p>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pPr>
        <w:numPr>
          <w:ilvl w:val="0"/>
          <w:numId w:val="10"/>
        </w:numPr>
        <w:spacing w:line="360" w:lineRule="auto"/>
        <w:ind w:firstLine="560"/>
        <w:jc w:val="left"/>
        <w:outlineLvl w:val="0"/>
        <w:rPr>
          <w:b/>
          <w:szCs w:val="21"/>
        </w:rPr>
      </w:pPr>
      <w:r>
        <w:rPr>
          <w:rFonts w:hint="eastAsia"/>
          <w:b/>
          <w:szCs w:val="21"/>
        </w:rPr>
        <w:t>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outlineLvl w:val="0"/>
        <w:rPr>
          <w:b/>
          <w:szCs w:val="21"/>
        </w:rPr>
      </w:pPr>
      <w:r>
        <w:rPr>
          <w:rFonts w:hint="eastAsia"/>
          <w:b/>
          <w:szCs w:val="21"/>
        </w:rPr>
        <w:t>第五条  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b/>
          <w:szCs w:val="21"/>
        </w:rPr>
      </w:pPr>
      <w:r>
        <w:rPr>
          <w:rFonts w:hint="eastAsia"/>
          <w:b/>
          <w:szCs w:val="21"/>
        </w:rPr>
        <w:t>第六条  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pPr>
        <w:spacing w:line="360" w:lineRule="auto"/>
        <w:ind w:firstLine="560"/>
        <w:jc w:val="left"/>
        <w:rPr>
          <w:rFonts w:ascii="宋体" w:hAnsi="宋体"/>
          <w:szCs w:val="21"/>
        </w:rPr>
      </w:pPr>
      <w:r>
        <w:rPr>
          <w:rFonts w:hint="eastAsia" w:ascii="宋体" w:hAnsi="宋体"/>
          <w:szCs w:val="21"/>
        </w:rPr>
        <w:t>5、货物的所有权和灭失的风险自乙方将货物交付给甲方时转移。</w:t>
      </w:r>
    </w:p>
    <w:p>
      <w:pPr>
        <w:spacing w:line="360" w:lineRule="auto"/>
        <w:ind w:firstLine="560"/>
        <w:jc w:val="left"/>
        <w:outlineLvl w:val="0"/>
        <w:rPr>
          <w:b/>
          <w:szCs w:val="21"/>
        </w:rPr>
      </w:pPr>
      <w:r>
        <w:rPr>
          <w:rFonts w:hint="eastAsia"/>
          <w:b/>
          <w:szCs w:val="21"/>
        </w:rPr>
        <w:t>第七条  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hAnsi="宋体"/>
          <w:szCs w:val="21"/>
        </w:rPr>
      </w:pPr>
      <w:r>
        <w:rPr>
          <w:rFonts w:hint="eastAsia" w:ascii="宋体" w:hAnsi="宋体"/>
          <w:szCs w:val="21"/>
        </w:rPr>
        <w:t>3、在甲方提出维修要求后，乙方应于  小时内响应，  小时维修到位，并在  小时内消除故障。消耗品和零配件供应及时，特殊情况下可提供备用机。</w:t>
      </w:r>
    </w:p>
    <w:p>
      <w:pPr>
        <w:spacing w:line="360" w:lineRule="auto"/>
        <w:ind w:firstLine="560"/>
        <w:jc w:val="left"/>
        <w:outlineLvl w:val="0"/>
        <w:rPr>
          <w:b/>
          <w:szCs w:val="21"/>
        </w:rPr>
      </w:pPr>
      <w:r>
        <w:rPr>
          <w:rFonts w:hint="eastAsia"/>
          <w:b/>
          <w:szCs w:val="21"/>
        </w:rPr>
        <w:t>第八条 保密条款</w:t>
      </w:r>
    </w:p>
    <w:p>
      <w:pPr>
        <w:spacing w:line="360" w:lineRule="auto"/>
        <w:ind w:firstLine="420" w:firstLineChars="200"/>
        <w:jc w:val="left"/>
        <w:outlineLvl w:val="0"/>
        <w:rPr>
          <w:bCs/>
          <w:szCs w:val="21"/>
        </w:rPr>
      </w:pPr>
      <w:r>
        <w:rPr>
          <w:bCs/>
          <w:szCs w:val="21"/>
        </w:rPr>
        <w:t>1</w:t>
      </w:r>
      <w:r>
        <w:rPr>
          <w:rFonts w:hint="eastAsia"/>
          <w:bCs/>
          <w:szCs w:val="21"/>
        </w:rPr>
        <w:t>、乙方对在本合同履行中获取或者知悉甲方提供的资料、信息负有保密义务。</w:t>
      </w:r>
    </w:p>
    <w:p>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pPr>
        <w:spacing w:line="360" w:lineRule="auto"/>
        <w:ind w:firstLine="560"/>
        <w:jc w:val="left"/>
        <w:outlineLvl w:val="0"/>
        <w:rPr>
          <w:b/>
          <w:szCs w:val="21"/>
        </w:rPr>
      </w:pPr>
      <w:r>
        <w:rPr>
          <w:rFonts w:hint="eastAsia"/>
          <w:b/>
          <w:szCs w:val="21"/>
        </w:rPr>
        <w:t>第九条  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numPr>
          <w:ilvl w:val="255"/>
          <w:numId w:val="0"/>
        </w:numPr>
        <w:spacing w:line="360" w:lineRule="auto"/>
        <w:ind w:firstLine="422" w:firstLineChars="200"/>
        <w:jc w:val="left"/>
        <w:outlineLvl w:val="0"/>
        <w:rPr>
          <w:b/>
          <w:szCs w:val="21"/>
        </w:rPr>
      </w:pPr>
      <w:r>
        <w:rPr>
          <w:rFonts w:hint="eastAsia"/>
          <w:b/>
          <w:szCs w:val="21"/>
        </w:rPr>
        <w:t>第十条  货款支付</w:t>
      </w:r>
    </w:p>
    <w:p>
      <w:pPr>
        <w:spacing w:line="360" w:lineRule="auto"/>
        <w:jc w:val="left"/>
        <w:outlineLvl w:val="0"/>
        <w:rPr>
          <w:b/>
          <w:szCs w:val="21"/>
          <w:u w:val="single"/>
        </w:rPr>
      </w:pPr>
      <w:r>
        <w:rPr>
          <w:rFonts w:hint="eastAsia"/>
          <w:b/>
          <w:szCs w:val="21"/>
          <w:u w:val="single"/>
        </w:rPr>
        <w:t>（详见商务要求）</w:t>
      </w:r>
    </w:p>
    <w:p>
      <w:pPr>
        <w:spacing w:line="360" w:lineRule="auto"/>
        <w:ind w:firstLine="560"/>
        <w:jc w:val="left"/>
        <w:rPr>
          <w:szCs w:val="21"/>
        </w:rPr>
      </w:pPr>
    </w:p>
    <w:p>
      <w:pPr>
        <w:spacing w:line="360" w:lineRule="auto"/>
        <w:ind w:firstLine="422" w:firstLineChars="200"/>
        <w:jc w:val="left"/>
        <w:outlineLvl w:val="0"/>
        <w:rPr>
          <w:b/>
          <w:szCs w:val="21"/>
        </w:rPr>
      </w:pPr>
      <w:r>
        <w:rPr>
          <w:rFonts w:hint="eastAsia"/>
          <w:b/>
          <w:szCs w:val="21"/>
        </w:rPr>
        <w:t>第十一条 违约责任</w:t>
      </w:r>
      <w:r>
        <w:rPr>
          <w:rFonts w:hint="eastAsia"/>
          <w:b/>
          <w:szCs w:val="21"/>
          <w:u w:val="single"/>
        </w:rPr>
        <w:t>（详见商务要求）</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w:t>
      </w:r>
      <w:bookmarkStart w:id="74" w:name="_Hlk75014743"/>
      <w:r>
        <w:rPr>
          <w:rFonts w:hint="eastAsia" w:ascii="宋体" w:hAnsi="宋体"/>
          <w:szCs w:val="21"/>
        </w:rPr>
        <w:t>乙方违反本合同约定的保密义务，甲方有权要求乙方按合同总额【】%支付违约金；造成不良影响或对甲方造成损失的，甲方有权要求乙方消除影响，承担赔偿责任，并有权解除合同。</w:t>
      </w:r>
      <w:bookmarkEnd w:id="74"/>
    </w:p>
    <w:p>
      <w:pPr>
        <w:spacing w:line="360" w:lineRule="auto"/>
        <w:ind w:firstLine="560"/>
        <w:jc w:val="left"/>
        <w:rPr>
          <w:rFonts w:ascii="宋体" w:hAnsi="宋体"/>
          <w:szCs w:val="21"/>
        </w:rPr>
      </w:pPr>
      <w:r>
        <w:rPr>
          <w:rFonts w:hint="eastAsia" w:ascii="宋体" w:hAnsi="宋体"/>
          <w:szCs w:val="21"/>
        </w:rPr>
        <w:t>7、</w:t>
      </w:r>
      <w:bookmarkStart w:id="75" w:name="_Hlk75015079"/>
      <w:r>
        <w:rPr>
          <w:rFonts w:hint="eastAsia" w:ascii="宋体" w:hAnsi="宋体"/>
          <w:szCs w:val="21"/>
        </w:rPr>
        <w:t>因乙方提供的产品受到侵权指控或者引发法律纠纷，影响甲方正常使用或者导致合同目的不能实现的，甲方有权要求乙方按合同总额【】%支付违约金，并有权解除合同。</w:t>
      </w:r>
      <w:bookmarkEnd w:id="75"/>
    </w:p>
    <w:p>
      <w:pPr>
        <w:spacing w:line="360" w:lineRule="auto"/>
        <w:ind w:firstLine="560"/>
        <w:jc w:val="left"/>
        <w:rPr>
          <w:rFonts w:ascii="宋体" w:hAnsi="宋体"/>
          <w:szCs w:val="21"/>
        </w:rPr>
      </w:pPr>
      <w:r>
        <w:rPr>
          <w:rFonts w:hint="eastAsia" w:ascii="宋体" w:hAnsi="宋体"/>
          <w:szCs w:val="21"/>
        </w:rPr>
        <w:t>8、乙方未履行本合同项下的其他义务或违反其在投标文件中的相关承诺的，应按合同总价款的【】%向甲方承担违约责任。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9、乙方在承担上述一项或多项违约责任后，仍应继续履行合同规定的义务（甲方解除合同的除外）。甲方未能及时追究乙方的任何一项违约责任并不表明甲方放弃追究乙方该项或其他违约责任。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outlineLvl w:val="0"/>
        <w:rPr>
          <w:b/>
          <w:szCs w:val="21"/>
        </w:rPr>
      </w:pPr>
      <w:r>
        <w:rPr>
          <w:rFonts w:hint="eastAsia"/>
          <w:b/>
          <w:szCs w:val="21"/>
        </w:rPr>
        <w:t>第十条    合同的变更和终止</w:t>
      </w:r>
    </w:p>
    <w:p>
      <w:pPr>
        <w:spacing w:line="360" w:lineRule="auto"/>
        <w:ind w:firstLine="560"/>
        <w:jc w:val="left"/>
        <w:rPr>
          <w:rFonts w:ascii="宋体" w:hAnsi="宋体"/>
          <w:szCs w:val="21"/>
        </w:rPr>
      </w:pPr>
      <w:r>
        <w:rPr>
          <w:rFonts w:hint="eastAsia" w:ascii="宋体" w:hAnsi="宋体"/>
          <w:szCs w:val="21"/>
        </w:rPr>
        <w:t>除</w:t>
      </w:r>
      <w:bookmarkStart w:id="76" w:name="_Hlk75015119"/>
      <w:r>
        <w:rPr>
          <w:rFonts w:hint="eastAsia" w:ascii="宋体" w:hAnsi="宋体"/>
          <w:szCs w:val="21"/>
        </w:rPr>
        <w:t>《深圳经济特区政府采购条例》第40条、</w:t>
      </w:r>
      <w:bookmarkEnd w:id="76"/>
      <w:r>
        <w:rPr>
          <w:rFonts w:hint="eastAsia" w:ascii="宋体" w:hAnsi="宋体"/>
          <w:szCs w:val="21"/>
        </w:rPr>
        <w:t>《中华人民共和国政府采购法》第50条第二款规定或者主管部门另有政策规定的情形外，本合同一经签订，甲乙双方不得擅自变更、中止或终止合同。</w:t>
      </w:r>
    </w:p>
    <w:p>
      <w:pPr>
        <w:spacing w:line="360" w:lineRule="auto"/>
        <w:ind w:firstLine="560"/>
        <w:jc w:val="left"/>
        <w:outlineLvl w:val="0"/>
        <w:rPr>
          <w:b/>
          <w:szCs w:val="21"/>
        </w:rPr>
      </w:pPr>
      <w:r>
        <w:rPr>
          <w:rFonts w:hint="eastAsia"/>
          <w:b/>
          <w:szCs w:val="21"/>
        </w:rPr>
        <w:t>第十一条   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outlineLvl w:val="0"/>
        <w:rPr>
          <w:b/>
          <w:szCs w:val="21"/>
        </w:rPr>
      </w:pPr>
      <w:r>
        <w:rPr>
          <w:rFonts w:hint="eastAsia"/>
          <w:b/>
          <w:szCs w:val="21"/>
        </w:rPr>
        <w:t>第十二条   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p>
      <w:pPr>
        <w:widowControl/>
        <w:jc w:val="left"/>
        <w:rPr>
          <w:rFonts w:ascii="宋体" w:hAnsi="宋体"/>
          <w:szCs w:val="21"/>
        </w:rPr>
      </w:pPr>
      <w:r>
        <w:rPr>
          <w:rFonts w:ascii="宋体" w:hAnsi="宋体"/>
          <w:szCs w:val="21"/>
        </w:rPr>
        <w:br w:type="page"/>
      </w:r>
    </w:p>
    <w:p>
      <w:pPr>
        <w:keepNext/>
        <w:keepLines/>
        <w:adjustRightInd w:val="0"/>
        <w:spacing w:before="120" w:beforeLines="50" w:after="120" w:afterLines="50"/>
        <w:ind w:left="562"/>
        <w:jc w:val="center"/>
        <w:textAlignment w:val="baseline"/>
        <w:outlineLvl w:val="0"/>
        <w:rPr>
          <w:rFonts w:ascii="宋体" w:hAnsi="宋体"/>
          <w:b/>
          <w:bCs/>
          <w:kern w:val="0"/>
          <w:sz w:val="28"/>
          <w:szCs w:val="28"/>
        </w:rPr>
      </w:pPr>
      <w:r>
        <w:rPr>
          <w:rFonts w:hint="eastAsia" w:ascii="宋体" w:hAnsi="宋体"/>
          <w:b/>
          <w:bCs/>
          <w:kern w:val="0"/>
          <w:sz w:val="28"/>
          <w:szCs w:val="28"/>
        </w:rPr>
        <w:t>第二册  通用条款（公开招标）</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77" w:name="_Hlk72399513"/>
      <w:r>
        <w:rPr>
          <w:rFonts w:hint="eastAsia" w:ascii="宋体" w:hAnsi="宋体"/>
          <w:b/>
          <w:bCs/>
          <w:kern w:val="0"/>
          <w:sz w:val="28"/>
          <w:szCs w:val="28"/>
        </w:rPr>
        <w:t>总则</w:t>
      </w:r>
    </w:p>
    <w:bookmarkEnd w:id="77"/>
    <w:p>
      <w:pPr>
        <w:outlineLvl w:val="1"/>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78" w:name="_Hlk72399729"/>
      <w:r>
        <w:rPr>
          <w:rFonts w:hint="eastAsia" w:ascii="宋体" w:hAnsi="宋体"/>
          <w:szCs w:val="21"/>
        </w:rPr>
        <w:t>如有需要，政府集中采购机构可以对通用条款的内容进行补充。</w:t>
      </w:r>
      <w:bookmarkEnd w:id="78"/>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outlineLvl w:val="1"/>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outlineLvl w:val="1"/>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网站提供的投标书加密软件加密的投标文件,适用于网上投标</w:t>
      </w:r>
      <w:bookmarkStart w:id="79" w:name="_Hlk72398581"/>
      <w:r>
        <w:rPr>
          <w:rFonts w:hint="eastAsia" w:ascii="宋体" w:hAnsi="宋体"/>
          <w:szCs w:val="21"/>
        </w:rPr>
        <w:t>（此投标书加密软件可从</w:t>
      </w:r>
      <w:r>
        <w:t>www.szggzy.com</w:t>
      </w:r>
      <w:r>
        <w:rPr>
          <w:rFonts w:hint="eastAsia" w:ascii="宋体" w:hAnsi="宋体"/>
          <w:szCs w:val="21"/>
        </w:rPr>
        <w:t>网站“服务导航-政府采购-资料下载”栏目中下载）；</w:t>
      </w:r>
      <w:bookmarkEnd w:id="79"/>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outlineLvl w:val="1"/>
        <w:rPr>
          <w:rFonts w:ascii="黑体" w:hAnsi="宋体" w:eastAsia="黑体"/>
          <w:sz w:val="24"/>
        </w:rPr>
      </w:pPr>
      <w:r>
        <w:rPr>
          <w:rFonts w:hint="eastAsia" w:ascii="黑体" w:hAnsi="宋体" w:eastAsia="黑体"/>
          <w:sz w:val="24"/>
        </w:rPr>
        <w:t xml:space="preserve">4. </w:t>
      </w:r>
      <w:bookmarkStart w:id="80"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hint="eastAsia" w:ascii="宋体" w:hAnsi="宋体"/>
          <w:szCs w:val="21"/>
        </w:rPr>
        <w:t>》详见</w:t>
      </w:r>
      <w:r>
        <w:t>www.szggzy.com</w:t>
      </w:r>
      <w:r>
        <w:rPr>
          <w:rFonts w:hint="eastAsia" w:ascii="宋体" w:hAnsi="宋体"/>
          <w:szCs w:val="21"/>
        </w:rPr>
        <w:t>网站“服务导航-政府采购-办事指南”。</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5、参加政府采购活动前三年内，在经营活动中没有重大违法记录；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outlineLvl w:val="1"/>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pPr>
        <w:ind w:firstLine="405"/>
        <w:rPr>
          <w:shd w:val="clear" w:color="auto" w:fill="FFFFFF"/>
        </w:rPr>
      </w:pPr>
      <w:r>
        <w:rPr>
          <w:rFonts w:hint="eastAsia" w:ascii="宋体" w:hAnsi="宋体"/>
        </w:rPr>
        <w:t>6.2本项目落实深圳市政府采购供应商诚信管理政策要求。</w:t>
      </w:r>
    </w:p>
    <w:p>
      <w:pPr>
        <w:outlineLvl w:val="1"/>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8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1"/>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outlineLvl w:val="1"/>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outlineLvl w:val="1"/>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outlineLvl w:val="1"/>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80"/>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82"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outlineLvl w:val="0"/>
        <w:rPr>
          <w:rFonts w:ascii="宋体" w:hAnsi="宋体"/>
          <w:szCs w:val="21"/>
        </w:rPr>
      </w:pPr>
      <w:r>
        <w:rPr>
          <w:rFonts w:hint="eastAsia" w:ascii="宋体" w:hAnsi="宋体"/>
          <w:szCs w:val="21"/>
        </w:rPr>
        <w:t>第一章  招标公告</w:t>
      </w:r>
    </w:p>
    <w:p>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pPr>
        <w:ind w:left="630" w:leftChars="300" w:firstLine="411" w:firstLineChars="196"/>
        <w:outlineLvl w:val="0"/>
        <w:rPr>
          <w:rFonts w:ascii="宋体" w:hAnsi="宋体"/>
          <w:szCs w:val="21"/>
        </w:rPr>
      </w:pPr>
      <w:r>
        <w:rPr>
          <w:rFonts w:hint="eastAsia" w:ascii="宋体" w:hAnsi="宋体"/>
          <w:szCs w:val="21"/>
        </w:rPr>
        <w:t>第三章  用户需求书</w:t>
      </w:r>
    </w:p>
    <w:p>
      <w:pPr>
        <w:ind w:left="630" w:leftChars="300" w:firstLine="411" w:firstLineChars="196"/>
        <w:outlineLvl w:val="0"/>
        <w:rPr>
          <w:rFonts w:ascii="宋体" w:hAnsi="宋体"/>
          <w:szCs w:val="21"/>
        </w:rPr>
      </w:pPr>
      <w:r>
        <w:rPr>
          <w:rFonts w:hint="eastAsia"/>
        </w:rPr>
        <w:t>第四章 投标文件格式及附件</w:t>
      </w:r>
    </w:p>
    <w:p>
      <w:pPr>
        <w:ind w:left="630" w:leftChars="300" w:firstLine="411" w:firstLineChars="196"/>
        <w:outlineLvl w:val="0"/>
        <w:rPr>
          <w:rFonts w:ascii="宋体" w:hAnsi="宋体"/>
          <w:szCs w:val="21"/>
        </w:rPr>
      </w:pPr>
      <w:r>
        <w:rPr>
          <w:rFonts w:hint="eastAsia" w:ascii="宋体" w:hAnsi="宋体"/>
          <w:szCs w:val="21"/>
        </w:rPr>
        <w:t>第五章  合同条款及格式</w:t>
      </w:r>
    </w:p>
    <w:p>
      <w:pPr>
        <w:ind w:left="420" w:leftChars="200" w:firstLine="413" w:firstLineChars="196"/>
        <w:outlineLvl w:val="0"/>
        <w:rPr>
          <w:rFonts w:ascii="宋体" w:hAnsi="宋体"/>
          <w:b/>
          <w:szCs w:val="21"/>
        </w:rPr>
      </w:pPr>
      <w:r>
        <w:rPr>
          <w:rFonts w:hint="eastAsia" w:ascii="宋体" w:hAnsi="宋体"/>
          <w:b/>
          <w:szCs w:val="21"/>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2"/>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投标文件的编制</w:t>
      </w:r>
    </w:p>
    <w:p>
      <w:pPr>
        <w:rPr>
          <w:rFonts w:ascii="黑体" w:hAnsi="宋体" w:eastAsia="黑体"/>
          <w:sz w:val="24"/>
        </w:rPr>
      </w:pPr>
      <w:r>
        <w:rPr>
          <w:rFonts w:hint="eastAsia" w:ascii="黑体" w:hAnsi="宋体" w:eastAsia="黑体"/>
          <w:sz w:val="24"/>
        </w:rPr>
        <w:t>14．</w:t>
      </w:r>
      <w:bookmarkStart w:id="83"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83"/>
    <w:p>
      <w:pPr>
        <w:rPr>
          <w:rFonts w:ascii="黑体" w:hAnsi="宋体" w:eastAsia="黑体"/>
          <w:sz w:val="24"/>
        </w:rPr>
      </w:pPr>
      <w:r>
        <w:rPr>
          <w:rFonts w:hint="eastAsia" w:ascii="黑体" w:hAnsi="宋体" w:eastAsia="黑体"/>
          <w:sz w:val="24"/>
        </w:rPr>
        <w:t>15．</w:t>
      </w:r>
      <w:bookmarkStart w:id="84"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84"/>
    <w:p>
      <w:pPr>
        <w:rPr>
          <w:rFonts w:ascii="黑体" w:hAnsi="宋体" w:eastAsia="黑体"/>
          <w:sz w:val="24"/>
        </w:rPr>
      </w:pPr>
      <w:r>
        <w:rPr>
          <w:rFonts w:hint="eastAsia" w:ascii="黑体" w:hAnsi="宋体" w:eastAsia="黑体"/>
          <w:sz w:val="24"/>
        </w:rPr>
        <w:t>18．</w:t>
      </w:r>
      <w:bookmarkStart w:id="85"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85"/>
    <w:p>
      <w:pPr>
        <w:rPr>
          <w:rFonts w:ascii="黑体" w:hAnsi="宋体" w:eastAsia="黑体"/>
          <w:sz w:val="24"/>
        </w:rPr>
      </w:pPr>
      <w:r>
        <w:rPr>
          <w:rFonts w:hint="eastAsia" w:ascii="黑体" w:hAnsi="宋体" w:eastAsia="黑体"/>
          <w:sz w:val="24"/>
        </w:rPr>
        <w:t>19．</w:t>
      </w:r>
      <w:bookmarkStart w:id="86"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7" w:name="_Hlk71407299"/>
    </w:p>
    <w:bookmarkEnd w:id="87"/>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86"/>
    <w:p>
      <w:pPr>
        <w:ind w:firstLine="411" w:firstLineChars="196"/>
        <w:rPr>
          <w:rFonts w:ascii="宋体" w:hAnsi="宋体"/>
          <w:szCs w:val="21"/>
        </w:rPr>
      </w:pPr>
      <w:bookmarkStart w:id="8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88"/>
    <w:p>
      <w:pPr>
        <w:rPr>
          <w:rFonts w:ascii="黑体" w:hAnsi="宋体" w:eastAsia="黑体"/>
          <w:sz w:val="24"/>
        </w:rPr>
      </w:pPr>
      <w:r>
        <w:rPr>
          <w:rFonts w:hint="eastAsia" w:ascii="黑体" w:hAnsi="宋体" w:eastAsia="黑体"/>
          <w:sz w:val="24"/>
        </w:rPr>
        <w:t>21．</w:t>
      </w:r>
      <w:bookmarkStart w:id="89"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9"/>
    <w:p>
      <w:pPr>
        <w:rPr>
          <w:rFonts w:ascii="黑体" w:hAnsi="宋体" w:eastAsia="黑体"/>
          <w:sz w:val="24"/>
        </w:rPr>
      </w:pPr>
      <w:r>
        <w:rPr>
          <w:rFonts w:hint="eastAsia" w:ascii="黑体" w:hAnsi="宋体" w:eastAsia="黑体"/>
          <w:sz w:val="24"/>
        </w:rPr>
        <w:t>23．</w:t>
      </w:r>
      <w:bookmarkStart w:id="9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hint="eastAsia" w:ascii="宋体" w:hAnsi="宋体"/>
          <w:szCs w:val="21"/>
        </w:rPr>
        <w:t>深圳交易集团有限公司政府采购业务分公司网站（</w:t>
      </w:r>
      <w:r>
        <w:rPr>
          <w:rFonts w:ascii="宋体" w:hAnsi="宋体"/>
          <w:szCs w:val="21"/>
        </w:rPr>
        <w:t>http://www.szggzy.com/</w:t>
      </w:r>
      <w:r>
        <w:rPr>
          <w:rFonts w:hint="eastAsia" w:ascii="宋体" w:hAnsi="宋体"/>
          <w:szCs w:val="21"/>
        </w:rPr>
        <w:t>），然后在右侧的“</w:t>
      </w:r>
      <w:r>
        <w:rPr>
          <w:rFonts w:hint="eastAsia"/>
        </w:rPr>
        <w:t>相关链接”栏目中</w:t>
      </w:r>
      <w:r>
        <w:rPr>
          <w:rFonts w:hint="eastAsia" w:ascii="宋体" w:hAnsi="宋体"/>
        </w:rPr>
        <w:t>下载。在安装此软件之前，须先安装</w:t>
      </w:r>
      <w:r>
        <w:rPr>
          <w:rFonts w:ascii="宋体" w:hAnsi="宋体"/>
        </w:rPr>
        <w:t>Adobe Reader 7.0</w:t>
      </w:r>
      <w:r>
        <w:rPr>
          <w:rFonts w:hint="eastAsia" w:ascii="宋体" w:hAnsi="宋体"/>
        </w:rPr>
        <w:t>以上版本】。</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23.2.5完整填写“投标关键信息”，如下图所示：</w:t>
      </w:r>
    </w:p>
    <w:p>
      <w:pPr>
        <w:ind w:firstLine="411" w:firstLineChars="196"/>
        <w:rPr>
          <w:rFonts w:ascii="宋体" w:hAnsi="宋体"/>
        </w:rPr>
      </w:pPr>
      <w:r>
        <w:rPr>
          <w:rFonts w:hint="eastAsia" w:ascii="宋体" w:hAnsi="宋体"/>
        </w:rPr>
        <w:t>（1）货物类</w:t>
      </w:r>
    </w:p>
    <w:p>
      <w:pPr>
        <w:ind w:firstLine="411" w:firstLineChars="196"/>
        <w:rPr>
          <w:rFonts w:ascii="宋体" w:hAnsi="宋体"/>
        </w:rPr>
      </w:pPr>
      <w:r>
        <w:rPr>
          <w:rFonts w:ascii="宋体" w:hAnsi="宋体"/>
        </w:rPr>
        <w:drawing>
          <wp:inline distT="0" distB="0" distL="0" distR="0">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8"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3" w:firstLineChars="196"/>
        <w:rPr>
          <w:rFonts w:ascii="宋体" w:hAnsi="宋体"/>
          <w:b/>
        </w:rPr>
      </w:pPr>
    </w:p>
    <w:p>
      <w:pPr>
        <w:ind w:firstLine="411" w:firstLineChars="196"/>
        <w:rPr>
          <w:rFonts w:ascii="宋体" w:hAnsi="宋体"/>
        </w:rPr>
      </w:pPr>
    </w:p>
    <w:p>
      <w:pPr>
        <w:rPr>
          <w:rFonts w:ascii="宋体" w:hAnsi="宋体"/>
        </w:rPr>
      </w:pPr>
    </w:p>
    <w:p>
      <w:pPr>
        <w:ind w:firstLine="411" w:firstLineChars="196"/>
        <w:rPr>
          <w:rFonts w:ascii="宋体" w:hAnsi="宋体"/>
        </w:rPr>
      </w:pPr>
      <w:r>
        <w:rPr>
          <w:rFonts w:hint="eastAsia" w:ascii="宋体" w:hAnsi="宋体"/>
        </w:rPr>
        <w:t>（2）服务类</w:t>
      </w:r>
    </w:p>
    <w:p>
      <w:pPr>
        <w:widowControl/>
        <w:jc w:val="left"/>
        <w:rPr>
          <w:rFonts w:ascii="宋体" w:hAnsi="宋体" w:cs="宋体"/>
          <w:kern w:val="0"/>
          <w:sz w:val="24"/>
        </w:rPr>
      </w:pPr>
      <w:r>
        <w:rPr>
          <w:rFonts w:ascii="宋体" w:hAnsi="宋体" w:cs="宋体"/>
          <w:kern w:val="0"/>
          <w:sz w:val="24"/>
        </w:rPr>
        <w:drawing>
          <wp:inline distT="0" distB="0" distL="0" distR="0">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9"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90"/>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投标文件的递交</w:t>
      </w:r>
    </w:p>
    <w:p>
      <w:pPr>
        <w:rPr>
          <w:rFonts w:ascii="黑体" w:hAnsi="宋体" w:eastAsia="黑体"/>
          <w:sz w:val="24"/>
        </w:rPr>
      </w:pPr>
      <w:bookmarkStart w:id="91" w:name="_Hlk72405459"/>
      <w:r>
        <w:rPr>
          <w:rFonts w:hint="eastAsia" w:ascii="黑体" w:hAnsi="宋体" w:eastAsia="黑体"/>
          <w:sz w:val="24"/>
        </w:rPr>
        <w:t>24．投标文件的保密</w:t>
      </w:r>
    </w:p>
    <w:p>
      <w:pPr>
        <w:ind w:firstLine="411" w:firstLineChars="196"/>
        <w:rPr>
          <w:rFonts w:ascii="宋体" w:hAnsi="宋体"/>
        </w:rPr>
      </w:pPr>
      <w:r>
        <w:rPr>
          <w:rFonts w:hint="eastAsia" w:ascii="宋体" w:hAnsi="宋体"/>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0"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pPr>
        <w:rPr>
          <w:sz w:val="24"/>
        </w:rPr>
      </w:pPr>
    </w:p>
    <w:p>
      <w:pPr>
        <w:rPr>
          <w:sz w:val="24"/>
        </w:rPr>
      </w:pPr>
      <w:r>
        <w:rPr>
          <w:sz w:val="24"/>
        </w:rPr>
        <w:drawing>
          <wp:inline distT="0" distB="0" distL="0" distR="0">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1"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pPr>
        <w:rPr>
          <w:rFonts w:ascii="宋体" w:hAnsi="宋体"/>
          <w:b/>
        </w:rPr>
      </w:pPr>
      <w:r>
        <w:rPr>
          <w:rFonts w:hint="eastAsia" w:ascii="宋体" w:hAnsi="宋体"/>
          <w:b/>
        </w:rPr>
        <w:t xml:space="preserve"> 24.2若采购项目出现延期情况：</w:t>
      </w:r>
    </w:p>
    <w:p>
      <w:pPr>
        <w:ind w:firstLine="422" w:firstLineChars="200"/>
        <w:rPr>
          <w:rFonts w:ascii="黑体" w:hAnsi="宋体" w:eastAsia="黑体"/>
          <w:b/>
          <w:sz w:val="24"/>
        </w:rPr>
      </w:pPr>
      <w:r>
        <w:rPr>
          <w:rFonts w:hint="eastAsia" w:ascii="宋体" w:hAnsi="宋体"/>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w:t>
      </w:r>
      <w:r>
        <w:rPr>
          <w:rFonts w:hint="eastAsia" w:ascii="宋体" w:hAnsi="宋体"/>
          <w:b/>
          <w:bCs/>
          <w:szCs w:val="21"/>
        </w:rPr>
        <w:t>深圳公共资源交易中心（深圳交易集团有限公司政府采购业务分公司）</w:t>
      </w:r>
      <w:r>
        <w:rPr>
          <w:rFonts w:hint="eastAsia" w:ascii="宋体" w:hAnsi="宋体"/>
        </w:rPr>
        <w:t>网站”</w:t>
      </w:r>
      <w:r>
        <w:rPr>
          <w:rFonts w:hint="eastAsia" w:ascii="宋体" w:hAnsi="宋体"/>
          <w:b/>
          <w:bCs/>
          <w:szCs w:val="21"/>
        </w:rPr>
        <w:t>（</w:t>
      </w:r>
      <w:r>
        <w:rPr>
          <w:rFonts w:ascii="宋体" w:hAnsi="宋体"/>
          <w:b/>
          <w:bCs/>
          <w:szCs w:val="21"/>
        </w:rPr>
        <w:t>http://www.szggzy.com/</w:t>
      </w:r>
      <w:r>
        <w:rPr>
          <w:rFonts w:hint="eastAsia" w:ascii="宋体" w:hAnsi="宋体"/>
          <w:b/>
          <w:bCs/>
          <w:szCs w:val="21"/>
        </w:rPr>
        <w:t>）</w:t>
      </w:r>
      <w:r>
        <w:rPr>
          <w:rFonts w:hint="eastAsia" w:ascii="宋体" w:hAnsi="宋体"/>
        </w:rPr>
        <w:t>，使用“应标管理”</w:t>
      </w:r>
      <w:r>
        <w:rPr>
          <w:rFonts w:ascii="宋体" w:hAnsi="宋体"/>
        </w:rPr>
        <w:t>—</w:t>
      </w:r>
      <w:r>
        <w:rPr>
          <w:rFonts w:hint="eastAsia" w:ascii="宋体" w:hAnsi="宋体"/>
        </w:rPr>
        <w:t>》“上传投标文件”功能点上传投标文件。如果没有该功能点，请用本公司的机构管理员在 “系统维护”</w:t>
      </w:r>
      <w:r>
        <w:rPr>
          <w:rFonts w:ascii="宋体" w:hAnsi="宋体"/>
        </w:rPr>
        <w:t>—</w:t>
      </w:r>
      <w:r>
        <w:rPr>
          <w:rFonts w:hint="eastAsia" w:ascii="宋体" w:hAnsi="宋体"/>
        </w:rPr>
        <w:t>》“修改用户权限”中增加该功能点，如果增加不成功，请在工作日与政府集中采购机构联系。如果确有困难，多次上传均告失败，请在投标截止时间之前携带加密后的电子投标文件送达至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3楼304室（地址：深圳市福田区景田路70号雅枫国际酒店北侧交易集团评审区三楼），联系方式：83948100，83938584，83938599</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91"/>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9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92"/>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1政府集中采购机构将在投标截止时间后，对投标文件进行解密，开标，并在网上公布开标结果。</w:t>
      </w:r>
    </w:p>
    <w:p>
      <w:pPr>
        <w:ind w:firstLine="315" w:firstLineChars="150"/>
        <w:rPr>
          <w:rFonts w:ascii="宋体" w:hAnsi="宋体"/>
          <w:szCs w:val="21"/>
        </w:rPr>
      </w:pPr>
      <w:r>
        <w:rPr>
          <w:rFonts w:hint="eastAsia" w:ascii="宋体" w:hAnsi="宋体"/>
          <w:szCs w:val="21"/>
        </w:rPr>
        <w:t>28.2 网上投标的，当政府集中采购机构开标后，投标人即可登录“</w:t>
      </w:r>
      <w:r>
        <w:rPr>
          <w:rFonts w:hint="eastAsia" w:ascii="宋体" w:hAnsi="宋体"/>
          <w:b/>
          <w:bCs/>
          <w:color w:val="FF0000"/>
          <w:szCs w:val="21"/>
        </w:rPr>
        <w:t>深圳公共资源交易中心（深圳交易集团有限公司政府采购业务分公司）网站</w:t>
      </w:r>
      <w:r>
        <w:rPr>
          <w:rFonts w:hint="eastAsia" w:ascii="宋体" w:hAnsi="宋体"/>
          <w:szCs w:val="21"/>
        </w:rPr>
        <w:t>”，使用“应标管理</w:t>
      </w:r>
      <w:r>
        <w:rPr>
          <w:rFonts w:ascii="宋体" w:hAnsi="宋体"/>
          <w:szCs w:val="21"/>
        </w:rPr>
        <w:sym w:font="Wingdings" w:char="F0E0"/>
      </w:r>
      <w:r>
        <w:rPr>
          <w:rFonts w:hint="eastAsia" w:ascii="宋体" w:hAnsi="宋体"/>
          <w:szCs w:val="21"/>
        </w:rPr>
        <w:t>浏览开标一览表</w:t>
      </w:r>
      <w:r>
        <w:rPr>
          <w:rFonts w:ascii="宋体" w:hAnsi="宋体"/>
          <w:szCs w:val="21"/>
        </w:rPr>
        <w:t>”</w:t>
      </w:r>
      <w:r>
        <w:rPr>
          <w:rFonts w:hint="eastAsia" w:ascii="宋体" w:hAnsi="宋体"/>
          <w:szCs w:val="21"/>
        </w:rPr>
        <w:t>功能点查看开标一览表。</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93"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9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9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94"/>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95" w:name="_Toc73521669"/>
      <w:bookmarkStart w:id="96" w:name="_Toc73521581"/>
      <w:bookmarkStart w:id="97" w:name="_Toc100052400"/>
      <w:bookmarkStart w:id="98" w:name="_Toc73517673"/>
      <w:bookmarkStart w:id="99" w:name="_Toc73518151"/>
      <w:r>
        <w:rPr>
          <w:rFonts w:hint="eastAsia" w:ascii="黑体" w:hAnsi="宋体" w:eastAsia="黑体"/>
          <w:sz w:val="24"/>
        </w:rPr>
        <w:t>34．错误的修正</w:t>
      </w:r>
      <w:bookmarkEnd w:id="95"/>
      <w:bookmarkEnd w:id="96"/>
      <w:bookmarkEnd w:id="97"/>
      <w:bookmarkEnd w:id="98"/>
      <w:bookmarkEnd w:id="99"/>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100"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100"/>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101"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102"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102"/>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10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10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103"/>
      <w:bookmarkEnd w:id="104"/>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101"/>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10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上发布中标结果公告。</w:t>
      </w:r>
      <w:bookmarkEnd w:id="105"/>
      <w:bookmarkStart w:id="10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106"/>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07" w:name="_Hlk72438863"/>
      <w:r>
        <w:rPr>
          <w:rFonts w:hint="eastAsia" w:ascii="宋体" w:hAnsi="宋体"/>
          <w:szCs w:val="21"/>
        </w:rPr>
        <w:t>中标公告公布以后无异常的情况下,中标供应商和采购人可自行在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咨询电话：</w:t>
      </w:r>
      <w:r>
        <w:rPr>
          <w:rFonts w:hint="eastAsia" w:ascii="宋体" w:hAnsi="宋体"/>
          <w:b/>
          <w:bCs/>
          <w:szCs w:val="21"/>
        </w:rPr>
        <w:t>0755-83938599，83948100，83938584</w:t>
      </w:r>
      <w:r>
        <w:rPr>
          <w:rFonts w:hint="eastAsia" w:ascii="宋体" w:hAnsi="宋体"/>
          <w:szCs w:val="21"/>
        </w:rPr>
        <w:t>）。</w:t>
      </w:r>
      <w:bookmarkEnd w:id="107"/>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108" w:name="_Hlk71407340"/>
      <w:r>
        <w:rPr>
          <w:rFonts w:hint="eastAsia" w:ascii="宋体" w:hAnsi="宋体"/>
          <w:szCs w:val="21"/>
        </w:rPr>
        <w:t>41.3因质疑投诉或其它原因导致项目结果变更或采购终止的，政府集中采购机构有权吊销中标通知书。</w:t>
      </w:r>
    </w:p>
    <w:bookmarkEnd w:id="108"/>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109" w:name="_Hlk72439043"/>
      <w:r>
        <w:rPr>
          <w:rFonts w:hint="eastAsia" w:ascii="宋体" w:hAnsi="宋体"/>
          <w:b/>
          <w:bCs/>
          <w:kern w:val="0"/>
          <w:sz w:val="28"/>
          <w:szCs w:val="28"/>
        </w:rPr>
        <w:t>合同的授予与备案</w:t>
      </w:r>
      <w:bookmarkEnd w:id="109"/>
    </w:p>
    <w:p>
      <w:pPr>
        <w:rPr>
          <w:rFonts w:ascii="黑体" w:hAnsi="宋体" w:eastAsia="黑体"/>
          <w:sz w:val="24"/>
        </w:rPr>
      </w:pPr>
      <w:bookmarkStart w:id="110" w:name="_Toc73518157"/>
      <w:bookmarkStart w:id="111" w:name="_Toc73517679"/>
      <w:bookmarkStart w:id="112" w:name="_Toc73521674"/>
      <w:bookmarkStart w:id="113" w:name="_Toc100052408"/>
      <w:bookmarkStart w:id="114" w:name="_Toc73521586"/>
      <w:bookmarkStart w:id="115" w:name="_Hlk72439088"/>
      <w:r>
        <w:rPr>
          <w:rFonts w:hint="eastAsia" w:ascii="黑体" w:hAnsi="宋体" w:eastAsia="黑体"/>
          <w:sz w:val="24"/>
        </w:rPr>
        <w:t>43．合同授予标准</w:t>
      </w:r>
      <w:bookmarkEnd w:id="110"/>
      <w:bookmarkEnd w:id="111"/>
      <w:bookmarkEnd w:id="112"/>
      <w:bookmarkEnd w:id="113"/>
      <w:bookmarkEnd w:id="114"/>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116" w:name="_Toc100052409"/>
      <w:bookmarkStart w:id="117" w:name="_Toc73517680"/>
      <w:bookmarkStart w:id="118" w:name="_Toc73518158"/>
      <w:bookmarkStart w:id="119" w:name="_Toc73521675"/>
      <w:bookmarkStart w:id="120" w:name="_Toc73521587"/>
      <w:r>
        <w:rPr>
          <w:rFonts w:hint="eastAsia" w:ascii="黑体" w:hAnsi="宋体" w:eastAsia="黑体"/>
          <w:sz w:val="24"/>
        </w:rPr>
        <w:t>44．</w:t>
      </w:r>
      <w:bookmarkEnd w:id="116"/>
      <w:bookmarkEnd w:id="117"/>
      <w:bookmarkEnd w:id="118"/>
      <w:bookmarkEnd w:id="119"/>
      <w:bookmarkEnd w:id="120"/>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121" w:name="_Toc73521589"/>
      <w:bookmarkStart w:id="122" w:name="_Toc73517682"/>
      <w:bookmarkStart w:id="123" w:name="_Toc73521677"/>
      <w:bookmarkStart w:id="124" w:name="_Toc100052410"/>
      <w:bookmarkStart w:id="125" w:name="_Toc73518160"/>
      <w:r>
        <w:rPr>
          <w:rFonts w:hint="eastAsia" w:ascii="黑体" w:hAnsi="宋体" w:eastAsia="黑体"/>
          <w:sz w:val="24"/>
        </w:rPr>
        <w:t>45．合同的签订</w:t>
      </w:r>
      <w:bookmarkEnd w:id="121"/>
      <w:bookmarkEnd w:id="122"/>
      <w:bookmarkEnd w:id="123"/>
      <w:bookmarkEnd w:id="124"/>
      <w:bookmarkEnd w:id="125"/>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126" w:name="_Toc73521678"/>
      <w:bookmarkStart w:id="127" w:name="_Toc73518161"/>
      <w:bookmarkStart w:id="128" w:name="_Toc73521590"/>
      <w:bookmarkStart w:id="129" w:name="_Toc100052411"/>
      <w:bookmarkStart w:id="130" w:name="_Toc73517683"/>
      <w:r>
        <w:rPr>
          <w:rFonts w:hint="eastAsia" w:ascii="黑体" w:hAnsi="宋体" w:eastAsia="黑体"/>
          <w:sz w:val="24"/>
        </w:rPr>
        <w:t>46．履约担保</w:t>
      </w:r>
      <w:bookmarkEnd w:id="126"/>
      <w:bookmarkEnd w:id="127"/>
      <w:bookmarkEnd w:id="128"/>
      <w:bookmarkEnd w:id="129"/>
      <w:bookmarkEnd w:id="130"/>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根据《深圳市财政局关于明确政府采购保证金管理工作的通知》（深财购[2019]42号）的要求，供应商在政府采购活动中出现《深圳经济特区政府采购条例实施细则》第八十四条所列情形的，</w:t>
      </w:r>
      <w:bookmarkStart w:id="131" w:name="_Hlk72440769"/>
      <w:r>
        <w:rPr>
          <w:rFonts w:hint="eastAsia" w:ascii="宋体" w:hAnsi="宋体"/>
          <w:szCs w:val="21"/>
        </w:rPr>
        <w:t>采购人或政府集中采购机构</w:t>
      </w:r>
      <w:bookmarkEnd w:id="131"/>
      <w:r>
        <w:rPr>
          <w:rFonts w:hint="eastAsia" w:ascii="宋体" w:hAnsi="宋体"/>
          <w:szCs w:val="21"/>
        </w:rPr>
        <w:t>可将有关情况报同级财政部门，由财政部门根据实际情况记入供应商诚信档案，予以通报：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15"/>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质疑处理</w:t>
      </w:r>
    </w:p>
    <w:p>
      <w:pPr>
        <w:rPr>
          <w:rFonts w:ascii="黑体" w:hAnsi="宋体" w:eastAsia="黑体"/>
          <w:sz w:val="24"/>
        </w:rPr>
      </w:pPr>
      <w:bookmarkStart w:id="132"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133" w:name="_Hlk75374941"/>
      <w:r>
        <w:rPr>
          <w:rFonts w:hint="eastAsia" w:ascii="宋体" w:hAnsi="宋体"/>
          <w:szCs w:val="21"/>
        </w:rPr>
        <w:t>以联合体形式参与的，质疑应当由组成联合体的所有成员共同提出</w:t>
      </w:r>
      <w:bookmarkEnd w:id="133"/>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地址：深圳公共资源交易中心（深圳交易集团有限公司政府采购业务分公司）3楼306室，质疑咨询电话：0755-86500054。</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pPr>
      <w:r>
        <w:t>---- END ----</w:t>
      </w:r>
      <w:bookmarkEnd w:id="132"/>
    </w:p>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t xml:space="preserve">- </w:t>
    </w:r>
    <w:r>
      <w:fldChar w:fldCharType="begin"/>
    </w:r>
    <w:r>
      <w:instrText xml:space="preserve"> PAGE </w:instrText>
    </w:r>
    <w:r>
      <w:fldChar w:fldCharType="separate"/>
    </w:r>
    <w:r>
      <w:t>3</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6A75"/>
    <w:multiLevelType w:val="singleLevel"/>
    <w:tmpl w:val="A14E6A75"/>
    <w:lvl w:ilvl="0" w:tentative="0">
      <w:start w:val="1"/>
      <w:numFmt w:val="decimal"/>
      <w:suff w:val="nothing"/>
      <w:lvlText w:val="（%1）"/>
      <w:lvlJc w:val="left"/>
      <w:pPr>
        <w:ind w:left="0" w:firstLine="0"/>
      </w:pPr>
    </w:lvl>
  </w:abstractNum>
  <w:abstractNum w:abstractNumId="1">
    <w:nsid w:val="B8825A13"/>
    <w:multiLevelType w:val="singleLevel"/>
    <w:tmpl w:val="B8825A13"/>
    <w:lvl w:ilvl="0" w:tentative="0">
      <w:start w:val="1"/>
      <w:numFmt w:val="decimal"/>
      <w:suff w:val="space"/>
      <w:lvlText w:val="%1."/>
      <w:lvlJc w:val="left"/>
      <w:pPr>
        <w:ind w:left="0" w:firstLine="0"/>
      </w:pPr>
    </w:lvl>
  </w:abstractNum>
  <w:abstractNum w:abstractNumId="2">
    <w:nsid w:val="D8EFCEDA"/>
    <w:multiLevelType w:val="multilevel"/>
    <w:tmpl w:val="D8EFCEDA"/>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4D034486"/>
    <w:multiLevelType w:val="singleLevel"/>
    <w:tmpl w:val="4D034486"/>
    <w:lvl w:ilvl="0" w:tentative="0">
      <w:start w:val="3"/>
      <w:numFmt w:val="chineseCounting"/>
      <w:suff w:val="space"/>
      <w:lvlText w:val="第%1条"/>
      <w:lvlJc w:val="left"/>
      <w:rPr>
        <w:rFonts w:hint="eastAsia"/>
      </w:rPr>
    </w:lvl>
  </w:abstractNum>
  <w:abstractNum w:abstractNumId="10">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7"/>
  </w:num>
  <w:num w:numId="4">
    <w:abstractNumId w:val="6"/>
  </w:num>
  <w:num w:numId="5">
    <w:abstractNumId w:val="10"/>
  </w:num>
  <w:num w:numId="6">
    <w:abstractNumId w:val="8"/>
  </w:num>
  <w:num w:numId="7">
    <w:abstractNumId w:val="2"/>
  </w:num>
  <w:num w:numId="8">
    <w:abstractNumId w:val="0"/>
    <w:lvlOverride w:ilvl="0">
      <w:startOverride w:val="1"/>
    </w:lvlOverride>
  </w:num>
  <w:num w:numId="9">
    <w:abstractNumId w:val="1"/>
    <w:lvlOverride w:ilvl="0">
      <w:startOverride w:val="1"/>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43C0"/>
    <w:rsid w:val="000050CA"/>
    <w:rsid w:val="000051C6"/>
    <w:rsid w:val="00005215"/>
    <w:rsid w:val="00005A10"/>
    <w:rsid w:val="00005D3D"/>
    <w:rsid w:val="0000667D"/>
    <w:rsid w:val="00006F7B"/>
    <w:rsid w:val="00007950"/>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3908"/>
    <w:rsid w:val="000A425C"/>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C39"/>
    <w:rsid w:val="000E355C"/>
    <w:rsid w:val="000E4445"/>
    <w:rsid w:val="000E470B"/>
    <w:rsid w:val="000E4DE8"/>
    <w:rsid w:val="000E50F5"/>
    <w:rsid w:val="000E5E99"/>
    <w:rsid w:val="000E6A66"/>
    <w:rsid w:val="000E72EB"/>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A57"/>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65A5"/>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5C1"/>
    <w:rsid w:val="001E474D"/>
    <w:rsid w:val="001E5194"/>
    <w:rsid w:val="001E5A81"/>
    <w:rsid w:val="001E62FB"/>
    <w:rsid w:val="001E6A0B"/>
    <w:rsid w:val="001E77DA"/>
    <w:rsid w:val="001E7A2F"/>
    <w:rsid w:val="001E7AB0"/>
    <w:rsid w:val="001E7DD0"/>
    <w:rsid w:val="001F0349"/>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58A0"/>
    <w:rsid w:val="002C6EC0"/>
    <w:rsid w:val="002C7258"/>
    <w:rsid w:val="002D0356"/>
    <w:rsid w:val="002D07C0"/>
    <w:rsid w:val="002D0F98"/>
    <w:rsid w:val="002D1DFB"/>
    <w:rsid w:val="002D45BF"/>
    <w:rsid w:val="002D4A85"/>
    <w:rsid w:val="002D6162"/>
    <w:rsid w:val="002D64DF"/>
    <w:rsid w:val="002D750A"/>
    <w:rsid w:val="002E015D"/>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3CA9"/>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110"/>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579FD"/>
    <w:rsid w:val="00761434"/>
    <w:rsid w:val="00761FD5"/>
    <w:rsid w:val="00762BB6"/>
    <w:rsid w:val="0076341D"/>
    <w:rsid w:val="0076446D"/>
    <w:rsid w:val="007647EF"/>
    <w:rsid w:val="00765DD8"/>
    <w:rsid w:val="00766B33"/>
    <w:rsid w:val="00766D36"/>
    <w:rsid w:val="00767607"/>
    <w:rsid w:val="00767ACD"/>
    <w:rsid w:val="007705B5"/>
    <w:rsid w:val="00770699"/>
    <w:rsid w:val="0077270D"/>
    <w:rsid w:val="00773874"/>
    <w:rsid w:val="0077393B"/>
    <w:rsid w:val="00774D41"/>
    <w:rsid w:val="00775D3B"/>
    <w:rsid w:val="0077615A"/>
    <w:rsid w:val="007806A0"/>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1F21"/>
    <w:rsid w:val="00842991"/>
    <w:rsid w:val="008429B0"/>
    <w:rsid w:val="00843900"/>
    <w:rsid w:val="00844C5B"/>
    <w:rsid w:val="00845A15"/>
    <w:rsid w:val="0084632F"/>
    <w:rsid w:val="008474A9"/>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55B0"/>
    <w:rsid w:val="009859A8"/>
    <w:rsid w:val="00986257"/>
    <w:rsid w:val="0098658A"/>
    <w:rsid w:val="00986861"/>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25CE"/>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3ECB"/>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5C6E"/>
    <w:rsid w:val="00B96069"/>
    <w:rsid w:val="00BA0A76"/>
    <w:rsid w:val="00BA11A9"/>
    <w:rsid w:val="00BA30C2"/>
    <w:rsid w:val="00BA31C6"/>
    <w:rsid w:val="00BA4B0A"/>
    <w:rsid w:val="00BA699B"/>
    <w:rsid w:val="00BA76AB"/>
    <w:rsid w:val="00BB0170"/>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5B"/>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2605"/>
    <w:rsid w:val="00CF2804"/>
    <w:rsid w:val="00CF35B2"/>
    <w:rsid w:val="00CF36C4"/>
    <w:rsid w:val="00CF38D4"/>
    <w:rsid w:val="00CF3ADB"/>
    <w:rsid w:val="00CF5C07"/>
    <w:rsid w:val="00CF5CFC"/>
    <w:rsid w:val="00D00AF5"/>
    <w:rsid w:val="00D00E75"/>
    <w:rsid w:val="00D01917"/>
    <w:rsid w:val="00D01EBC"/>
    <w:rsid w:val="00D03DE1"/>
    <w:rsid w:val="00D03EDD"/>
    <w:rsid w:val="00D03EEF"/>
    <w:rsid w:val="00D04F08"/>
    <w:rsid w:val="00D050BB"/>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37B1D"/>
    <w:rsid w:val="00D400F6"/>
    <w:rsid w:val="00D404B1"/>
    <w:rsid w:val="00D4104F"/>
    <w:rsid w:val="00D43988"/>
    <w:rsid w:val="00D45512"/>
    <w:rsid w:val="00D4707E"/>
    <w:rsid w:val="00D47238"/>
    <w:rsid w:val="00D4762C"/>
    <w:rsid w:val="00D47867"/>
    <w:rsid w:val="00D47EAF"/>
    <w:rsid w:val="00D509D3"/>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1C1"/>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9B3"/>
    <w:rsid w:val="00ED1A64"/>
    <w:rsid w:val="00ED28DD"/>
    <w:rsid w:val="00ED421C"/>
    <w:rsid w:val="00ED43A6"/>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5AF2"/>
    <w:rsid w:val="00F15BC8"/>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3910"/>
    <w:rsid w:val="00F5421D"/>
    <w:rsid w:val="00F55022"/>
    <w:rsid w:val="00F55184"/>
    <w:rsid w:val="00F5704A"/>
    <w:rsid w:val="00F60DF3"/>
    <w:rsid w:val="00F61513"/>
    <w:rsid w:val="00F6205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07E7"/>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1AF52B1"/>
    <w:rsid w:val="0385189E"/>
    <w:rsid w:val="09E507C4"/>
    <w:rsid w:val="0A1709B3"/>
    <w:rsid w:val="0A910C67"/>
    <w:rsid w:val="0B895A7E"/>
    <w:rsid w:val="0DA74E3C"/>
    <w:rsid w:val="0EBF659B"/>
    <w:rsid w:val="0F476852"/>
    <w:rsid w:val="10EF2C51"/>
    <w:rsid w:val="17F92FBA"/>
    <w:rsid w:val="1FB8420F"/>
    <w:rsid w:val="23D0643C"/>
    <w:rsid w:val="247328C7"/>
    <w:rsid w:val="25A8406F"/>
    <w:rsid w:val="29B737F7"/>
    <w:rsid w:val="2C1803D1"/>
    <w:rsid w:val="2C736189"/>
    <w:rsid w:val="30857540"/>
    <w:rsid w:val="38051971"/>
    <w:rsid w:val="3AAC3353"/>
    <w:rsid w:val="3B3E4A0E"/>
    <w:rsid w:val="3DAE4CC9"/>
    <w:rsid w:val="3FC074ED"/>
    <w:rsid w:val="43170D39"/>
    <w:rsid w:val="47EF4901"/>
    <w:rsid w:val="48AB78C3"/>
    <w:rsid w:val="48B50DCA"/>
    <w:rsid w:val="4AEE2F19"/>
    <w:rsid w:val="4C5B6BF5"/>
    <w:rsid w:val="5140789F"/>
    <w:rsid w:val="52C93EF0"/>
    <w:rsid w:val="57A342E1"/>
    <w:rsid w:val="586725A2"/>
    <w:rsid w:val="5D1B6BFB"/>
    <w:rsid w:val="5E051974"/>
    <w:rsid w:val="60B47FCB"/>
    <w:rsid w:val="666A7063"/>
    <w:rsid w:val="683E3232"/>
    <w:rsid w:val="6C140B53"/>
    <w:rsid w:val="6E9F2557"/>
    <w:rsid w:val="6FAD28C8"/>
    <w:rsid w:val="70C43FF4"/>
    <w:rsid w:val="79057344"/>
    <w:rsid w:val="7CF042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6"/>
    <w:qFormat/>
    <w:uiPriority w:val="0"/>
    <w:pPr>
      <w:spacing w:before="340" w:after="330" w:line="360" w:lineRule="auto"/>
      <w:jc w:val="center"/>
      <w:outlineLvl w:val="0"/>
    </w:pPr>
    <w:rPr>
      <w:bCs w:val="0"/>
      <w:kern w:val="0"/>
      <w:szCs w:val="28"/>
    </w:rPr>
  </w:style>
  <w:style w:type="paragraph" w:styleId="2">
    <w:name w:val="heading 2"/>
    <w:basedOn w:val="1"/>
    <w:next w:val="3"/>
    <w:link w:val="71"/>
    <w:qFormat/>
    <w:uiPriority w:val="0"/>
    <w:pPr>
      <w:adjustRightInd w:val="0"/>
      <w:jc w:val="center"/>
      <w:textAlignment w:val="baseline"/>
      <w:outlineLvl w:val="1"/>
    </w:pPr>
    <w:rPr>
      <w:kern w:val="0"/>
      <w:sz w:val="24"/>
      <w:szCs w:val="20"/>
    </w:rPr>
  </w:style>
  <w:style w:type="paragraph" w:styleId="5">
    <w:name w:val="heading 3"/>
    <w:basedOn w:val="6"/>
    <w:next w:val="1"/>
    <w:link w:val="55"/>
    <w:qFormat/>
    <w:uiPriority w:val="9"/>
    <w:pPr>
      <w:spacing w:before="260" w:after="260" w:line="240" w:lineRule="auto"/>
      <w:outlineLvl w:val="2"/>
    </w:pPr>
    <w:rPr>
      <w:rFonts w:ascii="宋体" w:hAnsi="宋体" w:eastAsia="宋体"/>
      <w:szCs w:val="32"/>
    </w:rPr>
  </w:style>
  <w:style w:type="paragraph" w:styleId="6">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3"/>
    <w:link w:val="80"/>
    <w:qFormat/>
    <w:uiPriority w:val="0"/>
    <w:pPr>
      <w:keepNext/>
      <w:keepLines/>
      <w:spacing w:before="280" w:after="290" w:line="376" w:lineRule="auto"/>
      <w:outlineLvl w:val="4"/>
    </w:pPr>
    <w:rPr>
      <w:b/>
      <w:sz w:val="28"/>
      <w:szCs w:val="20"/>
    </w:rPr>
  </w:style>
  <w:style w:type="paragraph" w:styleId="8">
    <w:name w:val="heading 6"/>
    <w:basedOn w:val="1"/>
    <w:next w:val="3"/>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3"/>
    <w:link w:val="84"/>
    <w:qFormat/>
    <w:uiPriority w:val="0"/>
    <w:pPr>
      <w:keepNext/>
      <w:keepLines/>
      <w:spacing w:before="240" w:after="64" w:line="320" w:lineRule="auto"/>
      <w:outlineLvl w:val="6"/>
    </w:pPr>
    <w:rPr>
      <w:b/>
      <w:sz w:val="24"/>
      <w:szCs w:val="20"/>
    </w:rPr>
  </w:style>
  <w:style w:type="paragraph" w:styleId="10">
    <w:name w:val="heading 8"/>
    <w:basedOn w:val="1"/>
    <w:next w:val="3"/>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3"/>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link w:val="92"/>
    <w:qFormat/>
    <w:uiPriority w:val="0"/>
    <w:pPr>
      <w:spacing w:line="360" w:lineRule="auto"/>
    </w:pPr>
    <w:rPr>
      <w:b/>
      <w:bCs/>
      <w:sz w:val="24"/>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99"/>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5"/>
    <w:qFormat/>
    <w:uiPriority w:val="99"/>
    <w:pPr>
      <w:autoSpaceDE/>
      <w:autoSpaceDN/>
      <w:adjustRightInd/>
      <w:textAlignment w:val="auto"/>
    </w:pPr>
    <w:rPr>
      <w:rFonts w:ascii="Times New Roman"/>
      <w:b/>
      <w:bCs/>
      <w:kern w:val="2"/>
      <w:sz w:val="21"/>
      <w:szCs w:val="24"/>
    </w:rPr>
  </w:style>
  <w:style w:type="paragraph" w:styleId="42">
    <w:name w:val="Body Text First Indent"/>
    <w:basedOn w:val="18"/>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sz w:val="20"/>
    </w:rPr>
  </w:style>
  <w:style w:type="character" w:styleId="51">
    <w:name w:val="Hyperlink"/>
    <w:qFormat/>
    <w:uiPriority w:val="0"/>
    <w:rPr>
      <w:color w:val="0000FF"/>
      <w:u w:val="single"/>
    </w:rPr>
  </w:style>
  <w:style w:type="character" w:styleId="52">
    <w:name w:val="annotation reference"/>
    <w:basedOn w:val="46"/>
    <w:qFormat/>
    <w:uiPriority w:val="99"/>
    <w:rPr>
      <w:sz w:val="21"/>
      <w:szCs w:val="21"/>
    </w:rPr>
  </w:style>
  <w:style w:type="character" w:customStyle="1" w:styleId="53">
    <w:name w:val="标题 4 Char"/>
    <w:link w:val="6"/>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5"/>
    <w:qFormat/>
    <w:uiPriority w:val="9"/>
    <w:rPr>
      <w:rFonts w:ascii="宋体" w:hAnsi="宋体" w:eastAsia="宋体"/>
      <w:b/>
      <w:bCs/>
      <w:kern w:val="2"/>
      <w:sz w:val="28"/>
      <w:szCs w:val="32"/>
      <w:lang w:val="en-US" w:eastAsia="zh-CN" w:bidi="ar-SA"/>
    </w:rPr>
  </w:style>
  <w:style w:type="character" w:customStyle="1" w:styleId="56">
    <w:name w:val="标题 1 Char"/>
    <w:link w:val="4"/>
    <w:qFormat/>
    <w:uiPriority w:val="0"/>
    <w:rPr>
      <w:rFonts w:ascii="宋体" w:hAnsi="宋体"/>
      <w:b/>
      <w:sz w:val="28"/>
      <w:szCs w:val="28"/>
    </w:rPr>
  </w:style>
  <w:style w:type="character" w:customStyle="1" w:styleId="57">
    <w:name w:val="正文缩进 Char"/>
    <w:link w:val="3"/>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Char"/>
    <w:link w:val="2"/>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2"/>
    <w:qFormat/>
    <w:uiPriority w:val="0"/>
    <w:pPr>
      <w:adjustRightInd/>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Char"/>
    <w:link w:val="19"/>
    <w:qFormat/>
    <w:uiPriority w:val="0"/>
    <w:rPr>
      <w:rFonts w:eastAsia="宋体"/>
      <w:kern w:val="2"/>
      <w:sz w:val="21"/>
      <w:szCs w:val="24"/>
      <w:lang w:val="en-US" w:eastAsia="zh-CN" w:bidi="ar-SA"/>
    </w:rPr>
  </w:style>
  <w:style w:type="character" w:customStyle="1" w:styleId="80">
    <w:name w:val="标题 5 Char"/>
    <w:link w:val="7"/>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Char"/>
    <w:link w:val="8"/>
    <w:qFormat/>
    <w:uiPriority w:val="0"/>
    <w:rPr>
      <w:rFonts w:ascii="Arial" w:hAnsi="Arial" w:eastAsia="黑体"/>
      <w:b/>
      <w:kern w:val="2"/>
      <w:sz w:val="24"/>
      <w:lang w:val="en-US" w:eastAsia="zh-CN" w:bidi="ar-SA"/>
    </w:rPr>
  </w:style>
  <w:style w:type="character" w:customStyle="1" w:styleId="84">
    <w:name w:val="标题 7 Char"/>
    <w:link w:val="9"/>
    <w:qFormat/>
    <w:uiPriority w:val="0"/>
    <w:rPr>
      <w:rFonts w:eastAsia="宋体"/>
      <w:b/>
      <w:kern w:val="2"/>
      <w:sz w:val="24"/>
      <w:lang w:val="en-US" w:eastAsia="zh-CN" w:bidi="ar-SA"/>
    </w:rPr>
  </w:style>
  <w:style w:type="character" w:customStyle="1" w:styleId="85">
    <w:name w:val="标题 8 Char"/>
    <w:link w:val="10"/>
    <w:qFormat/>
    <w:uiPriority w:val="0"/>
    <w:rPr>
      <w:rFonts w:ascii="Arial" w:hAnsi="Arial" w:eastAsia="黑体"/>
      <w:kern w:val="2"/>
      <w:sz w:val="24"/>
      <w:lang w:val="en-US" w:eastAsia="zh-CN" w:bidi="ar-SA"/>
    </w:rPr>
  </w:style>
  <w:style w:type="character" w:customStyle="1" w:styleId="86">
    <w:name w:val="标题 9 Char"/>
    <w:link w:val="11"/>
    <w:qFormat/>
    <w:uiPriority w:val="0"/>
    <w:rPr>
      <w:rFonts w:ascii="Arial" w:hAnsi="Arial" w:eastAsia="黑体"/>
      <w:kern w:val="2"/>
      <w:sz w:val="21"/>
      <w:lang w:val="en-US" w:eastAsia="zh-CN" w:bidi="ar-SA"/>
    </w:rPr>
  </w:style>
  <w:style w:type="character" w:customStyle="1" w:styleId="87">
    <w:name w:val="标题 Char"/>
    <w:link w:val="40"/>
    <w:qFormat/>
    <w:uiPriority w:val="0"/>
    <w:rPr>
      <w:rFonts w:ascii="Arial" w:hAnsi="Arial" w:eastAsia="隶书" w:cs="Arial"/>
      <w:b/>
      <w:bCs/>
      <w:kern w:val="2"/>
      <w:sz w:val="32"/>
      <w:szCs w:val="32"/>
      <w:lang w:val="en-US" w:eastAsia="zh-CN" w:bidi="ar-SA"/>
    </w:rPr>
  </w:style>
  <w:style w:type="character" w:customStyle="1" w:styleId="88">
    <w:name w:val="日期 Char"/>
    <w:link w:val="24"/>
    <w:qFormat/>
    <w:uiPriority w:val="0"/>
    <w:rPr>
      <w:rFonts w:ascii="宋体" w:hAnsi="Courier New" w:eastAsia="宋体"/>
      <w:kern w:val="2"/>
      <w:sz w:val="32"/>
      <w:lang w:val="en-US" w:eastAsia="zh-CN" w:bidi="ar-SA"/>
    </w:rPr>
  </w:style>
  <w:style w:type="character" w:customStyle="1" w:styleId="89">
    <w:name w:val="HTML 预设格式 Char"/>
    <w:link w:val="37"/>
    <w:qFormat/>
    <w:uiPriority w:val="0"/>
    <w:rPr>
      <w:rFonts w:ascii="Arial Unicode MS" w:hAnsi="Arial Unicode MS" w:eastAsia="Arial Unicode MS"/>
      <w:color w:val="000000"/>
      <w:lang w:val="en-US" w:eastAsia="zh-CN" w:bidi="ar-SA"/>
    </w:rPr>
  </w:style>
  <w:style w:type="character" w:customStyle="1" w:styleId="90">
    <w:name w:val="纯文本 Char"/>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Char"/>
    <w:link w:val="18"/>
    <w:qFormat/>
    <w:uiPriority w:val="0"/>
    <w:rPr>
      <w:rFonts w:eastAsia="宋体"/>
      <w:b/>
      <w:bCs/>
      <w:kern w:val="2"/>
      <w:sz w:val="24"/>
      <w:szCs w:val="24"/>
      <w:lang w:val="en-US" w:eastAsia="zh-CN" w:bidi="ar-SA"/>
    </w:rPr>
  </w:style>
  <w:style w:type="character" w:customStyle="1" w:styleId="93">
    <w:name w:val="正文文本缩进 2 Char"/>
    <w:link w:val="25"/>
    <w:qFormat/>
    <w:uiPriority w:val="0"/>
    <w:rPr>
      <w:rFonts w:ascii="宋体" w:hAnsi="宋体" w:eastAsia="宋体"/>
      <w:kern w:val="2"/>
      <w:sz w:val="21"/>
      <w:szCs w:val="24"/>
      <w:lang w:val="en-US" w:eastAsia="zh-CN" w:bidi="ar-SA"/>
    </w:rPr>
  </w:style>
  <w:style w:type="character" w:customStyle="1" w:styleId="94">
    <w:name w:val="页眉 Char"/>
    <w:link w:val="28"/>
    <w:qFormat/>
    <w:uiPriority w:val="99"/>
    <w:rPr>
      <w:rFonts w:eastAsia="宋体"/>
      <w:kern w:val="2"/>
      <w:sz w:val="18"/>
      <w:szCs w:val="18"/>
      <w:lang w:val="en-US" w:eastAsia="zh-CN" w:bidi="ar-SA"/>
    </w:rPr>
  </w:style>
  <w:style w:type="character" w:customStyle="1" w:styleId="95">
    <w:name w:val="正文文本缩进 3 Char"/>
    <w:link w:val="33"/>
    <w:qFormat/>
    <w:uiPriority w:val="0"/>
    <w:rPr>
      <w:rFonts w:ascii="宋体" w:eastAsia="宋体"/>
      <w:b/>
      <w:bCs/>
      <w:kern w:val="2"/>
      <w:sz w:val="24"/>
      <w:szCs w:val="24"/>
      <w:lang w:val="en-US" w:eastAsia="zh-CN" w:bidi="ar-SA"/>
    </w:rPr>
  </w:style>
  <w:style w:type="character" w:customStyle="1" w:styleId="96">
    <w:name w:val="正文文本 2 Char"/>
    <w:link w:val="36"/>
    <w:qFormat/>
    <w:uiPriority w:val="0"/>
    <w:rPr>
      <w:rFonts w:eastAsia="宋体"/>
      <w:kern w:val="2"/>
      <w:sz w:val="24"/>
      <w:szCs w:val="24"/>
      <w:lang w:val="en-US" w:eastAsia="zh-CN" w:bidi="ar-SA"/>
    </w:rPr>
  </w:style>
  <w:style w:type="character" w:customStyle="1" w:styleId="97">
    <w:name w:val="页脚 Char"/>
    <w:link w:val="27"/>
    <w:qFormat/>
    <w:uiPriority w:val="0"/>
    <w:rPr>
      <w:rFonts w:eastAsia="宋体"/>
      <w:kern w:val="2"/>
      <w:sz w:val="18"/>
      <w:szCs w:val="18"/>
      <w:lang w:val="en-US" w:eastAsia="zh-CN" w:bidi="ar-SA"/>
    </w:rPr>
  </w:style>
  <w:style w:type="character" w:customStyle="1" w:styleId="98">
    <w:name w:val="正文文本 3 Char"/>
    <w:link w:val="17"/>
    <w:qFormat/>
    <w:uiPriority w:val="0"/>
    <w:rPr>
      <w:rFonts w:eastAsia="宋体"/>
      <w:kern w:val="2"/>
      <w:sz w:val="16"/>
      <w:szCs w:val="16"/>
      <w:lang w:val="en-US" w:eastAsia="zh-CN" w:bidi="ar-SA"/>
    </w:rPr>
  </w:style>
  <w:style w:type="character" w:customStyle="1" w:styleId="99">
    <w:name w:val="批注框文本 Char"/>
    <w:link w:val="26"/>
    <w:semiHidden/>
    <w:qFormat/>
    <w:uiPriority w:val="99"/>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Char"/>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3"/>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19"/>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Char"/>
    <w:basedOn w:val="46"/>
    <w:link w:val="16"/>
    <w:qFormat/>
    <w:uiPriority w:val="0"/>
    <w:rPr>
      <w:rFonts w:ascii="宋体"/>
      <w:sz w:val="34"/>
    </w:rPr>
  </w:style>
  <w:style w:type="character" w:customStyle="1" w:styleId="185">
    <w:name w:val="批注主题 Char"/>
    <w:basedOn w:val="184"/>
    <w:link w:val="41"/>
    <w:qFormat/>
    <w:uiPriority w:val="99"/>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Char"/>
    <w:basedOn w:val="46"/>
    <w:link w:val="31"/>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Char"/>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Char"/>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table" w:customStyle="1" w:styleId="469">
    <w:name w:val="Table Grid1"/>
    <w:basedOn w:val="4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0">
    <w:name w:val="正文缩进 Char1"/>
    <w:qFormat/>
    <w:uiPriority w:val="0"/>
    <w:rPr>
      <w:rFonts w:eastAsia="宋体"/>
      <w:kern w:val="2"/>
      <w:sz w:val="21"/>
      <w:lang w:val="en-US" w:eastAsia="zh-CN" w:bidi="ar-SA"/>
    </w:rPr>
  </w:style>
  <w:style w:type="character" w:customStyle="1" w:styleId="471">
    <w:name w:val="fielderror"/>
    <w:basedOn w:val="46"/>
    <w:qFormat/>
    <w:uiPriority w:val="0"/>
    <w:rPr>
      <w:color w:val="800000"/>
    </w:rPr>
  </w:style>
  <w:style w:type="character" w:customStyle="1" w:styleId="472">
    <w:name w:val="hilite6"/>
    <w:basedOn w:val="46"/>
    <w:qFormat/>
    <w:uiPriority w:val="0"/>
    <w:rPr>
      <w:color w:val="000000"/>
    </w:rPr>
  </w:style>
  <w:style w:type="character" w:customStyle="1" w:styleId="473">
    <w:name w:val="active6"/>
    <w:basedOn w:val="46"/>
    <w:qFormat/>
    <w:uiPriority w:val="0"/>
    <w:rPr>
      <w:color w:val="FFFFFF"/>
    </w:rPr>
  </w:style>
  <w:style w:type="character" w:customStyle="1" w:styleId="474">
    <w:name w:val="inline-help"/>
    <w:basedOn w:val="46"/>
    <w:qFormat/>
    <w:uiPriority w:val="0"/>
  </w:style>
  <w:style w:type="character" w:customStyle="1" w:styleId="475">
    <w:name w:val="active"/>
    <w:basedOn w:val="46"/>
    <w:qFormat/>
    <w:uiPriority w:val="0"/>
    <w:rPr>
      <w:color w:val="FFFFFF"/>
    </w:rPr>
  </w:style>
  <w:style w:type="character" w:customStyle="1" w:styleId="476">
    <w:name w:val="批注文字 Char3"/>
    <w:basedOn w:val="46"/>
    <w:semiHidden/>
    <w:qFormat/>
    <w:uiPriority w:val="0"/>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57701-BA87-41C1-834B-13EA421555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39074</Words>
  <Characters>4289</Characters>
  <Lines>35</Lines>
  <Paragraphs>86</Paragraphs>
  <TotalTime>4</TotalTime>
  <ScaleCrop>false</ScaleCrop>
  <LinksUpToDate>false</LinksUpToDate>
  <CharactersWithSpaces>43277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2021-09-17T06:07:00Z</dcterms:created>
  <dc:creator>thsware</dc:creator>
  <cp:lastModifiedBy>罗忠琴</cp:lastModifiedBy>
  <cp:lastPrinted>2018-11-06T09:21:00Z</cp:lastPrinted>
  <dcterms:modified xsi:type="dcterms:W3CDTF">2021-10-20T03:52:22Z</dcterms:modified>
  <dc:title>招  标　文　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35A3860CCC1A42A1B8C4F8D6C492A0E7</vt:lpwstr>
  </property>
</Properties>
</file>