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深圳市眼科医院医用设备提升-眼前节测量评估系统项目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SZCG2021200968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深圳市眼科医院医用设备提升-眼前节测量评估系统项目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5"/>
        <w:gridCol w:w="663"/>
        <w:gridCol w:w="2672"/>
        <w:gridCol w:w="1094"/>
        <w:gridCol w:w="3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投标人需充分说明技术保障措施，包括①项目组织管理方案、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②项目进度计划、③项目质量控制措施、④项目进度控制措施、⑤项目技术实力共5项保障措施: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1、保障措施等于5项，得100分；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2、保障措施3-4项的，得50分；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投标人应如实填写《技术要求偏离表》，评审委员会根据技术需求参数响应情况进行打分，各项技术参数指标及要求全部满足的得100分， 带▲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参数为重点参数，每负偏离一项扣10分；其他一般参数每偏离一项扣5分，扣完为止；正偏离不加分。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1.投标人应如实填写《商务要求偏离表（免费保修期内售后服务要求）》，评审委员会根据响应情况进行打分。在满足免费保修期的基础上，每增加一年加20分，最高得60分。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投标人应如实填写《商务要求偏离表（免费保修期外售后服务要求）》，评审委员会根据响应情况进行打分，全部满足要求的得100分，每负偏离一项扣20分。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投标人应如实填写《商务要求偏离表（其他商务要求）》，评审委员会根据响应情况进行打分，全部满足要求的得100分，每负偏离一项扣7分。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一、投标函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二、政府采购投标及履约承诺函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三、分项报价清单</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四、投标供应商情况及资格证明文件</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bt合同条款及格式"/>
      <w:bookmarkEnd w:id="3"/>
      <w:bookmarkStart w:id="4" w:name="bt商务标投标文件格式"/>
      <w:bookmarkEnd w:id="4"/>
      <w:bookmarkStart w:id="5" w:name="bt其他资料由投标人自定"/>
      <w:bookmarkEnd w:id="5"/>
      <w:bookmarkStart w:id="6" w:name="bt投标人须知"/>
      <w:bookmarkEnd w:id="6"/>
      <w:bookmarkStart w:id="7" w:name="合同格式"/>
      <w:bookmarkEnd w:id="7"/>
      <w:bookmarkStart w:id="8" w:name="bt投标文件签署授权委托书"/>
      <w:bookmarkEnd w:id="8"/>
      <w:bookmarkStart w:id="9" w:name="bt投标函"/>
      <w:bookmarkEnd w:id="9"/>
      <w:bookmarkStart w:id="10" w:name="bt投标报价汇总表"/>
      <w:bookmarkEnd w:id="10"/>
      <w:bookmarkStart w:id="11" w:name="bt说明"/>
      <w:bookmarkEnd w:id="11"/>
      <w:bookmarkStart w:id="12" w:name="bt其他资料2"/>
      <w:bookmarkEnd w:id="12"/>
      <w:bookmarkStart w:id="13" w:name="bt开标一览表"/>
      <w:bookmarkEnd w:id="13"/>
      <w:bookmarkStart w:id="14" w:name="bt技术标投标文件格式"/>
      <w:bookmarkEnd w:id="14"/>
      <w:bookmarkStart w:id="15" w:name="bt合同格式"/>
      <w:bookmarkEnd w:id="15"/>
      <w:bookmarkStart w:id="16" w:name="bt本工程承诺书"/>
      <w:bookmarkEnd w:id="16"/>
      <w:bookmarkStart w:id="17" w:name="bt投标人情况介绍"/>
      <w:bookmarkEnd w:id="17"/>
      <w:bookmarkStart w:id="18" w:name="bt项目管理班子配备情况"/>
      <w:bookmarkEnd w:id="18"/>
      <w:bookmarkStart w:id="19" w:name="bt合同条款"/>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101074876"/>
      <w:bookmarkStart w:id="21" w:name="_Toc60560625"/>
      <w:bookmarkStart w:id="22" w:name="_Toc100052364"/>
      <w:bookmarkStart w:id="23" w:name="_Toc73517639"/>
      <w:bookmarkStart w:id="24" w:name="_Toc73518117"/>
      <w:bookmarkStart w:id="25" w:name="_Toc60631620"/>
      <w:bookmarkStart w:id="26" w:name="_Toc73521547"/>
      <w:bookmarkStart w:id="27" w:name="_Toc73521635"/>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%，投标供应商自主选择以支票、汇票、本票、保函等非现金形式缴纳或提交。</w:t>
            </w:r>
            <w:r>
              <w:rPr>
                <w:rFonts w:hint="eastAsia"/>
                <w:color w:val="FF0000"/>
                <w:highlight w:val="yellow"/>
              </w:rPr>
              <w:t>履约保证金在中标人履行完成合同约定权利义务事项在质保期结束后60日内按原方式退还，不计利息。</w:t>
            </w:r>
            <w:r>
              <w:rPr>
                <w:rFonts w:hint="eastAsia"/>
                <w:color w:val="FF0000"/>
              </w:rPr>
              <w:t>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pPr>
        <w:rPr>
          <w:rFonts w:ascii="宋体" w:hAnsi="宋体"/>
          <w:b/>
          <w:color w:val="FF0000"/>
          <w:szCs w:val="21"/>
        </w:rPr>
      </w:pPr>
      <w:r>
        <w:rPr>
          <w:rFonts w:hint="eastAsia" w:ascii="宋体" w:hAnsi="宋体"/>
          <w:b/>
          <w:color w:val="FF0000"/>
          <w:szCs w:val="21"/>
        </w:rPr>
        <w:t>（一）货物总清单</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56"/>
        <w:gridCol w:w="2337"/>
        <w:gridCol w:w="584"/>
        <w:gridCol w:w="394"/>
        <w:gridCol w:w="117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2056" w:type="dxa"/>
            <w:vAlign w:val="center"/>
          </w:tcPr>
          <w:p>
            <w:pPr>
              <w:jc w:val="center"/>
              <w:rPr>
                <w:bCs/>
                <w:szCs w:val="21"/>
              </w:rPr>
            </w:pPr>
            <w:r>
              <w:rPr>
                <w:rFonts w:hint="eastAsia"/>
                <w:szCs w:val="21"/>
              </w:rPr>
              <w:t>采购计划编号</w:t>
            </w:r>
          </w:p>
        </w:tc>
        <w:tc>
          <w:tcPr>
            <w:tcW w:w="2337" w:type="dxa"/>
            <w:vAlign w:val="center"/>
          </w:tcPr>
          <w:p>
            <w:pPr>
              <w:jc w:val="center"/>
              <w:rPr>
                <w:bCs/>
                <w:szCs w:val="21"/>
              </w:rPr>
            </w:pPr>
            <w:r>
              <w:rPr>
                <w:rFonts w:hint="eastAsia"/>
                <w:bCs/>
                <w:szCs w:val="21"/>
              </w:rPr>
              <w:t>货物名称</w:t>
            </w:r>
          </w:p>
        </w:tc>
        <w:tc>
          <w:tcPr>
            <w:tcW w:w="584" w:type="dxa"/>
            <w:vAlign w:val="center"/>
          </w:tcPr>
          <w:p>
            <w:pPr>
              <w:jc w:val="center"/>
              <w:rPr>
                <w:bCs/>
                <w:szCs w:val="21"/>
              </w:rPr>
            </w:pPr>
            <w:r>
              <w:rPr>
                <w:rFonts w:hint="eastAsia"/>
                <w:bCs/>
                <w:szCs w:val="21"/>
              </w:rPr>
              <w:t>数量</w:t>
            </w:r>
          </w:p>
        </w:tc>
        <w:tc>
          <w:tcPr>
            <w:tcW w:w="394" w:type="dxa"/>
            <w:vAlign w:val="center"/>
          </w:tcPr>
          <w:p>
            <w:pPr>
              <w:jc w:val="center"/>
              <w:rPr>
                <w:bCs/>
                <w:szCs w:val="21"/>
              </w:rPr>
            </w:pPr>
            <w:r>
              <w:rPr>
                <w:rFonts w:hint="eastAsia"/>
                <w:bCs/>
                <w:szCs w:val="21"/>
              </w:rPr>
              <w:t>单位</w:t>
            </w:r>
          </w:p>
        </w:tc>
        <w:tc>
          <w:tcPr>
            <w:tcW w:w="1179" w:type="dxa"/>
            <w:vAlign w:val="center"/>
          </w:tcPr>
          <w:p>
            <w:pPr>
              <w:jc w:val="center"/>
              <w:rPr>
                <w:b/>
                <w:bCs/>
                <w:color w:val="FF0000"/>
                <w:szCs w:val="21"/>
              </w:rPr>
            </w:pPr>
            <w:r>
              <w:rPr>
                <w:rFonts w:hint="eastAsia"/>
                <w:b/>
                <w:bCs/>
                <w:color w:val="FF0000"/>
                <w:szCs w:val="21"/>
              </w:rPr>
              <w:t>备注</w:t>
            </w:r>
          </w:p>
        </w:tc>
        <w:tc>
          <w:tcPr>
            <w:tcW w:w="1551" w:type="dxa"/>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tcPr>
          <w:p>
            <w:pPr>
              <w:jc w:val="center"/>
              <w:rPr>
                <w:bCs/>
                <w:szCs w:val="21"/>
              </w:rPr>
            </w:pPr>
            <w:r>
              <w:rPr>
                <w:rFonts w:hint="eastAsia"/>
                <w:bCs/>
                <w:szCs w:val="21"/>
              </w:rPr>
              <w:t>1</w:t>
            </w:r>
          </w:p>
        </w:tc>
        <w:tc>
          <w:tcPr>
            <w:tcW w:w="2056" w:type="dxa"/>
          </w:tcPr>
          <w:p>
            <w:pPr>
              <w:jc w:val="center"/>
              <w:rPr>
                <w:szCs w:val="21"/>
                <w:highlight w:val="none"/>
              </w:rPr>
            </w:pPr>
            <w:r>
              <w:rPr>
                <w:rFonts w:hint="eastAsia"/>
                <w:szCs w:val="21"/>
                <w:highlight w:val="none"/>
              </w:rPr>
              <w:t xml:space="preserve">PLAN-2021-440301-0102018021-01126 </w:t>
            </w:r>
          </w:p>
        </w:tc>
        <w:tc>
          <w:tcPr>
            <w:tcW w:w="2337" w:type="dxa"/>
          </w:tcPr>
          <w:p>
            <w:pPr>
              <w:jc w:val="center"/>
              <w:rPr>
                <w:szCs w:val="21"/>
                <w:highlight w:val="none"/>
              </w:rPr>
            </w:pPr>
            <w:r>
              <w:rPr>
                <w:rFonts w:hint="eastAsia"/>
                <w:szCs w:val="21"/>
                <w:highlight w:val="none"/>
              </w:rPr>
              <w:t>深圳市眼科医院医用设备提升-眼前节测量评估系统一台</w:t>
            </w:r>
          </w:p>
        </w:tc>
        <w:tc>
          <w:tcPr>
            <w:tcW w:w="584" w:type="dxa"/>
          </w:tcPr>
          <w:p>
            <w:pPr>
              <w:jc w:val="center"/>
              <w:rPr>
                <w:szCs w:val="21"/>
              </w:rPr>
            </w:pPr>
            <w:r>
              <w:rPr>
                <w:rFonts w:hint="eastAsia"/>
                <w:szCs w:val="21"/>
              </w:rPr>
              <w:t>1</w:t>
            </w:r>
          </w:p>
        </w:tc>
        <w:tc>
          <w:tcPr>
            <w:tcW w:w="394" w:type="dxa"/>
          </w:tcPr>
          <w:p>
            <w:pPr>
              <w:jc w:val="center"/>
              <w:rPr>
                <w:szCs w:val="21"/>
              </w:rPr>
            </w:pPr>
            <w:r>
              <w:rPr>
                <w:rFonts w:hint="eastAsia"/>
                <w:szCs w:val="21"/>
              </w:rPr>
              <w:t>台</w:t>
            </w:r>
          </w:p>
        </w:tc>
        <w:tc>
          <w:tcPr>
            <w:tcW w:w="1179" w:type="dxa"/>
          </w:tcPr>
          <w:p>
            <w:pPr>
              <w:jc w:val="center"/>
              <w:rPr>
                <w:szCs w:val="21"/>
              </w:rPr>
            </w:pPr>
            <w:r>
              <w:rPr>
                <w:rFonts w:hint="eastAsia"/>
              </w:rPr>
              <w:t>接受进口</w:t>
            </w:r>
          </w:p>
        </w:tc>
        <w:tc>
          <w:tcPr>
            <w:tcW w:w="1551" w:type="dxa"/>
          </w:tcPr>
          <w:p>
            <w:pPr>
              <w:jc w:val="center"/>
              <w:rPr>
                <w:bCs/>
                <w:szCs w:val="21"/>
              </w:rPr>
            </w:pPr>
            <w:r>
              <w:rPr>
                <w:rFonts w:hint="eastAsia"/>
                <w:bCs/>
                <w:szCs w:val="21"/>
              </w:rPr>
              <w:t>1,100,000.00</w:t>
            </w:r>
          </w:p>
        </w:tc>
      </w:tr>
    </w:tbl>
    <w:p>
      <w:pPr>
        <w:rPr>
          <w:rFonts w:ascii="宋体" w:hAnsi="宋体"/>
          <w:b/>
          <w:color w:val="FF0000"/>
          <w:szCs w:val="21"/>
        </w:rPr>
      </w:pPr>
    </w:p>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2"/>
        <w:gridCol w:w="2268"/>
        <w:gridCol w:w="385"/>
        <w:gridCol w:w="315"/>
        <w:gridCol w:w="966"/>
        <w:gridCol w:w="113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2172" w:type="dxa"/>
            <w:vAlign w:val="center"/>
          </w:tcPr>
          <w:p>
            <w:pPr>
              <w:jc w:val="center"/>
              <w:rPr>
                <w:bCs/>
                <w:szCs w:val="21"/>
              </w:rPr>
            </w:pPr>
            <w:r>
              <w:rPr>
                <w:rFonts w:hint="eastAsia"/>
                <w:szCs w:val="21"/>
              </w:rPr>
              <w:t>采购计划编号</w:t>
            </w:r>
          </w:p>
        </w:tc>
        <w:tc>
          <w:tcPr>
            <w:tcW w:w="2268" w:type="dxa"/>
            <w:vAlign w:val="center"/>
          </w:tcPr>
          <w:p>
            <w:pPr>
              <w:jc w:val="center"/>
              <w:rPr>
                <w:bCs/>
                <w:szCs w:val="21"/>
              </w:rPr>
            </w:pPr>
            <w:r>
              <w:rPr>
                <w:rFonts w:hint="eastAsia"/>
                <w:bCs/>
                <w:szCs w:val="21"/>
              </w:rPr>
              <w:t>货物名称</w:t>
            </w:r>
          </w:p>
        </w:tc>
        <w:tc>
          <w:tcPr>
            <w:tcW w:w="385" w:type="dxa"/>
            <w:vAlign w:val="center"/>
          </w:tcPr>
          <w:p>
            <w:pPr>
              <w:jc w:val="center"/>
              <w:rPr>
                <w:bCs/>
                <w:szCs w:val="21"/>
              </w:rPr>
            </w:pPr>
            <w:r>
              <w:rPr>
                <w:rFonts w:hint="eastAsia"/>
                <w:bCs/>
                <w:szCs w:val="21"/>
              </w:rPr>
              <w:t>数量</w:t>
            </w:r>
          </w:p>
        </w:tc>
        <w:tc>
          <w:tcPr>
            <w:tcW w:w="315" w:type="dxa"/>
            <w:vAlign w:val="center"/>
          </w:tcPr>
          <w:p>
            <w:pPr>
              <w:jc w:val="center"/>
              <w:rPr>
                <w:bCs/>
                <w:szCs w:val="21"/>
              </w:rPr>
            </w:pPr>
            <w:r>
              <w:rPr>
                <w:rFonts w:hint="eastAsia"/>
                <w:bCs/>
                <w:szCs w:val="21"/>
              </w:rPr>
              <w:t>单位</w:t>
            </w:r>
          </w:p>
        </w:tc>
        <w:tc>
          <w:tcPr>
            <w:tcW w:w="966" w:type="dxa"/>
            <w:vAlign w:val="center"/>
          </w:tcPr>
          <w:p>
            <w:pPr>
              <w:jc w:val="center"/>
              <w:rPr>
                <w:b/>
                <w:bCs/>
                <w:color w:val="FF0000"/>
                <w:szCs w:val="21"/>
              </w:rPr>
            </w:pPr>
            <w:r>
              <w:rPr>
                <w:rFonts w:hint="eastAsia"/>
                <w:b/>
                <w:bCs/>
                <w:color w:val="FF0000"/>
                <w:szCs w:val="21"/>
              </w:rPr>
              <w:t>备注</w:t>
            </w:r>
          </w:p>
        </w:tc>
        <w:tc>
          <w:tcPr>
            <w:tcW w:w="1135" w:type="dxa"/>
            <w:vAlign w:val="top"/>
          </w:tcPr>
          <w:p>
            <w:pPr>
              <w:jc w:val="center"/>
              <w:rPr>
                <w:rFonts w:hint="eastAsia"/>
                <w:b/>
                <w:bCs/>
                <w:color w:val="FF0000"/>
                <w:szCs w:val="21"/>
              </w:rPr>
            </w:pPr>
            <w:r>
              <w:rPr>
                <w:rFonts w:hint="eastAsia"/>
                <w:szCs w:val="21"/>
                <w:highlight w:val="none"/>
              </w:rPr>
              <w:t>财政预算限额（元）</w:t>
            </w:r>
          </w:p>
        </w:tc>
        <w:tc>
          <w:tcPr>
            <w:tcW w:w="865" w:type="dxa"/>
            <w:vAlign w:val="center"/>
          </w:tcPr>
          <w:p>
            <w:pPr>
              <w:jc w:val="center"/>
              <w:rPr>
                <w:b/>
                <w:bCs/>
                <w:color w:val="FF0000"/>
                <w:szCs w:val="21"/>
              </w:rPr>
            </w:pPr>
            <w:r>
              <w:rPr>
                <w:rFonts w:hint="eastAsia"/>
                <w:b/>
                <w:bCs/>
                <w:color w:val="FF000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rPr>
                <w:bCs/>
                <w:szCs w:val="21"/>
              </w:rPr>
            </w:pPr>
            <w:r>
              <w:rPr>
                <w:rFonts w:hint="eastAsia"/>
                <w:bCs/>
                <w:szCs w:val="21"/>
              </w:rPr>
              <w:t>1</w:t>
            </w:r>
          </w:p>
        </w:tc>
        <w:tc>
          <w:tcPr>
            <w:tcW w:w="2172" w:type="dxa"/>
          </w:tcPr>
          <w:p>
            <w:pPr>
              <w:jc w:val="center"/>
              <w:rPr>
                <w:bCs/>
                <w:szCs w:val="21"/>
              </w:rPr>
            </w:pPr>
            <w:r>
              <w:rPr>
                <w:rFonts w:hint="eastAsia"/>
                <w:bCs/>
                <w:szCs w:val="21"/>
              </w:rPr>
              <w:t xml:space="preserve">PLAN-2021-440301-0102018021-01126 </w:t>
            </w:r>
          </w:p>
        </w:tc>
        <w:tc>
          <w:tcPr>
            <w:tcW w:w="2268" w:type="dxa"/>
          </w:tcPr>
          <w:p>
            <w:pPr>
              <w:jc w:val="center"/>
              <w:rPr>
                <w:bCs/>
                <w:szCs w:val="21"/>
              </w:rPr>
            </w:pPr>
            <w:r>
              <w:rPr>
                <w:rFonts w:hint="eastAsia"/>
                <w:bCs/>
                <w:szCs w:val="21"/>
              </w:rPr>
              <w:t>医用设备提升-眼前节测量评估系统</w:t>
            </w:r>
          </w:p>
        </w:tc>
        <w:tc>
          <w:tcPr>
            <w:tcW w:w="385" w:type="dxa"/>
          </w:tcPr>
          <w:p>
            <w:pPr>
              <w:jc w:val="center"/>
              <w:rPr>
                <w:bCs/>
                <w:szCs w:val="21"/>
              </w:rPr>
            </w:pPr>
            <w:r>
              <w:rPr>
                <w:rFonts w:hint="eastAsia"/>
                <w:szCs w:val="21"/>
              </w:rPr>
              <w:t>1</w:t>
            </w:r>
          </w:p>
        </w:tc>
        <w:tc>
          <w:tcPr>
            <w:tcW w:w="315" w:type="dxa"/>
          </w:tcPr>
          <w:p>
            <w:pPr>
              <w:jc w:val="center"/>
              <w:rPr>
                <w:bCs/>
                <w:szCs w:val="21"/>
              </w:rPr>
            </w:pPr>
            <w:r>
              <w:rPr>
                <w:rFonts w:hint="eastAsia"/>
                <w:szCs w:val="21"/>
              </w:rPr>
              <w:t>台</w:t>
            </w:r>
          </w:p>
        </w:tc>
        <w:tc>
          <w:tcPr>
            <w:tcW w:w="966" w:type="dxa"/>
          </w:tcPr>
          <w:p>
            <w:pPr>
              <w:jc w:val="center"/>
              <w:rPr>
                <w:bCs/>
                <w:szCs w:val="21"/>
              </w:rPr>
            </w:pPr>
            <w:r>
              <w:rPr>
                <w:rFonts w:hint="eastAsia"/>
                <w:bCs/>
                <w:szCs w:val="21"/>
              </w:rPr>
              <w:t>接受进口</w:t>
            </w:r>
          </w:p>
        </w:tc>
        <w:tc>
          <w:tcPr>
            <w:tcW w:w="1135" w:type="dxa"/>
            <w:vAlign w:val="top"/>
          </w:tcPr>
          <w:p>
            <w:pPr>
              <w:jc w:val="center"/>
              <w:rPr>
                <w:rFonts w:hint="eastAsia"/>
                <w:bCs/>
                <w:szCs w:val="21"/>
              </w:rPr>
            </w:pPr>
            <w:r>
              <w:rPr>
                <w:rFonts w:hint="eastAsia"/>
                <w:bCs/>
                <w:szCs w:val="21"/>
              </w:rPr>
              <w:t>1,100,000.00</w:t>
            </w:r>
          </w:p>
        </w:tc>
        <w:tc>
          <w:tcPr>
            <w:tcW w:w="865" w:type="dxa"/>
          </w:tcPr>
          <w:p>
            <w:pPr>
              <w:jc w:val="center"/>
              <w:rPr>
                <w:bCs/>
                <w:szCs w:val="21"/>
              </w:rPr>
            </w:pPr>
            <w:r>
              <w:rPr>
                <w:rFonts w:hint="eastAsia"/>
                <w:bCs/>
                <w:szCs w:val="21"/>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highlight w:val="yellow"/>
          <w:u w:val="single"/>
        </w:rPr>
        <w:t>单一产品采购项目，不设置核心产品。</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szCs w:val="21"/>
        </w:rPr>
      </w:pPr>
      <w:r>
        <w:rPr>
          <w:rFonts w:hint="eastAsia"/>
          <w:b/>
          <w:szCs w:val="21"/>
        </w:rPr>
        <w:t>2、招标技术要求中，用红色加粗字体标注的技术条款为要求提供证明资料的条款，共</w:t>
      </w:r>
      <w:r>
        <w:rPr>
          <w:rFonts w:hint="eastAsia"/>
          <w:lang w:val="en-US" w:eastAsia="zh-CN"/>
        </w:rPr>
        <w:t>5</w:t>
      </w:r>
      <w:r>
        <w:rPr>
          <w:rFonts w:hint="eastAsia"/>
          <w:b/>
          <w:szCs w:val="21"/>
        </w:rPr>
        <w:t>项，其余为未要求提供证明资料的条款，无需提供相关证明资料。</w:t>
      </w:r>
    </w:p>
    <w:p>
      <w:pPr>
        <w:ind w:firstLine="422" w:firstLineChars="200"/>
        <w:rPr>
          <w:b/>
        </w:rPr>
      </w:pPr>
      <w:r>
        <w:rPr>
          <w:rFonts w:hint="eastAsia"/>
          <w:b/>
        </w:rPr>
        <w:t>3、评分时，如对一项招标技术要求（以划分框为准）中的内容存在两处（或以上）负偏离的，在评分时只作一项负偏离扣分。</w:t>
      </w:r>
    </w:p>
    <w:p>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75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51"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69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751" w:type="dxa"/>
            <w:vMerge w:val="restart"/>
            <w:vAlign w:val="center"/>
          </w:tcPr>
          <w:p>
            <w:pPr>
              <w:jc w:val="center"/>
              <w:rPr>
                <w:rFonts w:asciiTheme="minorEastAsia" w:hAnsiTheme="minorEastAsia" w:eastAsiaTheme="minorEastAsia" w:cstheme="minorEastAsia"/>
                <w:bCs/>
                <w:szCs w:val="21"/>
              </w:rPr>
            </w:pPr>
            <w:r>
              <w:rPr>
                <w:rFonts w:hint="eastAsia"/>
                <w:bCs/>
                <w:szCs w:val="21"/>
              </w:rPr>
              <w:t>医用设备提升-眼前节测量评估系统</w:t>
            </w:r>
          </w:p>
        </w:tc>
        <w:tc>
          <w:tcPr>
            <w:tcW w:w="6996"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1、▲测量数据点≥20000个。（要求提供产品彩页关键信息或产品制造商官网关键信息截图）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2、自动化采集，检测时间2秒/眼，并可根据患者差异选择单张扫描、图像增强扫描、3D扫描等多种扫描模式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3、三维眼位监控，体现x,y,z轴及眼动监控参数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4、自动化采集，检测时间≤2秒/眼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5、▲单一原理获取角膜前后表面地形图的原始数据，无Placido盘，确保前后表面所有数据点一一对应 （要求提供产品彩页关键信息或产品制造商官网关键信息截图）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6、▲角膜前表面数据来源于三维断层扫描技术采集的精准高度数据（要求提供产品彩页关键信息或产品制造商官网关键信息截图）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7、具有角膜前、后表面高度图，具备眼前节断层图像，可观察眼前节形态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8、高清瞳孔相机采集外眼像，自动测量白到白距离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9、▲早期圆锥角膜筛查软件：根据圆锥角膜疾病特点，基于高度数据和厚度数据联合判断圆锥风险，且具有中国人数据库（要求提供产品彩页关键信息或产品制造商官网关键信息截图）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10、圆锥角膜传统分级法：根据角膜前表面曲率数据综合判断典型圆锥等级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11、▲圆锥角膜ABCD分级法：综合考虑角膜前、后表面数据、厚度数据以及最佳矫正视力的分级法，指导圆锥角膜随访及治疗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12、▲可与生物力学设备联机诊断早期圆锥角膜（要求提供产品彩页关键信息或产品制造商官网关键信息截图）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13、早期圆锥角膜诊断,利用高度和厚度数据,进行全面地评估,保障安全性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14、二本以上圆锥角膜诊断参考教材，对圆锥角膜进行分析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15、系统的标准化诊断流程，源自用户的使用经验总结，含中国人数据库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16、支持用户自助查询任意参数含义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17、支持患者资料导出、导入，便于联合诊断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751" w:type="dxa"/>
            <w:vMerge w:val="continue"/>
          </w:tcPr>
          <w:p>
            <w:pPr>
              <w:rPr>
                <w:rFonts w:asciiTheme="minorEastAsia" w:hAnsiTheme="minorEastAsia" w:eastAsiaTheme="minorEastAsia" w:cstheme="minorEastAsia"/>
                <w:bCs/>
                <w:szCs w:val="21"/>
              </w:rPr>
            </w:pPr>
          </w:p>
        </w:tc>
        <w:tc>
          <w:tcPr>
            <w:tcW w:w="6996"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、配置清单：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19.1测量主机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19.2数据处理系统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19.3头托及下颌托支架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19.4应用软件系统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19.5彩色喷墨打印机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19.6电动升降台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19.7数据线           1个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19.8防尘罩           1个</w:t>
            </w:r>
          </w:p>
        </w:tc>
      </w:tr>
    </w:tbl>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59"/>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Align w:val="center"/>
          </w:tcPr>
          <w:p>
            <w:pPr>
              <w:jc w:val="center"/>
              <w:rPr>
                <w:b/>
              </w:rPr>
            </w:pPr>
            <w:r>
              <w:rPr>
                <w:rFonts w:hint="eastAsia"/>
                <w:b/>
              </w:rPr>
              <w:t>序号</w:t>
            </w:r>
          </w:p>
        </w:tc>
        <w:tc>
          <w:tcPr>
            <w:tcW w:w="859" w:type="dxa"/>
            <w:vAlign w:val="center"/>
          </w:tcPr>
          <w:p>
            <w:pPr>
              <w:jc w:val="center"/>
              <w:rPr>
                <w:b/>
              </w:rPr>
            </w:pPr>
            <w:r>
              <w:rPr>
                <w:rFonts w:hint="eastAsia"/>
                <w:b/>
              </w:rPr>
              <w:t>目录</w:t>
            </w:r>
          </w:p>
        </w:tc>
        <w:tc>
          <w:tcPr>
            <w:tcW w:w="7294"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7" w:type="dxa"/>
            <w:vMerge w:val="restart"/>
            <w:vAlign w:val="center"/>
          </w:tcPr>
          <w:p>
            <w:pPr>
              <w:jc w:val="center"/>
              <w:rPr>
                <w:b/>
                <w:bCs w:val="0"/>
              </w:rPr>
            </w:pPr>
            <w:r>
              <w:rPr>
                <w:rFonts w:hint="eastAsia"/>
                <w:b/>
                <w:bCs w:val="0"/>
              </w:rPr>
              <w:t>1</w:t>
            </w:r>
          </w:p>
        </w:tc>
        <w:tc>
          <w:tcPr>
            <w:tcW w:w="859" w:type="dxa"/>
            <w:vMerge w:val="restart"/>
          </w:tcPr>
          <w:p>
            <w:pPr>
              <w:rPr>
                <w:b/>
                <w:bCs w:val="0"/>
              </w:rPr>
            </w:pPr>
            <w:r>
              <w:rPr>
                <w:rFonts w:hint="eastAsia"/>
                <w:b/>
                <w:bCs w:val="0"/>
              </w:rPr>
              <w:t>维修响应及维护服务</w:t>
            </w:r>
          </w:p>
        </w:tc>
        <w:tc>
          <w:tcPr>
            <w:tcW w:w="7294" w:type="dxa"/>
          </w:tcPr>
          <w:p>
            <w:pPr>
              <w:rPr>
                <w:bCs/>
              </w:rPr>
            </w:pPr>
            <w:r>
              <w:rPr>
                <w:rFonts w:hint="eastAsia"/>
                <w:bCs/>
              </w:rPr>
              <w:t>1.1 各投标人应在投标文件中列明各主机、配件和易耗品的保 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rPr>
                <w:bCs/>
                <w:szCs w:val="21"/>
              </w:rPr>
            </w:pPr>
            <w:r>
              <w:rPr>
                <w:rFonts w:hint="eastAsia"/>
                <w:bCs/>
                <w:szCs w:val="21"/>
              </w:rPr>
              <w:t>★1.2</w:t>
            </w:r>
            <w:r>
              <w:rPr>
                <w:rFonts w:hint="eastAsia"/>
                <w:bCs/>
              </w:rPr>
              <w:t>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rPr>
                <w:rFonts w:hint="default" w:eastAsia="宋体"/>
                <w:bCs/>
                <w:lang w:val="en-US" w:eastAsia="zh-CN"/>
              </w:rPr>
            </w:pPr>
            <w:r>
              <w:rPr>
                <w:rFonts w:hint="eastAsia"/>
                <w:bCs/>
                <w:color w:val="000000" w:themeColor="text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需免费提供标准DICOM格式及开放接口、并与医院HIS、PACS系统等进行无缝对接，符合实时数据采集上传和局域网存储功能，产生费用由中标单位自行承担。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7" w:type="dxa"/>
            <w:vAlign w:val="center"/>
          </w:tcPr>
          <w:p>
            <w:pPr>
              <w:jc w:val="center"/>
              <w:rPr>
                <w:b/>
                <w:bCs w:val="0"/>
              </w:rPr>
            </w:pPr>
            <w:r>
              <w:rPr>
                <w:rFonts w:hint="eastAsia"/>
                <w:b/>
                <w:bCs w:val="0"/>
              </w:rPr>
              <w:t>2</w:t>
            </w:r>
          </w:p>
        </w:tc>
        <w:tc>
          <w:tcPr>
            <w:tcW w:w="859" w:type="dxa"/>
            <w:vAlign w:val="center"/>
          </w:tcPr>
          <w:p>
            <w:pPr>
              <w:rPr>
                <w:b/>
                <w:bCs w:val="0"/>
              </w:rPr>
            </w:pPr>
            <w:r>
              <w:rPr>
                <w:rFonts w:hint="eastAsia"/>
                <w:b/>
                <w:bCs w:val="0"/>
                <w:szCs w:val="21"/>
              </w:rPr>
              <w:t>质量保证</w:t>
            </w:r>
          </w:p>
        </w:tc>
        <w:tc>
          <w:tcPr>
            <w:tcW w:w="7294"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7" w:type="dxa"/>
            <w:vAlign w:val="center"/>
          </w:tcPr>
          <w:p>
            <w:pPr>
              <w:jc w:val="center"/>
              <w:rPr>
                <w:b/>
                <w:bCs w:val="0"/>
              </w:rPr>
            </w:pPr>
            <w:r>
              <w:rPr>
                <w:rFonts w:hint="eastAsia"/>
                <w:b/>
                <w:bCs w:val="0"/>
              </w:rPr>
              <w:t>3</w:t>
            </w:r>
          </w:p>
        </w:tc>
        <w:tc>
          <w:tcPr>
            <w:tcW w:w="859" w:type="dxa"/>
            <w:vAlign w:val="center"/>
          </w:tcPr>
          <w:p>
            <w:pPr>
              <w:rPr>
                <w:b/>
                <w:bCs w:val="0"/>
              </w:rPr>
            </w:pPr>
            <w:r>
              <w:rPr>
                <w:rFonts w:hint="eastAsia"/>
                <w:b/>
                <w:bCs w:val="0"/>
              </w:rPr>
              <w:t>其他</w:t>
            </w:r>
          </w:p>
        </w:tc>
        <w:tc>
          <w:tcPr>
            <w:tcW w:w="7294"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restart"/>
            <w:vAlign w:val="center"/>
          </w:tcPr>
          <w:p>
            <w:pPr>
              <w:jc w:val="center"/>
              <w:rPr>
                <w:bCs/>
              </w:rPr>
            </w:pPr>
            <w:r>
              <w:rPr>
                <w:rFonts w:hint="eastAsia"/>
                <w:bCs/>
              </w:rPr>
              <w:t>1</w:t>
            </w:r>
          </w:p>
        </w:tc>
        <w:tc>
          <w:tcPr>
            <w:tcW w:w="859" w:type="dxa"/>
            <w:vMerge w:val="restart"/>
          </w:tcPr>
          <w:p>
            <w:pPr>
              <w:rPr>
                <w:b/>
              </w:rPr>
            </w:pPr>
            <w:r>
              <w:rPr>
                <w:rFonts w:hint="eastAsia" w:ascii="宋体" w:hAnsi="宋体"/>
                <w:b/>
                <w:kern w:val="0"/>
                <w:szCs w:val="21"/>
              </w:rPr>
              <w:t>维修零配件、消耗品和延续保修合同的报价</w:t>
            </w:r>
          </w:p>
        </w:tc>
        <w:tc>
          <w:tcPr>
            <w:tcW w:w="7294"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Cs/>
              </w:rPr>
            </w:pPr>
          </w:p>
        </w:tc>
        <w:tc>
          <w:tcPr>
            <w:tcW w:w="859" w:type="dxa"/>
            <w:vMerge w:val="continue"/>
          </w:tcPr>
          <w:p>
            <w:pPr>
              <w:rPr>
                <w:b/>
              </w:rPr>
            </w:pPr>
          </w:p>
        </w:tc>
        <w:tc>
          <w:tcPr>
            <w:tcW w:w="7294"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Cs/>
              </w:rPr>
            </w:pPr>
          </w:p>
        </w:tc>
        <w:tc>
          <w:tcPr>
            <w:tcW w:w="859" w:type="dxa"/>
            <w:vMerge w:val="continue"/>
          </w:tcPr>
          <w:p>
            <w:pPr>
              <w:rPr>
                <w:b/>
              </w:rPr>
            </w:pPr>
          </w:p>
        </w:tc>
        <w:tc>
          <w:tcPr>
            <w:tcW w:w="7294"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jc w:val="center"/>
              <w:rPr>
                <w:bCs/>
              </w:rPr>
            </w:pPr>
          </w:p>
        </w:tc>
        <w:tc>
          <w:tcPr>
            <w:tcW w:w="859" w:type="dxa"/>
            <w:vMerge w:val="continue"/>
          </w:tcPr>
          <w:p>
            <w:pPr>
              <w:rPr>
                <w:b/>
              </w:rPr>
            </w:pPr>
          </w:p>
        </w:tc>
        <w:tc>
          <w:tcPr>
            <w:tcW w:w="7294"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Cs/>
              </w:rPr>
            </w:pPr>
          </w:p>
        </w:tc>
        <w:tc>
          <w:tcPr>
            <w:tcW w:w="859" w:type="dxa"/>
            <w:vMerge w:val="continue"/>
          </w:tcPr>
          <w:p>
            <w:pPr>
              <w:rPr>
                <w:b/>
              </w:rPr>
            </w:pPr>
          </w:p>
        </w:tc>
        <w:tc>
          <w:tcPr>
            <w:tcW w:w="7294"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7" w:type="dxa"/>
            <w:vMerge w:val="restart"/>
            <w:vAlign w:val="center"/>
          </w:tcPr>
          <w:p>
            <w:pPr>
              <w:jc w:val="center"/>
              <w:rPr>
                <w:b/>
                <w:bCs w:val="0"/>
              </w:rPr>
            </w:pPr>
            <w:r>
              <w:rPr>
                <w:rFonts w:hint="eastAsia"/>
                <w:b/>
                <w:bCs w:val="0"/>
              </w:rPr>
              <w:t>1</w:t>
            </w:r>
          </w:p>
        </w:tc>
        <w:tc>
          <w:tcPr>
            <w:tcW w:w="859" w:type="dxa"/>
            <w:vMerge w:val="restart"/>
            <w:vAlign w:val="center"/>
          </w:tcPr>
          <w:p>
            <w:pPr>
              <w:rPr>
                <w:b/>
                <w:bCs w:val="0"/>
              </w:rPr>
            </w:pPr>
            <w:r>
              <w:rPr>
                <w:rFonts w:hint="eastAsia"/>
                <w:b/>
                <w:bCs w:val="0"/>
              </w:rPr>
              <w:t>关于交货</w:t>
            </w:r>
          </w:p>
        </w:tc>
        <w:tc>
          <w:tcPr>
            <w:tcW w:w="7294"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67" w:type="dxa"/>
            <w:vMerge w:val="continue"/>
            <w:vAlign w:val="center"/>
          </w:tcPr>
          <w:p>
            <w:pPr>
              <w:jc w:val="center"/>
              <w:rPr>
                <w:b/>
                <w:bCs w:val="0"/>
              </w:rPr>
            </w:pPr>
            <w:r>
              <w:rPr>
                <w:rFonts w:hint="eastAsia"/>
                <w:b/>
                <w:bCs w:val="0"/>
              </w:rPr>
              <w:t>+</w:t>
            </w:r>
          </w:p>
        </w:tc>
        <w:tc>
          <w:tcPr>
            <w:tcW w:w="859" w:type="dxa"/>
            <w:vMerge w:val="continue"/>
            <w:vAlign w:val="center"/>
          </w:tcPr>
          <w:p>
            <w:pPr>
              <w:jc w:val="center"/>
              <w:rPr>
                <w:b/>
                <w:bCs w:val="0"/>
              </w:rPr>
            </w:pPr>
          </w:p>
        </w:tc>
        <w:tc>
          <w:tcPr>
            <w:tcW w:w="7294"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restart"/>
            <w:vAlign w:val="center"/>
          </w:tcPr>
          <w:p>
            <w:pPr>
              <w:jc w:val="center"/>
              <w:rPr>
                <w:b/>
                <w:bCs w:val="0"/>
              </w:rPr>
            </w:pPr>
            <w:r>
              <w:rPr>
                <w:rFonts w:hint="eastAsia"/>
                <w:b/>
                <w:bCs w:val="0"/>
              </w:rPr>
              <w:t>2</w:t>
            </w:r>
          </w:p>
        </w:tc>
        <w:tc>
          <w:tcPr>
            <w:tcW w:w="859" w:type="dxa"/>
            <w:vMerge w:val="restart"/>
            <w:vAlign w:val="center"/>
          </w:tcPr>
          <w:p>
            <w:pPr>
              <w:rPr>
                <w:b/>
                <w:bCs w:val="0"/>
              </w:rPr>
            </w:pPr>
            <w:r>
              <w:rPr>
                <w:rFonts w:hint="eastAsia"/>
                <w:b/>
                <w:bCs w:val="0"/>
              </w:rPr>
              <w:t>运输、安装调试及验收</w:t>
            </w:r>
          </w:p>
        </w:tc>
        <w:tc>
          <w:tcPr>
            <w:tcW w:w="7294"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tcPr>
          <w:p>
            <w:pPr>
              <w:rPr>
                <w:b/>
                <w:bCs w:val="0"/>
              </w:rPr>
            </w:pPr>
          </w:p>
        </w:tc>
        <w:tc>
          <w:tcPr>
            <w:tcW w:w="7294"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restart"/>
            <w:vAlign w:val="center"/>
          </w:tcPr>
          <w:p>
            <w:pPr>
              <w:jc w:val="center"/>
              <w:rPr>
                <w:b/>
                <w:bCs w:val="0"/>
              </w:rPr>
            </w:pPr>
            <w:r>
              <w:rPr>
                <w:rFonts w:hint="eastAsia"/>
                <w:b/>
                <w:bCs w:val="0"/>
              </w:rPr>
              <w:t>3</w:t>
            </w:r>
          </w:p>
        </w:tc>
        <w:tc>
          <w:tcPr>
            <w:tcW w:w="859" w:type="dxa"/>
            <w:vMerge w:val="restart"/>
            <w:vAlign w:val="center"/>
          </w:tcPr>
          <w:p>
            <w:pPr>
              <w:jc w:val="center"/>
              <w:rPr>
                <w:b/>
                <w:bCs w:val="0"/>
              </w:rPr>
            </w:pPr>
            <w:r>
              <w:rPr>
                <w:rFonts w:hint="eastAsia"/>
                <w:b/>
                <w:bCs w:val="0"/>
              </w:rPr>
              <w:t>关于违约</w:t>
            </w:r>
          </w:p>
        </w:tc>
        <w:tc>
          <w:tcPr>
            <w:tcW w:w="7294"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jc w:val="center"/>
              <w:rPr>
                <w:b/>
                <w:bCs w:val="0"/>
              </w:rPr>
            </w:pPr>
          </w:p>
        </w:tc>
        <w:tc>
          <w:tcPr>
            <w:tcW w:w="859" w:type="dxa"/>
            <w:vMerge w:val="continue"/>
            <w:vAlign w:val="center"/>
          </w:tcPr>
          <w:p>
            <w:pPr>
              <w:jc w:val="center"/>
              <w:rPr>
                <w:b/>
                <w:bCs w:val="0"/>
              </w:rPr>
            </w:pPr>
          </w:p>
        </w:tc>
        <w:tc>
          <w:tcPr>
            <w:tcW w:w="7294"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Align w:val="center"/>
          </w:tcPr>
          <w:p>
            <w:pPr>
              <w:jc w:val="center"/>
              <w:rPr>
                <w:b/>
                <w:bCs w:val="0"/>
              </w:rPr>
            </w:pPr>
            <w:r>
              <w:rPr>
                <w:rFonts w:hint="eastAsia"/>
                <w:b/>
                <w:bCs w:val="0"/>
              </w:rPr>
              <w:t>4</w:t>
            </w:r>
          </w:p>
        </w:tc>
        <w:tc>
          <w:tcPr>
            <w:tcW w:w="859" w:type="dxa"/>
            <w:vAlign w:val="center"/>
          </w:tcPr>
          <w:p>
            <w:pPr>
              <w:jc w:val="center"/>
              <w:rPr>
                <w:b/>
                <w:bCs w:val="0"/>
              </w:rPr>
            </w:pPr>
            <w:r>
              <w:rPr>
                <w:rFonts w:hint="eastAsia"/>
                <w:b/>
                <w:bCs w:val="0"/>
              </w:rPr>
              <w:t>关于付款</w:t>
            </w:r>
          </w:p>
        </w:tc>
        <w:tc>
          <w:tcPr>
            <w:tcW w:w="7294"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Align w:val="center"/>
          </w:tcPr>
          <w:p>
            <w:pPr>
              <w:jc w:val="center"/>
              <w:rPr>
                <w:b/>
                <w:bCs w:val="0"/>
              </w:rPr>
            </w:pPr>
            <w:r>
              <w:rPr>
                <w:rFonts w:hint="eastAsia"/>
                <w:b/>
                <w:bCs w:val="0"/>
              </w:rPr>
              <w:t>5</w:t>
            </w:r>
          </w:p>
        </w:tc>
        <w:tc>
          <w:tcPr>
            <w:tcW w:w="859" w:type="dxa"/>
            <w:vAlign w:val="center"/>
          </w:tcPr>
          <w:p>
            <w:pPr>
              <w:jc w:val="center"/>
              <w:rPr>
                <w:b/>
                <w:bCs w:val="0"/>
              </w:rPr>
            </w:pPr>
            <w:r>
              <w:rPr>
                <w:rFonts w:hint="eastAsia"/>
                <w:b/>
                <w:bCs w:val="0"/>
              </w:rPr>
              <w:t>报价要求</w:t>
            </w:r>
          </w:p>
        </w:tc>
        <w:tc>
          <w:tcPr>
            <w:tcW w:w="7294" w:type="dxa"/>
          </w:tcPr>
          <w:p>
            <w:pPr>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restart"/>
            <w:vAlign w:val="center"/>
          </w:tcPr>
          <w:p>
            <w:pPr>
              <w:jc w:val="center"/>
              <w:rPr>
                <w:b/>
                <w:bCs w:val="0"/>
                <w:color w:val="FF0000"/>
              </w:rPr>
            </w:pPr>
            <w:r>
              <w:rPr>
                <w:b/>
                <w:bCs w:val="0"/>
                <w:color w:val="FF0000"/>
              </w:rPr>
              <w:t>6</w:t>
            </w:r>
          </w:p>
        </w:tc>
        <w:tc>
          <w:tcPr>
            <w:tcW w:w="859" w:type="dxa"/>
            <w:vMerge w:val="restart"/>
            <w:vAlign w:val="center"/>
          </w:tcPr>
          <w:p>
            <w:pPr>
              <w:jc w:val="center"/>
              <w:rPr>
                <w:b/>
                <w:bCs w:val="0"/>
                <w:color w:val="FF0000"/>
              </w:rPr>
            </w:pPr>
            <w:r>
              <w:rPr>
                <w:rFonts w:hint="eastAsia"/>
                <w:b/>
                <w:bCs w:val="0"/>
                <w:color w:val="FF0000"/>
              </w:rPr>
              <w:t>项目（产品）要求</w:t>
            </w:r>
          </w:p>
        </w:tc>
        <w:tc>
          <w:tcPr>
            <w:tcW w:w="7294"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7" w:type="dxa"/>
            <w:vMerge w:val="continue"/>
            <w:vAlign w:val="center"/>
          </w:tcPr>
          <w:p>
            <w:pPr>
              <w:rPr>
                <w:b/>
                <w:color w:val="FF0000"/>
              </w:rPr>
            </w:pPr>
          </w:p>
        </w:tc>
        <w:tc>
          <w:tcPr>
            <w:tcW w:w="859" w:type="dxa"/>
            <w:vMerge w:val="continue"/>
          </w:tcPr>
          <w:p>
            <w:pPr>
              <w:rPr>
                <w:b/>
                <w:color w:val="FF0000"/>
              </w:rPr>
            </w:pPr>
          </w:p>
        </w:tc>
        <w:tc>
          <w:tcPr>
            <w:tcW w:w="7294"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2"/>
        <w:spacing w:before="120" w:beforeLines="50" w:after="120" w:afterLines="50"/>
        <w:rPr>
          <w:sz w:val="28"/>
          <w:szCs w:val="28"/>
        </w:rPr>
      </w:pPr>
      <w:r>
        <w:rPr>
          <w:rFonts w:hint="eastAsia"/>
          <w:sz w:val="28"/>
          <w:szCs w:val="28"/>
        </w:rPr>
        <w:t>六、政策导向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七、暗标要求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pPr>
        <w:spacing w:before="120" w:beforeLines="50"/>
        <w:ind w:firstLine="422" w:firstLineChars="200"/>
        <w:rPr>
          <w:b/>
          <w:bCs/>
          <w:color w:val="FF0000"/>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30"/>
        <w:gridCol w:w="1492"/>
        <w:gridCol w:w="780"/>
        <w:gridCol w:w="680"/>
        <w:gridCol w:w="807"/>
        <w:gridCol w:w="513"/>
        <w:gridCol w:w="413"/>
        <w:gridCol w:w="634"/>
        <w:gridCol w:w="62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430" w:type="dxa"/>
            <w:vAlign w:val="center"/>
          </w:tcPr>
          <w:p>
            <w:pPr>
              <w:jc w:val="center"/>
              <w:rPr>
                <w:bCs/>
                <w:szCs w:val="21"/>
              </w:rPr>
            </w:pPr>
            <w:r>
              <w:rPr>
                <w:rFonts w:hint="eastAsia"/>
                <w:szCs w:val="21"/>
              </w:rPr>
              <w:t>采购计划编号</w:t>
            </w:r>
          </w:p>
        </w:tc>
        <w:tc>
          <w:tcPr>
            <w:tcW w:w="1492"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634" w:type="dxa"/>
            <w:vAlign w:val="center"/>
          </w:tcPr>
          <w:p>
            <w:pPr>
              <w:jc w:val="center"/>
              <w:rPr>
                <w:bCs/>
                <w:szCs w:val="21"/>
              </w:rPr>
            </w:pPr>
            <w:r>
              <w:rPr>
                <w:rFonts w:hint="eastAsia"/>
                <w:szCs w:val="21"/>
              </w:rPr>
              <w:t>单价(元)</w:t>
            </w:r>
          </w:p>
        </w:tc>
        <w:tc>
          <w:tcPr>
            <w:tcW w:w="626" w:type="dxa"/>
            <w:vAlign w:val="center"/>
          </w:tcPr>
          <w:p>
            <w:pPr>
              <w:jc w:val="center"/>
              <w:rPr>
                <w:bCs/>
                <w:szCs w:val="21"/>
              </w:rPr>
            </w:pPr>
            <w:r>
              <w:rPr>
                <w:rFonts w:hint="eastAsia"/>
                <w:szCs w:val="21"/>
              </w:rPr>
              <w:t>合价(元)</w:t>
            </w:r>
          </w:p>
        </w:tc>
        <w:tc>
          <w:tcPr>
            <w:tcW w:w="780" w:type="dxa"/>
            <w:vAlign w:val="center"/>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1430" w:type="dxa"/>
            <w:vAlign w:val="top"/>
          </w:tcPr>
          <w:p>
            <w:pPr>
              <w:jc w:val="center"/>
              <w:rPr>
                <w:bCs/>
                <w:szCs w:val="21"/>
              </w:rPr>
            </w:pPr>
            <w:r>
              <w:rPr>
                <w:rFonts w:hint="eastAsia"/>
                <w:szCs w:val="21"/>
                <w:highlight w:val="none"/>
              </w:rPr>
              <w:t xml:space="preserve">PLAN-2021-440301-0102018021-01126 </w:t>
            </w:r>
          </w:p>
        </w:tc>
        <w:tc>
          <w:tcPr>
            <w:tcW w:w="1492" w:type="dxa"/>
            <w:vAlign w:val="top"/>
          </w:tcPr>
          <w:p>
            <w:pPr>
              <w:jc w:val="center"/>
              <w:rPr>
                <w:bCs/>
                <w:szCs w:val="21"/>
                <w:highlight w:val="yellow"/>
              </w:rPr>
            </w:pPr>
            <w:r>
              <w:rPr>
                <w:rFonts w:hint="eastAsia"/>
                <w:bCs/>
                <w:szCs w:val="21"/>
              </w:rPr>
              <w:t>医用设备提升-眼前节测量评估系统</w:t>
            </w:r>
          </w:p>
        </w:tc>
        <w:tc>
          <w:tcPr>
            <w:tcW w:w="780" w:type="dxa"/>
            <w:vAlign w:val="top"/>
          </w:tcPr>
          <w:p>
            <w:pPr>
              <w:jc w:val="center"/>
              <w:rPr>
                <w:bCs/>
                <w:szCs w:val="21"/>
              </w:rPr>
            </w:pPr>
          </w:p>
        </w:tc>
        <w:tc>
          <w:tcPr>
            <w:tcW w:w="680" w:type="dxa"/>
            <w:vAlign w:val="top"/>
          </w:tcPr>
          <w:p>
            <w:pPr>
              <w:jc w:val="center"/>
              <w:rPr>
                <w:bCs/>
                <w:szCs w:val="21"/>
              </w:rPr>
            </w:pPr>
          </w:p>
        </w:tc>
        <w:tc>
          <w:tcPr>
            <w:tcW w:w="807" w:type="dxa"/>
            <w:vAlign w:val="top"/>
          </w:tcPr>
          <w:p>
            <w:pPr>
              <w:jc w:val="center"/>
              <w:rPr>
                <w:bCs/>
                <w:szCs w:val="21"/>
              </w:rPr>
            </w:pPr>
          </w:p>
        </w:tc>
        <w:tc>
          <w:tcPr>
            <w:tcW w:w="513" w:type="dxa"/>
            <w:vAlign w:val="top"/>
          </w:tcPr>
          <w:p>
            <w:pPr>
              <w:jc w:val="center"/>
              <w:rPr>
                <w:rFonts w:ascii="Times New Roman" w:hAnsi="Times New Roman" w:eastAsia="宋体" w:cs="Times New Roman"/>
                <w:bCs/>
                <w:kern w:val="2"/>
                <w:sz w:val="21"/>
                <w:szCs w:val="21"/>
                <w:lang w:val="en-US" w:eastAsia="zh-CN" w:bidi="ar-SA"/>
              </w:rPr>
            </w:pPr>
            <w:r>
              <w:rPr>
                <w:rFonts w:hint="eastAsia"/>
                <w:szCs w:val="21"/>
              </w:rPr>
              <w:t>1</w:t>
            </w:r>
          </w:p>
        </w:tc>
        <w:tc>
          <w:tcPr>
            <w:tcW w:w="413" w:type="dxa"/>
            <w:vAlign w:val="top"/>
          </w:tcPr>
          <w:p>
            <w:pPr>
              <w:jc w:val="center"/>
              <w:rPr>
                <w:rFonts w:ascii="Times New Roman" w:hAnsi="Times New Roman" w:eastAsia="宋体" w:cs="Times New Roman"/>
                <w:bCs/>
                <w:kern w:val="2"/>
                <w:sz w:val="21"/>
                <w:szCs w:val="21"/>
                <w:lang w:val="en-US" w:eastAsia="zh-CN" w:bidi="ar-SA"/>
              </w:rPr>
            </w:pPr>
            <w:r>
              <w:rPr>
                <w:rFonts w:hint="eastAsia"/>
                <w:szCs w:val="21"/>
              </w:rPr>
              <w:t>台</w:t>
            </w:r>
          </w:p>
        </w:tc>
        <w:tc>
          <w:tcPr>
            <w:tcW w:w="634" w:type="dxa"/>
            <w:vAlign w:val="top"/>
          </w:tcPr>
          <w:p>
            <w:pPr>
              <w:jc w:val="center"/>
              <w:rPr>
                <w:bCs/>
                <w:szCs w:val="21"/>
              </w:rPr>
            </w:pPr>
          </w:p>
        </w:tc>
        <w:tc>
          <w:tcPr>
            <w:tcW w:w="626" w:type="dxa"/>
            <w:vAlign w:val="center"/>
          </w:tcPr>
          <w:p>
            <w:pPr>
              <w:jc w:val="center"/>
              <w:rPr>
                <w:bCs/>
                <w:szCs w:val="21"/>
              </w:rPr>
            </w:pPr>
          </w:p>
        </w:tc>
        <w:tc>
          <w:tcPr>
            <w:tcW w:w="780"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1,100,000.00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81" w:type="dxa"/>
            <w:gridSpan w:val="11"/>
          </w:tcPr>
          <w:p>
            <w:pPr>
              <w:rPr>
                <w:bCs/>
                <w:szCs w:val="21"/>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b/>
          <w:bCs/>
          <w:szCs w:val="21"/>
          <w:u w:val="single"/>
        </w:rPr>
        <w:t>单一产品采购项目，不设置核心产品。</w:t>
      </w:r>
      <w:r>
        <w:rPr>
          <w:rFonts w:hint="eastAsia"/>
          <w:b/>
          <w:bCs/>
          <w:szCs w:val="21"/>
          <w:u w:val="single"/>
        </w:rPr>
        <w:tab/>
      </w:r>
      <w:r>
        <w:rPr>
          <w:rFonts w:hint="eastAsia"/>
          <w:b/>
          <w:bCs/>
          <w:szCs w:val="21"/>
          <w:u w:val="single"/>
        </w:rPr>
        <w:tab/>
      </w:r>
      <w:r>
        <w:rPr>
          <w:rFonts w:hint="eastAsia"/>
          <w:b/>
          <w:bCs/>
          <w:szCs w:val="21"/>
          <w:u w:val="single"/>
        </w:rPr>
        <w:tab/>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CellMar>
            <w:top w:w="0" w:type="dxa"/>
            <w:left w:w="108" w:type="dxa"/>
            <w:bottom w:w="0" w:type="dxa"/>
            <w:right w:w="108" w:type="dxa"/>
          </w:tblCellMar>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46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1"/>
        <w:gridCol w:w="5071"/>
        <w:gridCol w:w="953"/>
        <w:gridCol w:w="744"/>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pPr>
              <w:jc w:val="center"/>
              <w:rPr>
                <w:rFonts w:asciiTheme="minorEastAsia" w:hAnsiTheme="minorEastAsia" w:eastAsiaTheme="minorEastAsia" w:cstheme="minorEastAsia"/>
                <w:szCs w:val="21"/>
              </w:rPr>
            </w:pPr>
            <w:bookmarkStart w:id="57" w:name="_Hlk72095977"/>
            <w:r>
              <w:rPr>
                <w:rFonts w:hint="eastAsia"/>
                <w:sz w:val="24"/>
              </w:rPr>
              <w:t>序号</w:t>
            </w:r>
          </w:p>
        </w:tc>
        <w:tc>
          <w:tcPr>
            <w:tcW w:w="841" w:type="dxa"/>
            <w:vAlign w:val="center"/>
          </w:tcPr>
          <w:p>
            <w:pPr>
              <w:jc w:val="center"/>
              <w:rPr>
                <w:rFonts w:asciiTheme="minorEastAsia" w:hAnsiTheme="minorEastAsia" w:eastAsiaTheme="minorEastAsia" w:cstheme="minorEastAsia"/>
                <w:szCs w:val="21"/>
              </w:rPr>
            </w:pPr>
            <w:r>
              <w:rPr>
                <w:rFonts w:hint="eastAsia"/>
                <w:sz w:val="24"/>
              </w:rPr>
              <w:t>货物名称</w:t>
            </w:r>
          </w:p>
        </w:tc>
        <w:tc>
          <w:tcPr>
            <w:tcW w:w="5071" w:type="dxa"/>
            <w:vAlign w:val="center"/>
          </w:tcPr>
          <w:p>
            <w:pPr>
              <w:jc w:val="center"/>
              <w:rPr>
                <w:rFonts w:asciiTheme="minorEastAsia" w:hAnsiTheme="minorEastAsia" w:eastAsiaTheme="minorEastAsia" w:cstheme="minorEastAsia"/>
                <w:szCs w:val="21"/>
              </w:rPr>
            </w:pPr>
            <w:r>
              <w:rPr>
                <w:rFonts w:hint="eastAsia"/>
                <w:sz w:val="24"/>
              </w:rPr>
              <w:t>招标技术要求</w:t>
            </w:r>
          </w:p>
        </w:tc>
        <w:tc>
          <w:tcPr>
            <w:tcW w:w="953" w:type="dxa"/>
            <w:vAlign w:val="center"/>
          </w:tcPr>
          <w:p>
            <w:pPr>
              <w:jc w:val="center"/>
              <w:rPr>
                <w:rFonts w:hint="eastAsia" w:asciiTheme="minorEastAsia" w:hAnsiTheme="minorEastAsia" w:eastAsiaTheme="minorEastAsia" w:cstheme="minorEastAsia"/>
                <w:szCs w:val="21"/>
              </w:rPr>
            </w:pPr>
            <w:r>
              <w:rPr>
                <w:rFonts w:hint="eastAsia"/>
                <w:sz w:val="24"/>
              </w:rPr>
              <w:t>投标技术响应</w:t>
            </w:r>
          </w:p>
        </w:tc>
        <w:tc>
          <w:tcPr>
            <w:tcW w:w="744" w:type="dxa"/>
            <w:vAlign w:val="center"/>
          </w:tcPr>
          <w:p>
            <w:pPr>
              <w:jc w:val="center"/>
              <w:rPr>
                <w:rFonts w:hint="eastAsia" w:asciiTheme="minorEastAsia" w:hAnsiTheme="minorEastAsia" w:eastAsiaTheme="minorEastAsia" w:cstheme="minorEastAsia"/>
                <w:szCs w:val="21"/>
              </w:rPr>
            </w:pPr>
            <w:r>
              <w:rPr>
                <w:rFonts w:hint="eastAsia"/>
                <w:sz w:val="24"/>
              </w:rPr>
              <w:t>偏离情况</w:t>
            </w:r>
          </w:p>
        </w:tc>
        <w:tc>
          <w:tcPr>
            <w:tcW w:w="394" w:type="dxa"/>
            <w:vAlign w:val="center"/>
          </w:tcPr>
          <w:p>
            <w:pPr>
              <w:jc w:val="center"/>
              <w:rPr>
                <w:rFonts w:hint="eastAsia" w:asciiTheme="minorEastAsia" w:hAnsiTheme="minorEastAsia" w:eastAsiaTheme="minorEastAsia" w:cstheme="minorEastAsia"/>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41" w:type="dxa"/>
            <w:vMerge w:val="restart"/>
            <w:vAlign w:val="center"/>
          </w:tcPr>
          <w:p>
            <w:pPr>
              <w:jc w:val="center"/>
              <w:rPr>
                <w:rFonts w:asciiTheme="minorEastAsia" w:hAnsiTheme="minorEastAsia" w:eastAsiaTheme="minorEastAsia" w:cstheme="minorEastAsia"/>
                <w:bCs/>
                <w:szCs w:val="21"/>
              </w:rPr>
            </w:pPr>
            <w:r>
              <w:rPr>
                <w:rFonts w:hint="eastAsia"/>
                <w:bCs/>
                <w:szCs w:val="21"/>
              </w:rPr>
              <w:t>医用设备提升-眼前节测量评估系统</w:t>
            </w:r>
          </w:p>
        </w:tc>
        <w:tc>
          <w:tcPr>
            <w:tcW w:w="5071"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1、▲测量数据点≥20000个。（要求提供产品彩页关键信息或产品制造商官网关键信息截图）</w:t>
            </w:r>
          </w:p>
        </w:tc>
        <w:tc>
          <w:tcPr>
            <w:tcW w:w="953" w:type="dxa"/>
          </w:tcPr>
          <w:p>
            <w:pPr>
              <w:jc w:val="left"/>
              <w:rPr>
                <w:rFonts w:hint="eastAsia" w:asciiTheme="minorEastAsia" w:hAnsiTheme="minorEastAsia" w:eastAsiaTheme="minorEastAsia" w:cstheme="minorEastAsia"/>
                <w:b/>
                <w:bCs/>
                <w:color w:val="FF0000"/>
                <w:szCs w:val="21"/>
              </w:rPr>
            </w:pPr>
          </w:p>
        </w:tc>
        <w:tc>
          <w:tcPr>
            <w:tcW w:w="744" w:type="dxa"/>
          </w:tcPr>
          <w:p>
            <w:pPr>
              <w:jc w:val="left"/>
              <w:rPr>
                <w:rFonts w:hint="eastAsia" w:asciiTheme="minorEastAsia" w:hAnsiTheme="minorEastAsia" w:eastAsiaTheme="minorEastAsia" w:cstheme="minorEastAsia"/>
                <w:b/>
                <w:bCs/>
                <w:color w:val="FF0000"/>
                <w:szCs w:val="21"/>
              </w:rPr>
            </w:pPr>
          </w:p>
        </w:tc>
        <w:tc>
          <w:tcPr>
            <w:tcW w:w="394" w:type="dxa"/>
          </w:tcPr>
          <w:p>
            <w:pPr>
              <w:jc w:val="left"/>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2、自动化采集，检测时间2秒/眼，并可根据患者差异选择单张扫描、图像增强扫描、3D扫描等多种扫描模式</w:t>
            </w:r>
          </w:p>
        </w:tc>
        <w:tc>
          <w:tcPr>
            <w:tcW w:w="953" w:type="dxa"/>
          </w:tcPr>
          <w:p>
            <w:pPr>
              <w:jc w:val="left"/>
              <w:rPr>
                <w:rFonts w:hint="eastAsia" w:asciiTheme="minorEastAsia" w:hAnsiTheme="minorEastAsia" w:eastAsiaTheme="minorEastAsia" w:cstheme="minorEastAsia"/>
                <w:szCs w:val="21"/>
              </w:rPr>
            </w:pPr>
          </w:p>
        </w:tc>
        <w:tc>
          <w:tcPr>
            <w:tcW w:w="744" w:type="dxa"/>
          </w:tcPr>
          <w:p>
            <w:pPr>
              <w:jc w:val="left"/>
              <w:rPr>
                <w:rFonts w:hint="eastAsia" w:asciiTheme="minorEastAsia" w:hAnsiTheme="minorEastAsia" w:eastAsiaTheme="minorEastAsia" w:cstheme="minorEastAsia"/>
                <w:szCs w:val="21"/>
              </w:rPr>
            </w:pPr>
          </w:p>
        </w:tc>
        <w:tc>
          <w:tcPr>
            <w:tcW w:w="394" w:type="dxa"/>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3、三维眼位监控，体现x,y,z轴及眼动监控参数</w:t>
            </w:r>
          </w:p>
        </w:tc>
        <w:tc>
          <w:tcPr>
            <w:tcW w:w="953" w:type="dxa"/>
          </w:tcPr>
          <w:p>
            <w:pPr>
              <w:jc w:val="left"/>
              <w:rPr>
                <w:rFonts w:hint="eastAsia" w:asciiTheme="minorEastAsia" w:hAnsiTheme="minorEastAsia" w:eastAsiaTheme="minorEastAsia" w:cstheme="minorEastAsia"/>
                <w:szCs w:val="21"/>
              </w:rPr>
            </w:pPr>
          </w:p>
        </w:tc>
        <w:tc>
          <w:tcPr>
            <w:tcW w:w="744" w:type="dxa"/>
          </w:tcPr>
          <w:p>
            <w:pPr>
              <w:jc w:val="left"/>
              <w:rPr>
                <w:rFonts w:hint="eastAsia" w:asciiTheme="minorEastAsia" w:hAnsiTheme="minorEastAsia" w:eastAsiaTheme="minorEastAsia" w:cstheme="minorEastAsia"/>
                <w:szCs w:val="21"/>
              </w:rPr>
            </w:pPr>
          </w:p>
        </w:tc>
        <w:tc>
          <w:tcPr>
            <w:tcW w:w="394" w:type="dxa"/>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4、自动化采集，检测时间≤2秒/眼</w:t>
            </w:r>
          </w:p>
        </w:tc>
        <w:tc>
          <w:tcPr>
            <w:tcW w:w="953" w:type="dxa"/>
          </w:tcPr>
          <w:p>
            <w:pPr>
              <w:jc w:val="left"/>
              <w:rPr>
                <w:rFonts w:hint="eastAsia" w:asciiTheme="minorEastAsia" w:hAnsiTheme="minorEastAsia" w:eastAsiaTheme="minorEastAsia" w:cstheme="minorEastAsia"/>
                <w:szCs w:val="21"/>
              </w:rPr>
            </w:pPr>
          </w:p>
        </w:tc>
        <w:tc>
          <w:tcPr>
            <w:tcW w:w="744" w:type="dxa"/>
          </w:tcPr>
          <w:p>
            <w:pPr>
              <w:jc w:val="left"/>
              <w:rPr>
                <w:rFonts w:hint="eastAsia" w:asciiTheme="minorEastAsia" w:hAnsiTheme="minorEastAsia" w:eastAsiaTheme="minorEastAsia" w:cstheme="minorEastAsia"/>
                <w:szCs w:val="21"/>
              </w:rPr>
            </w:pPr>
          </w:p>
        </w:tc>
        <w:tc>
          <w:tcPr>
            <w:tcW w:w="394" w:type="dxa"/>
          </w:tcPr>
          <w:p>
            <w:pPr>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5、▲单一原理获取角膜前后表面地形图的原始数据，无Placido盘，确保前后表面所有数据点一一对应 （要求提供产品彩页关键信息或产品制造商官网关键信息截图）</w:t>
            </w:r>
          </w:p>
        </w:tc>
        <w:tc>
          <w:tcPr>
            <w:tcW w:w="953" w:type="dxa"/>
          </w:tcPr>
          <w:p>
            <w:pPr>
              <w:jc w:val="left"/>
              <w:rPr>
                <w:rFonts w:hint="eastAsia" w:asciiTheme="minorEastAsia" w:hAnsiTheme="minorEastAsia" w:eastAsiaTheme="minorEastAsia" w:cstheme="minorEastAsia"/>
                <w:b/>
                <w:bCs/>
                <w:color w:val="FF0000"/>
                <w:szCs w:val="21"/>
              </w:rPr>
            </w:pPr>
          </w:p>
        </w:tc>
        <w:tc>
          <w:tcPr>
            <w:tcW w:w="744" w:type="dxa"/>
          </w:tcPr>
          <w:p>
            <w:pPr>
              <w:jc w:val="left"/>
              <w:rPr>
                <w:rFonts w:hint="eastAsia" w:asciiTheme="minorEastAsia" w:hAnsiTheme="minorEastAsia" w:eastAsiaTheme="minorEastAsia" w:cstheme="minorEastAsia"/>
                <w:b/>
                <w:bCs/>
                <w:color w:val="FF0000"/>
                <w:szCs w:val="21"/>
              </w:rPr>
            </w:pPr>
          </w:p>
        </w:tc>
        <w:tc>
          <w:tcPr>
            <w:tcW w:w="394" w:type="dxa"/>
          </w:tcPr>
          <w:p>
            <w:pPr>
              <w:jc w:val="left"/>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6、▲角膜前表面数据来源于三维断层扫描技术采集的精准高度数据（要求提供产品彩页关键信息或产品制造商官网关键信息截图）</w:t>
            </w:r>
          </w:p>
        </w:tc>
        <w:tc>
          <w:tcPr>
            <w:tcW w:w="953" w:type="dxa"/>
          </w:tcPr>
          <w:p>
            <w:pPr>
              <w:rPr>
                <w:rFonts w:hint="eastAsia" w:asciiTheme="minorEastAsia" w:hAnsiTheme="minorEastAsia" w:eastAsiaTheme="minorEastAsia" w:cstheme="minorEastAsia"/>
                <w:b/>
                <w:bCs/>
                <w:color w:val="FF0000"/>
                <w:szCs w:val="21"/>
              </w:rPr>
            </w:pPr>
          </w:p>
        </w:tc>
        <w:tc>
          <w:tcPr>
            <w:tcW w:w="744" w:type="dxa"/>
          </w:tcPr>
          <w:p>
            <w:pPr>
              <w:rPr>
                <w:rFonts w:hint="eastAsia" w:asciiTheme="minorEastAsia" w:hAnsiTheme="minorEastAsia" w:eastAsiaTheme="minorEastAsia" w:cstheme="minorEastAsia"/>
                <w:b/>
                <w:bCs/>
                <w:color w:val="FF0000"/>
                <w:szCs w:val="21"/>
              </w:rPr>
            </w:pPr>
          </w:p>
        </w:tc>
        <w:tc>
          <w:tcPr>
            <w:tcW w:w="394"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7、具有角膜前、后表面高度图，具备眼前节断层图像，可观察眼前节形态</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8、高清瞳孔相机采集外眼像，自动测量白到白距离</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9、▲早期圆锥角膜筛查软件：根据圆锥角膜疾病特点，基于高度数据和厚度数据联合判断圆锥风险，且具有中国人数据库（要求提供产品彩页关键信息或产品制造商官网关键信息截图）</w:t>
            </w:r>
          </w:p>
        </w:tc>
        <w:tc>
          <w:tcPr>
            <w:tcW w:w="953" w:type="dxa"/>
          </w:tcPr>
          <w:p>
            <w:pPr>
              <w:rPr>
                <w:rFonts w:hint="eastAsia" w:asciiTheme="minorEastAsia" w:hAnsiTheme="minorEastAsia" w:eastAsiaTheme="minorEastAsia" w:cstheme="minorEastAsia"/>
                <w:b/>
                <w:bCs/>
                <w:color w:val="FF0000"/>
                <w:szCs w:val="21"/>
              </w:rPr>
            </w:pPr>
          </w:p>
        </w:tc>
        <w:tc>
          <w:tcPr>
            <w:tcW w:w="744" w:type="dxa"/>
          </w:tcPr>
          <w:p>
            <w:pPr>
              <w:rPr>
                <w:rFonts w:hint="eastAsia" w:asciiTheme="minorEastAsia" w:hAnsiTheme="minorEastAsia" w:eastAsiaTheme="minorEastAsia" w:cstheme="minorEastAsia"/>
                <w:b/>
                <w:bCs/>
                <w:color w:val="FF0000"/>
                <w:szCs w:val="21"/>
              </w:rPr>
            </w:pPr>
          </w:p>
        </w:tc>
        <w:tc>
          <w:tcPr>
            <w:tcW w:w="394"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10、圆锥角膜传统分级法：根据角膜前表面曲率数据综合判断典型圆锥等级</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11、▲圆锥角膜ABCD分级法：综合考虑角膜前、后表面数据、厚度数据以及最佳矫正视力的分级法，指导圆锥角膜随访及治疗</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12、▲可与生物力学设备联机诊断早期圆锥角膜（要求提供产品彩页关键信息或产品制造商官网关键信息截图）</w:t>
            </w:r>
          </w:p>
        </w:tc>
        <w:tc>
          <w:tcPr>
            <w:tcW w:w="953" w:type="dxa"/>
          </w:tcPr>
          <w:p>
            <w:pPr>
              <w:rPr>
                <w:rFonts w:hint="eastAsia" w:asciiTheme="minorEastAsia" w:hAnsiTheme="minorEastAsia" w:eastAsiaTheme="minorEastAsia" w:cstheme="minorEastAsia"/>
                <w:b/>
                <w:bCs/>
                <w:color w:val="FF0000"/>
                <w:szCs w:val="21"/>
              </w:rPr>
            </w:pPr>
          </w:p>
        </w:tc>
        <w:tc>
          <w:tcPr>
            <w:tcW w:w="744" w:type="dxa"/>
          </w:tcPr>
          <w:p>
            <w:pPr>
              <w:rPr>
                <w:rFonts w:hint="eastAsia" w:asciiTheme="minorEastAsia" w:hAnsiTheme="minorEastAsia" w:eastAsiaTheme="minorEastAsia" w:cstheme="minorEastAsia"/>
                <w:b/>
                <w:bCs/>
                <w:color w:val="FF0000"/>
                <w:szCs w:val="21"/>
              </w:rPr>
            </w:pPr>
          </w:p>
        </w:tc>
        <w:tc>
          <w:tcPr>
            <w:tcW w:w="394"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13、早期圆锥角膜诊断,利用高度和厚度数据,进行全面地评估,保障安全性</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14、二本以上圆锥角膜诊断参考教材，对圆锥角膜进行分析</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15、系统的标准化诊断流程，源自用户的使用经验总结，含中国人数据库</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16、支持用户自助查询任意参数含义 </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17、支持患者资料导出、导入，便于联合诊断</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64" w:type="dxa"/>
            <w:vMerge w:val="continue"/>
            <w:vAlign w:val="center"/>
          </w:tcPr>
          <w:p>
            <w:pPr>
              <w:jc w:val="center"/>
              <w:rPr>
                <w:rFonts w:asciiTheme="minorEastAsia" w:hAnsiTheme="minorEastAsia" w:eastAsiaTheme="minorEastAsia" w:cstheme="minorEastAsia"/>
                <w:bCs/>
                <w:szCs w:val="21"/>
              </w:rPr>
            </w:pPr>
          </w:p>
        </w:tc>
        <w:tc>
          <w:tcPr>
            <w:tcW w:w="841" w:type="dxa"/>
            <w:vMerge w:val="continue"/>
          </w:tcPr>
          <w:p>
            <w:pPr>
              <w:rPr>
                <w:rFonts w:asciiTheme="minorEastAsia" w:hAnsiTheme="minorEastAsia" w:eastAsiaTheme="minorEastAsia" w:cstheme="minorEastAsia"/>
                <w:bCs/>
                <w:szCs w:val="21"/>
              </w:rPr>
            </w:pPr>
          </w:p>
        </w:tc>
        <w:tc>
          <w:tcPr>
            <w:tcW w:w="507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、配置清单：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19.1测量主机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19.2数据处理系统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19.3头托及下颌托支架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19.4应用软件系统     1套</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19.5彩色喷墨打印机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19.6电动升降台       1个</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19.7数据线           1个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19.8防尘罩           1个</w:t>
            </w:r>
          </w:p>
        </w:tc>
        <w:tc>
          <w:tcPr>
            <w:tcW w:w="953" w:type="dxa"/>
          </w:tcPr>
          <w:p>
            <w:pPr>
              <w:rPr>
                <w:rFonts w:hint="eastAsia" w:asciiTheme="minorEastAsia" w:hAnsiTheme="minorEastAsia" w:eastAsiaTheme="minorEastAsia" w:cstheme="minorEastAsia"/>
                <w:szCs w:val="21"/>
              </w:rPr>
            </w:pPr>
          </w:p>
        </w:tc>
        <w:tc>
          <w:tcPr>
            <w:tcW w:w="744" w:type="dxa"/>
          </w:tcPr>
          <w:p>
            <w:pPr>
              <w:rPr>
                <w:rFonts w:hint="eastAsia" w:asciiTheme="minorEastAsia" w:hAnsiTheme="minorEastAsia" w:eastAsiaTheme="minorEastAsia" w:cstheme="minorEastAsia"/>
                <w:szCs w:val="21"/>
              </w:rPr>
            </w:pPr>
          </w:p>
        </w:tc>
        <w:tc>
          <w:tcPr>
            <w:tcW w:w="394" w:type="dxa"/>
          </w:tcPr>
          <w:p>
            <w:pPr>
              <w:rPr>
                <w:rFonts w:hint="eastAsia" w:asciiTheme="minorEastAsia" w:hAnsiTheme="minorEastAsia" w:eastAsiaTheme="minorEastAsia" w:cstheme="minorEastAsia"/>
                <w:szCs w:val="21"/>
              </w:rPr>
            </w:pPr>
          </w:p>
        </w:tc>
      </w:tr>
    </w:tbl>
    <w:p>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87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77"/>
        <w:gridCol w:w="5273"/>
        <w:gridCol w:w="829"/>
        <w:gridCol w:w="644"/>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 w:type="dxa"/>
            <w:vAlign w:val="center"/>
          </w:tcPr>
          <w:p>
            <w:pPr>
              <w:jc w:val="center"/>
              <w:rPr>
                <w:b/>
                <w:bCs/>
              </w:rPr>
            </w:pPr>
            <w:r>
              <w:rPr>
                <w:rFonts w:hint="eastAsia"/>
                <w:b/>
                <w:bCs/>
                <w:sz w:val="24"/>
              </w:rPr>
              <w:t>序号</w:t>
            </w:r>
          </w:p>
        </w:tc>
        <w:tc>
          <w:tcPr>
            <w:tcW w:w="977" w:type="dxa"/>
            <w:vAlign w:val="center"/>
          </w:tcPr>
          <w:p>
            <w:pPr>
              <w:jc w:val="center"/>
              <w:rPr>
                <w:b/>
                <w:bCs/>
              </w:rPr>
            </w:pPr>
            <w:r>
              <w:rPr>
                <w:rFonts w:hint="eastAsia"/>
                <w:b/>
                <w:bCs/>
              </w:rPr>
              <w:t>商务需求项</w:t>
            </w:r>
          </w:p>
        </w:tc>
        <w:tc>
          <w:tcPr>
            <w:tcW w:w="5273" w:type="dxa"/>
            <w:vAlign w:val="center"/>
          </w:tcPr>
          <w:p>
            <w:pPr>
              <w:jc w:val="center"/>
              <w:rPr>
                <w:b/>
                <w:bCs/>
              </w:rPr>
            </w:pPr>
            <w:r>
              <w:rPr>
                <w:rFonts w:hint="eastAsia"/>
                <w:b/>
                <w:bCs/>
                <w:sz w:val="24"/>
              </w:rPr>
              <w:t>招标商务要求</w:t>
            </w:r>
          </w:p>
        </w:tc>
        <w:tc>
          <w:tcPr>
            <w:tcW w:w="829" w:type="dxa"/>
            <w:vAlign w:val="center"/>
          </w:tcPr>
          <w:p>
            <w:pPr>
              <w:jc w:val="center"/>
              <w:rPr>
                <w:rFonts w:hint="eastAsia"/>
                <w:b/>
                <w:bCs/>
              </w:rPr>
            </w:pPr>
            <w:r>
              <w:rPr>
                <w:rFonts w:hint="eastAsia"/>
                <w:b/>
                <w:bCs/>
                <w:sz w:val="24"/>
              </w:rPr>
              <w:t>投标商务响应</w:t>
            </w:r>
          </w:p>
        </w:tc>
        <w:tc>
          <w:tcPr>
            <w:tcW w:w="644" w:type="dxa"/>
            <w:vAlign w:val="center"/>
          </w:tcPr>
          <w:p>
            <w:pPr>
              <w:jc w:val="center"/>
              <w:rPr>
                <w:rFonts w:hint="eastAsia"/>
                <w:b/>
                <w:bCs/>
              </w:rPr>
            </w:pPr>
            <w:r>
              <w:rPr>
                <w:rFonts w:hint="eastAsia"/>
                <w:b/>
                <w:bCs/>
              </w:rPr>
              <w:t>偏离情况</w:t>
            </w:r>
          </w:p>
        </w:tc>
        <w:tc>
          <w:tcPr>
            <w:tcW w:w="547" w:type="dxa"/>
            <w:vAlign w:val="center"/>
          </w:tcPr>
          <w:p>
            <w:pPr>
              <w:jc w:val="center"/>
              <w:rPr>
                <w:rFonts w:hint="eastAsia"/>
                <w:b/>
                <w:bCs/>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28"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restart"/>
            <w:vAlign w:val="center"/>
          </w:tcPr>
          <w:p>
            <w:pPr>
              <w:jc w:val="center"/>
              <w:rPr>
                <w:b/>
                <w:bCs w:val="0"/>
              </w:rPr>
            </w:pPr>
            <w:r>
              <w:rPr>
                <w:rFonts w:hint="eastAsia"/>
                <w:b/>
                <w:bCs w:val="0"/>
              </w:rPr>
              <w:t>1</w:t>
            </w:r>
          </w:p>
        </w:tc>
        <w:tc>
          <w:tcPr>
            <w:tcW w:w="977" w:type="dxa"/>
            <w:vMerge w:val="restart"/>
          </w:tcPr>
          <w:p>
            <w:pPr>
              <w:rPr>
                <w:b/>
                <w:bCs w:val="0"/>
              </w:rPr>
            </w:pPr>
            <w:r>
              <w:rPr>
                <w:rFonts w:hint="eastAsia"/>
                <w:b/>
                <w:bCs w:val="0"/>
              </w:rPr>
              <w:t>维修响应及维护服务</w:t>
            </w:r>
          </w:p>
        </w:tc>
        <w:tc>
          <w:tcPr>
            <w:tcW w:w="5273" w:type="dxa"/>
          </w:tcPr>
          <w:p>
            <w:pPr>
              <w:rPr>
                <w:bCs/>
              </w:rPr>
            </w:pPr>
            <w:r>
              <w:rPr>
                <w:rFonts w:hint="eastAsia"/>
                <w:bCs/>
              </w:rPr>
              <w:t>1.1 各投标人应在投标文件中列明各主机、配件和易耗品的保 修期限。</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rPr>
                <w:bCs/>
                <w:szCs w:val="21"/>
              </w:rPr>
            </w:pPr>
            <w:r>
              <w:rPr>
                <w:rFonts w:hint="eastAsia"/>
                <w:bCs/>
                <w:szCs w:val="21"/>
              </w:rPr>
              <w:t>★1.2</w:t>
            </w:r>
            <w:r>
              <w:rPr>
                <w:rFonts w:hint="eastAsia"/>
                <w:bCs/>
              </w:rPr>
              <w:t>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 更换零配件、免工时费。 </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rPr>
                <w:rFonts w:hint="default" w:eastAsia="宋体"/>
                <w:bCs/>
                <w:lang w:val="en-US" w:eastAsia="zh-CN"/>
              </w:rPr>
            </w:pPr>
            <w:r>
              <w:rPr>
                <w:rFonts w:hint="eastAsia"/>
                <w:bCs/>
                <w:color w:val="000000" w:themeColor="text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需免费提供标准DICOM格式及开放接口、并与医院HIS、PACS系统等进行无缝对接，符合实时数据采集上传和局域网存储功能，产生费用由中标单位自行承担。</w:t>
            </w:r>
          </w:p>
        </w:tc>
        <w:tc>
          <w:tcPr>
            <w:tcW w:w="829" w:type="dxa"/>
          </w:tcPr>
          <w:p>
            <w:pPr>
              <w:rPr>
                <w:rFonts w:hint="eastAsia"/>
                <w:bCs/>
                <w:color w:val="000000" w:themeColor="text1"/>
                <w:highlight w:val="none"/>
                <w:lang w:val="en-US" w:eastAsia="zh-CN"/>
                <w14:textFill>
                  <w14:solidFill>
                    <w14:schemeClr w14:val="tx1"/>
                  </w14:solidFill>
                </w14:textFill>
              </w:rPr>
            </w:pPr>
          </w:p>
        </w:tc>
        <w:tc>
          <w:tcPr>
            <w:tcW w:w="644" w:type="dxa"/>
          </w:tcPr>
          <w:p>
            <w:pPr>
              <w:rPr>
                <w:rFonts w:hint="eastAsia"/>
                <w:bCs/>
                <w:color w:val="000000" w:themeColor="text1"/>
                <w:highlight w:val="none"/>
                <w:lang w:val="en-US" w:eastAsia="zh-CN"/>
                <w14:textFill>
                  <w14:solidFill>
                    <w14:schemeClr w14:val="tx1"/>
                  </w14:solidFill>
                </w14:textFill>
              </w:rPr>
            </w:pPr>
          </w:p>
        </w:tc>
        <w:tc>
          <w:tcPr>
            <w:tcW w:w="547" w:type="dxa"/>
          </w:tcPr>
          <w:p>
            <w:pPr>
              <w:rPr>
                <w:rFonts w:hint="eastAsia"/>
                <w:bCs/>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dxa"/>
            <w:vAlign w:val="center"/>
          </w:tcPr>
          <w:p>
            <w:pPr>
              <w:jc w:val="center"/>
              <w:rPr>
                <w:b/>
                <w:bCs w:val="0"/>
              </w:rPr>
            </w:pPr>
            <w:r>
              <w:rPr>
                <w:rFonts w:hint="eastAsia"/>
                <w:b/>
                <w:bCs w:val="0"/>
              </w:rPr>
              <w:t>2</w:t>
            </w:r>
          </w:p>
        </w:tc>
        <w:tc>
          <w:tcPr>
            <w:tcW w:w="977" w:type="dxa"/>
            <w:vAlign w:val="center"/>
          </w:tcPr>
          <w:p>
            <w:pPr>
              <w:rPr>
                <w:b/>
                <w:bCs w:val="0"/>
              </w:rPr>
            </w:pPr>
            <w:r>
              <w:rPr>
                <w:rFonts w:hint="eastAsia"/>
                <w:b/>
                <w:bCs w:val="0"/>
                <w:szCs w:val="21"/>
              </w:rPr>
              <w:t>质量保证</w:t>
            </w:r>
          </w:p>
        </w:tc>
        <w:tc>
          <w:tcPr>
            <w:tcW w:w="5273"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829" w:type="dxa"/>
            <w:vAlign w:val="center"/>
          </w:tcPr>
          <w:p>
            <w:pPr>
              <w:rPr>
                <w:rFonts w:hint="eastAsia"/>
                <w:bCs/>
              </w:rPr>
            </w:pPr>
          </w:p>
        </w:tc>
        <w:tc>
          <w:tcPr>
            <w:tcW w:w="644" w:type="dxa"/>
            <w:vAlign w:val="center"/>
          </w:tcPr>
          <w:p>
            <w:pPr>
              <w:rPr>
                <w:rFonts w:hint="eastAsia"/>
                <w:bCs/>
              </w:rPr>
            </w:pPr>
          </w:p>
        </w:tc>
        <w:tc>
          <w:tcPr>
            <w:tcW w:w="547" w:type="dxa"/>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dxa"/>
            <w:vAlign w:val="center"/>
          </w:tcPr>
          <w:p>
            <w:pPr>
              <w:jc w:val="center"/>
              <w:rPr>
                <w:b/>
                <w:bCs w:val="0"/>
              </w:rPr>
            </w:pPr>
            <w:r>
              <w:rPr>
                <w:rFonts w:hint="eastAsia"/>
                <w:b/>
                <w:bCs w:val="0"/>
              </w:rPr>
              <w:t>3</w:t>
            </w:r>
          </w:p>
        </w:tc>
        <w:tc>
          <w:tcPr>
            <w:tcW w:w="977" w:type="dxa"/>
            <w:vAlign w:val="center"/>
          </w:tcPr>
          <w:p>
            <w:pPr>
              <w:rPr>
                <w:b/>
                <w:bCs w:val="0"/>
              </w:rPr>
            </w:pPr>
            <w:r>
              <w:rPr>
                <w:rFonts w:hint="eastAsia"/>
                <w:b/>
                <w:bCs w:val="0"/>
              </w:rPr>
              <w:t>其他</w:t>
            </w:r>
          </w:p>
        </w:tc>
        <w:tc>
          <w:tcPr>
            <w:tcW w:w="5273" w:type="dxa"/>
            <w:vAlign w:val="center"/>
          </w:tcPr>
          <w:p>
            <w:pPr>
              <w:rPr>
                <w:b/>
              </w:rPr>
            </w:pPr>
            <w:r>
              <w:rPr>
                <w:rFonts w:hint="eastAsia"/>
                <w:bCs/>
                <w:szCs w:val="21"/>
              </w:rPr>
              <w:t>投标人应按其投标文件中的承诺，进行其他售后服务工作。</w:t>
            </w:r>
          </w:p>
        </w:tc>
        <w:tc>
          <w:tcPr>
            <w:tcW w:w="829" w:type="dxa"/>
            <w:vAlign w:val="center"/>
          </w:tcPr>
          <w:p>
            <w:pPr>
              <w:rPr>
                <w:rFonts w:hint="eastAsia"/>
                <w:bCs/>
                <w:szCs w:val="21"/>
              </w:rPr>
            </w:pPr>
          </w:p>
        </w:tc>
        <w:tc>
          <w:tcPr>
            <w:tcW w:w="644" w:type="dxa"/>
            <w:vAlign w:val="center"/>
          </w:tcPr>
          <w:p>
            <w:pPr>
              <w:rPr>
                <w:rFonts w:hint="eastAsia"/>
                <w:bCs/>
                <w:szCs w:val="21"/>
              </w:rPr>
            </w:pPr>
          </w:p>
        </w:tc>
        <w:tc>
          <w:tcPr>
            <w:tcW w:w="547"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28"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Cs/>
              </w:rPr>
            </w:pPr>
            <w:r>
              <w:rPr>
                <w:rFonts w:hint="eastAsia"/>
                <w:bCs/>
              </w:rPr>
              <w:t>1</w:t>
            </w:r>
          </w:p>
        </w:tc>
        <w:tc>
          <w:tcPr>
            <w:tcW w:w="977" w:type="dxa"/>
            <w:vMerge w:val="restart"/>
          </w:tcPr>
          <w:p>
            <w:pPr>
              <w:rPr>
                <w:b/>
              </w:rPr>
            </w:pPr>
            <w:r>
              <w:rPr>
                <w:rFonts w:hint="eastAsia" w:ascii="宋体" w:hAnsi="宋体"/>
                <w:b/>
                <w:kern w:val="0"/>
                <w:szCs w:val="21"/>
              </w:rPr>
              <w:t>维修零配件、消耗品和延续保修合同的报价</w:t>
            </w:r>
          </w:p>
        </w:tc>
        <w:tc>
          <w:tcPr>
            <w:tcW w:w="5273"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829" w:type="dxa"/>
          </w:tcPr>
          <w:p>
            <w:pPr>
              <w:spacing w:line="300" w:lineRule="exact"/>
              <w:rPr>
                <w:rFonts w:hint="eastAsia" w:ascii="宋体" w:hAnsi="宋体"/>
                <w:kern w:val="0"/>
                <w:szCs w:val="21"/>
              </w:rPr>
            </w:pPr>
          </w:p>
        </w:tc>
        <w:tc>
          <w:tcPr>
            <w:tcW w:w="644" w:type="dxa"/>
          </w:tcPr>
          <w:p>
            <w:pPr>
              <w:spacing w:line="300" w:lineRule="exact"/>
              <w:rPr>
                <w:rFonts w:hint="eastAsia" w:ascii="宋体" w:hAnsi="宋体"/>
                <w:kern w:val="0"/>
                <w:szCs w:val="21"/>
              </w:rPr>
            </w:pPr>
          </w:p>
        </w:tc>
        <w:tc>
          <w:tcPr>
            <w:tcW w:w="54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977" w:type="dxa"/>
            <w:vMerge w:val="continue"/>
          </w:tcPr>
          <w:p>
            <w:pPr>
              <w:rPr>
                <w:b/>
              </w:rPr>
            </w:pPr>
          </w:p>
        </w:tc>
        <w:tc>
          <w:tcPr>
            <w:tcW w:w="5273"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829" w:type="dxa"/>
          </w:tcPr>
          <w:p>
            <w:pPr>
              <w:spacing w:line="300" w:lineRule="exact"/>
              <w:rPr>
                <w:rFonts w:hint="eastAsia" w:ascii="宋体" w:hAnsi="宋体"/>
                <w:kern w:val="0"/>
                <w:szCs w:val="21"/>
              </w:rPr>
            </w:pPr>
          </w:p>
        </w:tc>
        <w:tc>
          <w:tcPr>
            <w:tcW w:w="644" w:type="dxa"/>
          </w:tcPr>
          <w:p>
            <w:pPr>
              <w:spacing w:line="300" w:lineRule="exact"/>
              <w:rPr>
                <w:rFonts w:hint="eastAsia" w:ascii="宋体" w:hAnsi="宋体"/>
                <w:kern w:val="0"/>
                <w:szCs w:val="21"/>
              </w:rPr>
            </w:pPr>
          </w:p>
        </w:tc>
        <w:tc>
          <w:tcPr>
            <w:tcW w:w="54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977" w:type="dxa"/>
            <w:vMerge w:val="continue"/>
          </w:tcPr>
          <w:p>
            <w:pPr>
              <w:rPr>
                <w:b/>
              </w:rPr>
            </w:pPr>
          </w:p>
        </w:tc>
        <w:tc>
          <w:tcPr>
            <w:tcW w:w="5273"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829" w:type="dxa"/>
          </w:tcPr>
          <w:p>
            <w:pPr>
              <w:spacing w:line="300" w:lineRule="exact"/>
              <w:rPr>
                <w:rFonts w:hint="eastAsia" w:ascii="宋体" w:hAnsi="宋体"/>
                <w:kern w:val="0"/>
                <w:szCs w:val="21"/>
              </w:rPr>
            </w:pPr>
          </w:p>
        </w:tc>
        <w:tc>
          <w:tcPr>
            <w:tcW w:w="644" w:type="dxa"/>
          </w:tcPr>
          <w:p>
            <w:pPr>
              <w:spacing w:line="300" w:lineRule="exact"/>
              <w:rPr>
                <w:rFonts w:hint="eastAsia" w:ascii="宋体" w:hAnsi="宋体"/>
                <w:kern w:val="0"/>
                <w:szCs w:val="21"/>
              </w:rPr>
            </w:pPr>
          </w:p>
        </w:tc>
        <w:tc>
          <w:tcPr>
            <w:tcW w:w="54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dxa"/>
            <w:vMerge w:val="continue"/>
            <w:vAlign w:val="center"/>
          </w:tcPr>
          <w:p>
            <w:pPr>
              <w:jc w:val="center"/>
              <w:rPr>
                <w:bCs/>
              </w:rPr>
            </w:pPr>
          </w:p>
        </w:tc>
        <w:tc>
          <w:tcPr>
            <w:tcW w:w="977" w:type="dxa"/>
            <w:vMerge w:val="continue"/>
          </w:tcPr>
          <w:p>
            <w:pPr>
              <w:rPr>
                <w:b/>
              </w:rPr>
            </w:pPr>
          </w:p>
        </w:tc>
        <w:tc>
          <w:tcPr>
            <w:tcW w:w="5273"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829" w:type="dxa"/>
          </w:tcPr>
          <w:p>
            <w:pPr>
              <w:rPr>
                <w:rFonts w:hint="eastAsia" w:ascii="宋体" w:hAnsi="宋体"/>
                <w:kern w:val="0"/>
                <w:szCs w:val="21"/>
              </w:rPr>
            </w:pPr>
          </w:p>
        </w:tc>
        <w:tc>
          <w:tcPr>
            <w:tcW w:w="644" w:type="dxa"/>
          </w:tcPr>
          <w:p>
            <w:pPr>
              <w:rPr>
                <w:rFonts w:hint="eastAsia" w:ascii="宋体" w:hAnsi="宋体"/>
                <w:kern w:val="0"/>
                <w:szCs w:val="21"/>
              </w:rPr>
            </w:pPr>
          </w:p>
        </w:tc>
        <w:tc>
          <w:tcPr>
            <w:tcW w:w="547"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977" w:type="dxa"/>
            <w:vMerge w:val="continue"/>
          </w:tcPr>
          <w:p>
            <w:pPr>
              <w:rPr>
                <w:b/>
              </w:rPr>
            </w:pPr>
          </w:p>
        </w:tc>
        <w:tc>
          <w:tcPr>
            <w:tcW w:w="5273"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829" w:type="dxa"/>
          </w:tcPr>
          <w:p>
            <w:pPr>
              <w:rPr>
                <w:rFonts w:hint="eastAsia" w:ascii="宋体" w:hAnsi="宋体"/>
                <w:kern w:val="0"/>
                <w:szCs w:val="21"/>
              </w:rPr>
            </w:pPr>
          </w:p>
        </w:tc>
        <w:tc>
          <w:tcPr>
            <w:tcW w:w="644" w:type="dxa"/>
          </w:tcPr>
          <w:p>
            <w:pPr>
              <w:rPr>
                <w:rFonts w:hint="eastAsia" w:ascii="宋体" w:hAnsi="宋体"/>
                <w:kern w:val="0"/>
                <w:szCs w:val="21"/>
              </w:rPr>
            </w:pPr>
          </w:p>
        </w:tc>
        <w:tc>
          <w:tcPr>
            <w:tcW w:w="547"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28"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8" w:type="dxa"/>
            <w:vMerge w:val="restart"/>
            <w:vAlign w:val="center"/>
          </w:tcPr>
          <w:p>
            <w:pPr>
              <w:jc w:val="center"/>
              <w:rPr>
                <w:b/>
                <w:bCs w:val="0"/>
              </w:rPr>
            </w:pPr>
            <w:r>
              <w:rPr>
                <w:rFonts w:hint="eastAsia"/>
                <w:b/>
                <w:bCs w:val="0"/>
              </w:rPr>
              <w:t>1</w:t>
            </w:r>
          </w:p>
        </w:tc>
        <w:tc>
          <w:tcPr>
            <w:tcW w:w="977" w:type="dxa"/>
            <w:vMerge w:val="restart"/>
            <w:vAlign w:val="center"/>
          </w:tcPr>
          <w:p>
            <w:pPr>
              <w:rPr>
                <w:b/>
                <w:bCs w:val="0"/>
              </w:rPr>
            </w:pPr>
            <w:r>
              <w:rPr>
                <w:rFonts w:hint="eastAsia"/>
                <w:b/>
                <w:bCs w:val="0"/>
              </w:rPr>
              <w:t>关于交货</w:t>
            </w:r>
          </w:p>
        </w:tc>
        <w:tc>
          <w:tcPr>
            <w:tcW w:w="5273"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 w:type="dxa"/>
            <w:vMerge w:val="continue"/>
            <w:vAlign w:val="center"/>
          </w:tcPr>
          <w:p>
            <w:pPr>
              <w:jc w:val="center"/>
              <w:rPr>
                <w:b/>
                <w:bCs w:val="0"/>
              </w:rPr>
            </w:pPr>
            <w:r>
              <w:rPr>
                <w:rFonts w:hint="eastAsia"/>
                <w:b/>
                <w:bCs w:val="0"/>
              </w:rPr>
              <w:t>+</w:t>
            </w:r>
          </w:p>
        </w:tc>
        <w:tc>
          <w:tcPr>
            <w:tcW w:w="977" w:type="dxa"/>
            <w:vMerge w:val="continue"/>
            <w:vAlign w:val="center"/>
          </w:tcPr>
          <w:p>
            <w:pPr>
              <w:jc w:val="center"/>
              <w:rPr>
                <w:b/>
                <w:bCs w:val="0"/>
              </w:rPr>
            </w:pPr>
          </w:p>
        </w:tc>
        <w:tc>
          <w:tcPr>
            <w:tcW w:w="5273"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
                <w:bCs w:val="0"/>
              </w:rPr>
            </w:pPr>
            <w:r>
              <w:rPr>
                <w:rFonts w:hint="eastAsia"/>
                <w:b/>
                <w:bCs w:val="0"/>
              </w:rPr>
              <w:t>2</w:t>
            </w:r>
          </w:p>
        </w:tc>
        <w:tc>
          <w:tcPr>
            <w:tcW w:w="977" w:type="dxa"/>
            <w:vMerge w:val="restart"/>
            <w:vAlign w:val="center"/>
          </w:tcPr>
          <w:p>
            <w:pPr>
              <w:rPr>
                <w:b/>
                <w:bCs w:val="0"/>
              </w:rPr>
            </w:pPr>
            <w:r>
              <w:rPr>
                <w:rFonts w:hint="eastAsia"/>
                <w:b/>
                <w:bCs w:val="0"/>
              </w:rPr>
              <w:t>运输、安装调试及验收</w:t>
            </w:r>
          </w:p>
        </w:tc>
        <w:tc>
          <w:tcPr>
            <w:tcW w:w="5273"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829" w:type="dxa"/>
          </w:tcPr>
          <w:p>
            <w:pPr>
              <w:spacing w:line="340" w:lineRule="exact"/>
              <w:rPr>
                <w:rFonts w:hint="eastAsia"/>
                <w:bCs/>
                <w:szCs w:val="21"/>
              </w:rPr>
            </w:pPr>
          </w:p>
        </w:tc>
        <w:tc>
          <w:tcPr>
            <w:tcW w:w="644" w:type="dxa"/>
          </w:tcPr>
          <w:p>
            <w:pPr>
              <w:spacing w:line="340" w:lineRule="exact"/>
              <w:rPr>
                <w:rFonts w:hint="eastAsia"/>
                <w:bCs/>
                <w:szCs w:val="21"/>
              </w:rPr>
            </w:pPr>
          </w:p>
        </w:tc>
        <w:tc>
          <w:tcPr>
            <w:tcW w:w="54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829" w:type="dxa"/>
          </w:tcPr>
          <w:p>
            <w:pPr>
              <w:spacing w:line="340" w:lineRule="exact"/>
              <w:rPr>
                <w:rFonts w:hint="eastAsia"/>
                <w:bCs/>
                <w:szCs w:val="21"/>
              </w:rPr>
            </w:pPr>
          </w:p>
        </w:tc>
        <w:tc>
          <w:tcPr>
            <w:tcW w:w="644" w:type="dxa"/>
          </w:tcPr>
          <w:p>
            <w:pPr>
              <w:spacing w:line="340" w:lineRule="exact"/>
              <w:rPr>
                <w:rFonts w:hint="eastAsia"/>
                <w:bCs/>
                <w:szCs w:val="21"/>
              </w:rPr>
            </w:pPr>
          </w:p>
        </w:tc>
        <w:tc>
          <w:tcPr>
            <w:tcW w:w="54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829" w:type="dxa"/>
          </w:tcPr>
          <w:p>
            <w:pPr>
              <w:spacing w:line="340" w:lineRule="exact"/>
              <w:rPr>
                <w:rFonts w:hint="eastAsia"/>
                <w:bCs/>
                <w:szCs w:val="21"/>
              </w:rPr>
            </w:pPr>
          </w:p>
        </w:tc>
        <w:tc>
          <w:tcPr>
            <w:tcW w:w="644" w:type="dxa"/>
          </w:tcPr>
          <w:p>
            <w:pPr>
              <w:spacing w:line="340" w:lineRule="exact"/>
              <w:rPr>
                <w:rFonts w:hint="eastAsia"/>
                <w:bCs/>
                <w:szCs w:val="21"/>
              </w:rPr>
            </w:pPr>
          </w:p>
        </w:tc>
        <w:tc>
          <w:tcPr>
            <w:tcW w:w="54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tcPr>
          <w:p>
            <w:pPr>
              <w:rPr>
                <w:b/>
                <w:bCs w:val="0"/>
              </w:rPr>
            </w:pPr>
          </w:p>
        </w:tc>
        <w:tc>
          <w:tcPr>
            <w:tcW w:w="5273"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829" w:type="dxa"/>
          </w:tcPr>
          <w:p>
            <w:pPr>
              <w:spacing w:line="340" w:lineRule="exact"/>
              <w:rPr>
                <w:rFonts w:hint="eastAsia"/>
                <w:bCs/>
                <w:szCs w:val="21"/>
              </w:rPr>
            </w:pPr>
          </w:p>
        </w:tc>
        <w:tc>
          <w:tcPr>
            <w:tcW w:w="644" w:type="dxa"/>
          </w:tcPr>
          <w:p>
            <w:pPr>
              <w:spacing w:line="340" w:lineRule="exact"/>
              <w:rPr>
                <w:rFonts w:hint="eastAsia"/>
                <w:bCs/>
                <w:szCs w:val="21"/>
              </w:rPr>
            </w:pPr>
          </w:p>
        </w:tc>
        <w:tc>
          <w:tcPr>
            <w:tcW w:w="54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
                <w:bCs w:val="0"/>
              </w:rPr>
            </w:pPr>
            <w:r>
              <w:rPr>
                <w:rFonts w:hint="eastAsia"/>
                <w:b/>
                <w:bCs w:val="0"/>
              </w:rPr>
              <w:t>3</w:t>
            </w:r>
          </w:p>
        </w:tc>
        <w:tc>
          <w:tcPr>
            <w:tcW w:w="977" w:type="dxa"/>
            <w:vMerge w:val="restart"/>
            <w:vAlign w:val="center"/>
          </w:tcPr>
          <w:p>
            <w:pPr>
              <w:jc w:val="center"/>
              <w:rPr>
                <w:b/>
                <w:bCs w:val="0"/>
              </w:rPr>
            </w:pPr>
            <w:r>
              <w:rPr>
                <w:rFonts w:hint="eastAsia"/>
                <w:b/>
                <w:bCs w:val="0"/>
              </w:rPr>
              <w:t>关于违约</w:t>
            </w:r>
          </w:p>
        </w:tc>
        <w:tc>
          <w:tcPr>
            <w:tcW w:w="5273"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829" w:type="dxa"/>
          </w:tcPr>
          <w:p>
            <w:pPr>
              <w:rPr>
                <w:rFonts w:hint="eastAsia"/>
                <w:b/>
              </w:rPr>
            </w:pPr>
          </w:p>
        </w:tc>
        <w:tc>
          <w:tcPr>
            <w:tcW w:w="644" w:type="dxa"/>
          </w:tcPr>
          <w:p>
            <w:pPr>
              <w:rPr>
                <w:rFonts w:hint="eastAsia"/>
                <w:b/>
              </w:rPr>
            </w:pPr>
          </w:p>
        </w:tc>
        <w:tc>
          <w:tcPr>
            <w:tcW w:w="547"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29" w:type="dxa"/>
          </w:tcPr>
          <w:p>
            <w:pPr>
              <w:rPr>
                <w:rFonts w:hint="eastAsia"/>
                <w:b/>
              </w:rPr>
            </w:pPr>
          </w:p>
        </w:tc>
        <w:tc>
          <w:tcPr>
            <w:tcW w:w="644" w:type="dxa"/>
          </w:tcPr>
          <w:p>
            <w:pPr>
              <w:rPr>
                <w:rFonts w:hint="eastAsia"/>
                <w:b/>
              </w:rPr>
            </w:pPr>
          </w:p>
        </w:tc>
        <w:tc>
          <w:tcPr>
            <w:tcW w:w="547"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829" w:type="dxa"/>
          </w:tcPr>
          <w:p>
            <w:pPr>
              <w:rPr>
                <w:rFonts w:hint="eastAsia" w:ascii="宋体" w:hAnsi="宋体"/>
                <w:bCs/>
                <w:kern w:val="0"/>
                <w:szCs w:val="21"/>
              </w:rPr>
            </w:pPr>
          </w:p>
        </w:tc>
        <w:tc>
          <w:tcPr>
            <w:tcW w:w="644" w:type="dxa"/>
          </w:tcPr>
          <w:p>
            <w:pPr>
              <w:rPr>
                <w:rFonts w:hint="eastAsia" w:ascii="宋体" w:hAnsi="宋体"/>
                <w:bCs/>
                <w:kern w:val="0"/>
                <w:szCs w:val="21"/>
              </w:rPr>
            </w:pPr>
          </w:p>
        </w:tc>
        <w:tc>
          <w:tcPr>
            <w:tcW w:w="547" w:type="dxa"/>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Cs/>
              </w:rPr>
            </w:pPr>
            <w:r>
              <w:rPr>
                <w:rFonts w:hint="eastAsia"/>
                <w:bCs/>
              </w:rPr>
              <w:t>3.6中标人逾期交货的，将被没收履约保证金并按主管部门相关规定处理。</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bCs w:val="0"/>
              </w:rPr>
            </w:pPr>
          </w:p>
        </w:tc>
        <w:tc>
          <w:tcPr>
            <w:tcW w:w="977" w:type="dxa"/>
            <w:vMerge w:val="continue"/>
            <w:vAlign w:val="center"/>
          </w:tcPr>
          <w:p>
            <w:pPr>
              <w:jc w:val="center"/>
              <w:rPr>
                <w:b/>
                <w:bCs w:val="0"/>
              </w:rPr>
            </w:pPr>
          </w:p>
        </w:tc>
        <w:tc>
          <w:tcPr>
            <w:tcW w:w="5273"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829" w:type="dxa"/>
          </w:tcPr>
          <w:p>
            <w:pPr>
              <w:rPr>
                <w:rFonts w:hint="eastAsia"/>
                <w:bCs/>
              </w:rPr>
            </w:pPr>
          </w:p>
        </w:tc>
        <w:tc>
          <w:tcPr>
            <w:tcW w:w="644" w:type="dxa"/>
          </w:tcPr>
          <w:p>
            <w:pPr>
              <w:rPr>
                <w:rFonts w:hint="eastAsia"/>
                <w:bCs/>
              </w:rPr>
            </w:pPr>
          </w:p>
        </w:tc>
        <w:tc>
          <w:tcPr>
            <w:tcW w:w="54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Align w:val="center"/>
          </w:tcPr>
          <w:p>
            <w:pPr>
              <w:jc w:val="center"/>
              <w:rPr>
                <w:b/>
                <w:bCs w:val="0"/>
              </w:rPr>
            </w:pPr>
            <w:r>
              <w:rPr>
                <w:rFonts w:hint="eastAsia"/>
                <w:b/>
                <w:bCs w:val="0"/>
              </w:rPr>
              <w:t>4</w:t>
            </w:r>
          </w:p>
        </w:tc>
        <w:tc>
          <w:tcPr>
            <w:tcW w:w="977" w:type="dxa"/>
            <w:vAlign w:val="center"/>
          </w:tcPr>
          <w:p>
            <w:pPr>
              <w:jc w:val="center"/>
              <w:rPr>
                <w:b/>
                <w:bCs w:val="0"/>
              </w:rPr>
            </w:pPr>
            <w:r>
              <w:rPr>
                <w:rFonts w:hint="eastAsia"/>
                <w:b/>
                <w:bCs w:val="0"/>
              </w:rPr>
              <w:t>关于付款</w:t>
            </w:r>
          </w:p>
        </w:tc>
        <w:tc>
          <w:tcPr>
            <w:tcW w:w="5273"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Align w:val="center"/>
          </w:tcPr>
          <w:p>
            <w:pPr>
              <w:jc w:val="center"/>
              <w:rPr>
                <w:b/>
                <w:bCs w:val="0"/>
              </w:rPr>
            </w:pPr>
            <w:r>
              <w:rPr>
                <w:rFonts w:hint="eastAsia"/>
                <w:b/>
                <w:bCs w:val="0"/>
              </w:rPr>
              <w:t>5</w:t>
            </w:r>
          </w:p>
        </w:tc>
        <w:tc>
          <w:tcPr>
            <w:tcW w:w="977" w:type="dxa"/>
            <w:vAlign w:val="center"/>
          </w:tcPr>
          <w:p>
            <w:pPr>
              <w:jc w:val="center"/>
              <w:rPr>
                <w:b/>
                <w:bCs w:val="0"/>
              </w:rPr>
            </w:pPr>
            <w:r>
              <w:rPr>
                <w:rFonts w:hint="eastAsia"/>
                <w:b/>
                <w:bCs w:val="0"/>
              </w:rPr>
              <w:t>报价要求</w:t>
            </w:r>
          </w:p>
        </w:tc>
        <w:tc>
          <w:tcPr>
            <w:tcW w:w="5273" w:type="dxa"/>
          </w:tcPr>
          <w:p>
            <w:pPr>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829" w:type="dxa"/>
          </w:tcPr>
          <w:p>
            <w:pPr>
              <w:rPr>
                <w:rFonts w:hint="eastAsia"/>
                <w:bCs/>
                <w:szCs w:val="21"/>
              </w:rPr>
            </w:pPr>
          </w:p>
        </w:tc>
        <w:tc>
          <w:tcPr>
            <w:tcW w:w="644" w:type="dxa"/>
          </w:tcPr>
          <w:p>
            <w:pPr>
              <w:rPr>
                <w:rFonts w:hint="eastAsia"/>
                <w:bCs/>
                <w:szCs w:val="21"/>
              </w:rPr>
            </w:pPr>
          </w:p>
        </w:tc>
        <w:tc>
          <w:tcPr>
            <w:tcW w:w="54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
                <w:bCs w:val="0"/>
                <w:color w:val="FF0000"/>
              </w:rPr>
            </w:pPr>
            <w:r>
              <w:rPr>
                <w:b/>
                <w:bCs w:val="0"/>
                <w:color w:val="FF0000"/>
              </w:rPr>
              <w:t>6</w:t>
            </w:r>
          </w:p>
        </w:tc>
        <w:tc>
          <w:tcPr>
            <w:tcW w:w="977" w:type="dxa"/>
            <w:vMerge w:val="restart"/>
            <w:vAlign w:val="center"/>
          </w:tcPr>
          <w:p>
            <w:pPr>
              <w:jc w:val="center"/>
              <w:rPr>
                <w:b/>
                <w:bCs w:val="0"/>
                <w:color w:val="FF0000"/>
              </w:rPr>
            </w:pPr>
            <w:r>
              <w:rPr>
                <w:rFonts w:hint="eastAsia"/>
                <w:b/>
                <w:bCs w:val="0"/>
                <w:color w:val="FF0000"/>
              </w:rPr>
              <w:t>项目（产品）要求</w:t>
            </w:r>
          </w:p>
        </w:tc>
        <w:tc>
          <w:tcPr>
            <w:tcW w:w="5273"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829" w:type="dxa"/>
          </w:tcPr>
          <w:p>
            <w:pPr>
              <w:rPr>
                <w:rFonts w:hint="eastAsia"/>
                <w:b/>
                <w:color w:val="FF0000"/>
              </w:rPr>
            </w:pPr>
          </w:p>
        </w:tc>
        <w:tc>
          <w:tcPr>
            <w:tcW w:w="644" w:type="dxa"/>
          </w:tcPr>
          <w:p>
            <w:pPr>
              <w:rPr>
                <w:rFonts w:hint="eastAsia"/>
                <w:b/>
                <w:color w:val="FF0000"/>
              </w:rPr>
            </w:pPr>
          </w:p>
        </w:tc>
        <w:tc>
          <w:tcPr>
            <w:tcW w:w="547" w:type="dxa"/>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rPr>
                <w:b/>
                <w:color w:val="FF0000"/>
              </w:rPr>
            </w:pPr>
          </w:p>
        </w:tc>
        <w:tc>
          <w:tcPr>
            <w:tcW w:w="977" w:type="dxa"/>
            <w:vMerge w:val="continue"/>
          </w:tcPr>
          <w:p>
            <w:pPr>
              <w:rPr>
                <w:b/>
                <w:color w:val="FF0000"/>
              </w:rPr>
            </w:pPr>
          </w:p>
        </w:tc>
        <w:tc>
          <w:tcPr>
            <w:tcW w:w="5273"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829" w:type="dxa"/>
          </w:tcPr>
          <w:p>
            <w:pPr>
              <w:rPr>
                <w:rFonts w:hint="eastAsia"/>
                <w:b/>
                <w:color w:val="FF0000"/>
              </w:rPr>
            </w:pPr>
          </w:p>
        </w:tc>
        <w:tc>
          <w:tcPr>
            <w:tcW w:w="644" w:type="dxa"/>
          </w:tcPr>
          <w:p>
            <w:pPr>
              <w:rPr>
                <w:rFonts w:hint="eastAsia"/>
                <w:b/>
                <w:color w:val="FF0000"/>
              </w:rPr>
            </w:pPr>
          </w:p>
        </w:tc>
        <w:tc>
          <w:tcPr>
            <w:tcW w:w="547" w:type="dxa"/>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1、商务要求偏离表的序号、商务需求项、招标商务要求等栏目对应“招标项目需求”中的“商务需求”章节相关内容。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0"/>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73521581"/>
      <w:bookmarkStart w:id="96" w:name="_Toc73518151"/>
      <w:bookmarkStart w:id="97" w:name="_Toc73521669"/>
      <w:bookmarkStart w:id="98" w:name="_Toc100052400"/>
      <w:bookmarkStart w:id="99" w:name="_Toc73517673"/>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73517679"/>
      <w:bookmarkStart w:id="111" w:name="_Toc73521586"/>
      <w:bookmarkStart w:id="112" w:name="_Toc73521674"/>
      <w:bookmarkStart w:id="113" w:name="_Toc73518157"/>
      <w:bookmarkStart w:id="114" w:name="_Toc100052408"/>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73517680"/>
      <w:bookmarkStart w:id="117" w:name="_Toc73518158"/>
      <w:bookmarkStart w:id="118" w:name="_Toc100052409"/>
      <w:bookmarkStart w:id="119" w:name="_Toc73521587"/>
      <w:bookmarkStart w:id="120" w:name="_Toc73521675"/>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73521677"/>
      <w:bookmarkStart w:id="122" w:name="_Toc100052410"/>
      <w:bookmarkStart w:id="123" w:name="_Toc73521589"/>
      <w:bookmarkStart w:id="124" w:name="_Toc73517682"/>
      <w:bookmarkStart w:id="125" w:name="_Toc73518160"/>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100052411"/>
      <w:bookmarkStart w:id="127" w:name="_Toc73521678"/>
      <w:bookmarkStart w:id="128" w:name="_Toc73517683"/>
      <w:bookmarkStart w:id="129" w:name="_Toc73521590"/>
      <w:bookmarkStart w:id="130" w:name="_Toc73518161"/>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11</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527F6E2"/>
    <w:multiLevelType w:val="multilevel"/>
    <w:tmpl w:val="3527F6E2"/>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8"/>
  </w:num>
  <w:num w:numId="8">
    <w:abstractNumId w:val="0"/>
    <w:lvlOverride w:ilvl="0">
      <w:startOverride w:val="1"/>
    </w:lvlOverride>
  </w:num>
  <w:num w:numId="9">
    <w:abstractNumId w:val="1"/>
    <w:lvlOverride w:ilvl="0">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36C08"/>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43A"/>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6D06"/>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0E0"/>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444"/>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922"/>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AC3"/>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4A9D"/>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60D"/>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2273"/>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782"/>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0129"/>
    <w:rsid w:val="00F11635"/>
    <w:rsid w:val="00F127F8"/>
    <w:rsid w:val="00F12D86"/>
    <w:rsid w:val="00F131AA"/>
    <w:rsid w:val="00F131FD"/>
    <w:rsid w:val="00F1350B"/>
    <w:rsid w:val="00F13B05"/>
    <w:rsid w:val="00F13B5A"/>
    <w:rsid w:val="00F13EED"/>
    <w:rsid w:val="00F15AF2"/>
    <w:rsid w:val="00F15BC8"/>
    <w:rsid w:val="00F2079F"/>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4A8282A"/>
    <w:rsid w:val="09D36043"/>
    <w:rsid w:val="09E507C4"/>
    <w:rsid w:val="0B895A7E"/>
    <w:rsid w:val="0EBF659B"/>
    <w:rsid w:val="157E4EAF"/>
    <w:rsid w:val="17F92FBA"/>
    <w:rsid w:val="23D0643C"/>
    <w:rsid w:val="25A8406F"/>
    <w:rsid w:val="2A8D6C0A"/>
    <w:rsid w:val="2AD6349D"/>
    <w:rsid w:val="2C1803D1"/>
    <w:rsid w:val="2C736189"/>
    <w:rsid w:val="30857540"/>
    <w:rsid w:val="35107697"/>
    <w:rsid w:val="3AAC3353"/>
    <w:rsid w:val="3B3E4A0E"/>
    <w:rsid w:val="3FA26E4B"/>
    <w:rsid w:val="43170D39"/>
    <w:rsid w:val="44F34F77"/>
    <w:rsid w:val="454974AC"/>
    <w:rsid w:val="45840A72"/>
    <w:rsid w:val="46B67D0C"/>
    <w:rsid w:val="48AB78C3"/>
    <w:rsid w:val="48B50DCA"/>
    <w:rsid w:val="4AEE2F19"/>
    <w:rsid w:val="4B647BBF"/>
    <w:rsid w:val="50DC5685"/>
    <w:rsid w:val="58081098"/>
    <w:rsid w:val="586725A2"/>
    <w:rsid w:val="58ED2052"/>
    <w:rsid w:val="5E051974"/>
    <w:rsid w:val="5ECF19A7"/>
    <w:rsid w:val="666A7063"/>
    <w:rsid w:val="6C140B53"/>
    <w:rsid w:val="6E9F2557"/>
    <w:rsid w:val="730218E8"/>
    <w:rsid w:val="73813E96"/>
    <w:rsid w:val="78A61440"/>
    <w:rsid w:val="7905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D554D-3887-4AB6-965B-4861A59852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39399</Words>
  <Characters>4194</Characters>
  <Lines>34</Lines>
  <Paragraphs>87</Paragraphs>
  <TotalTime>3</TotalTime>
  <ScaleCrop>false</ScaleCrop>
  <LinksUpToDate>false</LinksUpToDate>
  <CharactersWithSpaces>43506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罗忠琴</cp:lastModifiedBy>
  <cp:lastPrinted>2018-11-06T09:21:00Z</cp:lastPrinted>
  <dcterms:modified xsi:type="dcterms:W3CDTF">2021-10-20T04:04:37Z</dcterms:modified>
  <dc:title>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5A164C5046264AE0A1BCD2A85EFB7615</vt:lpwstr>
  </property>
</Properties>
</file>