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深圳市眼科医院白内障超声乳化手术系统项目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深圳市眼科医院白内障超声乳化手术系统项目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分项报价或投标总价高于相应财政预算金额（或设定的财政预算金额下的最高限价）；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6"/>
        <w:gridCol w:w="664"/>
        <w:gridCol w:w="2677"/>
        <w:gridCol w:w="1095"/>
        <w:gridCol w:w="39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在投标文件中投标人需充分说明技术保障措施，包括1.项目组织管理方案、2.项目进度计划、3.项目质量控制措施、4.项目进度控制措施、5.项目技术实力共5项保障措施，要求详细，安排合理: 1、保障措施等于5项，得100分； 2、保障措施3-4项的，得50分； 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投标人应如实填写《技术规格偏离表》，评审委员会根据技术需求参数响应情况进行打分，各项技术参数指标及要求全部满足的得100分， “▲”所标参数为重点参数，每负偏离一项扣7分；其他一般参数每偏离一项扣3分，扣完为止；可有正偏离但不加分。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1.投标人应如实填写《免费保修期内售后服务条款偏离表》，评审委员会根据响应情况进行打分。满足免费保修期的得30分，每增加一年加10分，最高得60分。 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投标人应如实填写《免费保修期外售后服务条款偏离表》，评审委员会根据响应情况进行打分，全部满足要求的得100分，每负偏离一项扣20分。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投标人应如实填写《其他商务条款偏离表》，评审委员会根据响应情况进行打分，全部满足要求的得100分，每负偏离一项扣7分。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投标人情况及资格证明文件</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项目详细报价</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合同格式"/>
      <w:bookmarkEnd w:id="3"/>
      <w:bookmarkStart w:id="4" w:name="bt投标报价汇总表"/>
      <w:bookmarkEnd w:id="4"/>
      <w:bookmarkStart w:id="5" w:name="bt投标人须知"/>
      <w:bookmarkEnd w:id="5"/>
      <w:bookmarkStart w:id="6" w:name="bt技术标投标文件格式"/>
      <w:bookmarkEnd w:id="6"/>
      <w:bookmarkStart w:id="7" w:name="bt本工程承诺书"/>
      <w:bookmarkEnd w:id="7"/>
      <w:bookmarkStart w:id="8" w:name="bt项目管理班子配备情况"/>
      <w:bookmarkEnd w:id="8"/>
      <w:bookmarkStart w:id="9" w:name="bt合同条款及格式"/>
      <w:bookmarkEnd w:id="9"/>
      <w:bookmarkStart w:id="10" w:name="bt合同条款"/>
      <w:bookmarkEnd w:id="10"/>
      <w:bookmarkStart w:id="11" w:name="bt说明"/>
      <w:bookmarkEnd w:id="11"/>
      <w:bookmarkStart w:id="12" w:name="bt开标一览表"/>
      <w:bookmarkEnd w:id="12"/>
      <w:bookmarkStart w:id="13" w:name="bt其他资料由投标人自定"/>
      <w:bookmarkEnd w:id="13"/>
      <w:bookmarkStart w:id="14" w:name="bt投标函"/>
      <w:bookmarkEnd w:id="14"/>
      <w:bookmarkStart w:id="15" w:name="bt其他资料2"/>
      <w:bookmarkEnd w:id="15"/>
      <w:bookmarkStart w:id="16" w:name="bt投标人情况介绍"/>
      <w:bookmarkEnd w:id="16"/>
      <w:bookmarkStart w:id="17" w:name="bt商务标投标文件格式"/>
      <w:bookmarkEnd w:id="17"/>
      <w:bookmarkStart w:id="18" w:name="bt投标文件签署授权委托书"/>
      <w:bookmarkEnd w:id="18"/>
      <w:bookmarkStart w:id="19" w:name="bt合同格式"/>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color w:val="FF0000"/>
          <w:lang w:eastAsia="zh-CN"/>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b/>
          <w:bCs/>
          <w:color w:val="FF0000"/>
          <w:kern w:val="0"/>
          <w:szCs w:val="21"/>
        </w:rPr>
      </w:pPr>
      <w:r>
        <w:rPr>
          <w:rFonts w:hint="eastAsia" w:ascii="宋体" w:hAnsi="宋体"/>
          <w:b/>
          <w:bCs/>
          <w:color w:val="FF0000"/>
          <w:szCs w:val="21"/>
        </w:rPr>
        <w:t>（</w:t>
      </w:r>
      <w:r>
        <w:rPr>
          <w:rFonts w:hint="eastAsia" w:ascii="宋体" w:hAnsi="宋体"/>
          <w:b/>
          <w:bCs/>
          <w:color w:val="FF0000"/>
          <w:szCs w:val="21"/>
          <w:lang w:val="en-US" w:eastAsia="zh-CN"/>
        </w:rPr>
        <w:t>3</w:t>
      </w:r>
      <w:r>
        <w:rPr>
          <w:rFonts w:hint="eastAsia" w:ascii="宋体" w:hAnsi="宋体"/>
          <w:b/>
          <w:bCs/>
          <w:color w:val="FF0000"/>
          <w:szCs w:val="21"/>
        </w:rPr>
        <w:t>）</w:t>
      </w:r>
      <w:r>
        <w:rPr>
          <w:rFonts w:hint="eastAsia" w:ascii="宋体" w:hAnsi="宋体" w:cs="宋体"/>
          <w:b/>
          <w:bCs/>
          <w:color w:val="FF0000"/>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szCs w:val="20"/>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60560625"/>
      <w:bookmarkStart w:id="21" w:name="_Toc73521635"/>
      <w:bookmarkStart w:id="22" w:name="_Toc101074876"/>
      <w:bookmarkStart w:id="23" w:name="_Toc73521547"/>
      <w:bookmarkStart w:id="24" w:name="_Toc60631620"/>
      <w:bookmarkStart w:id="25" w:name="_Toc73518117"/>
      <w:bookmarkStart w:id="26" w:name="_Toc73517639"/>
      <w:bookmarkStart w:id="27" w:name="_Toc100052364"/>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0000FF"/>
                <w:highlight w:val="none"/>
              </w:rPr>
              <w:t>合同金额的</w:t>
            </w:r>
            <w:r>
              <w:rPr>
                <w:rFonts w:hint="eastAsia"/>
                <w:color w:val="0000FF"/>
                <w:highlight w:val="none"/>
                <w:u w:val="single"/>
              </w:rPr>
              <w:t xml:space="preserve"> 5</w:t>
            </w:r>
            <w:r>
              <w:rPr>
                <w:rFonts w:hint="eastAsia"/>
                <w:color w:val="0000FF"/>
                <w:highlight w:val="none"/>
              </w:rPr>
              <w:t>%，投标供应商自主选择以支票、汇票、本票、保函等非现金形式缴纳或提交。履约保证金在中标人履行完成合同约定权利义务事项在合同期满之日起</w:t>
            </w:r>
            <w:r>
              <w:rPr>
                <w:rFonts w:hint="eastAsia"/>
                <w:color w:val="0000FF"/>
                <w:highlight w:val="none"/>
                <w:u w:val="single"/>
              </w:rPr>
              <w:t xml:space="preserve">                  30</w:t>
            </w:r>
            <w:r>
              <w:rPr>
                <w:rFonts w:hint="eastAsia"/>
                <w:color w:val="0000FF"/>
                <w:highlight w:val="none"/>
              </w:rPr>
              <w:t>日内按原方式退还，不计利息。采购人逾期退还履约保证金的，向中标人每日偿付履约保证金的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pPr>
        <w:rPr>
          <w:rFonts w:ascii="宋体" w:hAnsi="宋体"/>
          <w:b/>
          <w:color w:val="FF0000"/>
          <w:szCs w:val="21"/>
        </w:rPr>
      </w:pPr>
      <w:r>
        <w:rPr>
          <w:rFonts w:hint="eastAsia" w:ascii="宋体" w:hAnsi="宋体"/>
          <w:b/>
          <w:color w:val="FF0000"/>
          <w:szCs w:val="21"/>
        </w:rPr>
        <w:t>（一）货物总清单</w:t>
      </w:r>
    </w:p>
    <w:tbl>
      <w:tblPr>
        <w:tblStyle w:val="43"/>
        <w:tblpPr w:leftFromText="180" w:rightFromText="180" w:vertAnchor="text" w:horzAnchor="page" w:tblpX="1799" w:tblpY="156"/>
        <w:tblW w:w="47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66"/>
        <w:gridCol w:w="2199"/>
        <w:gridCol w:w="476"/>
        <w:gridCol w:w="476"/>
        <w:gridCol w:w="79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21" w:type="pct"/>
            <w:vAlign w:val="center"/>
          </w:tcPr>
          <w:p>
            <w:pPr>
              <w:jc w:val="center"/>
              <w:rPr>
                <w:bCs/>
                <w:szCs w:val="21"/>
              </w:rPr>
            </w:pPr>
            <w:r>
              <w:rPr>
                <w:rFonts w:hint="eastAsia"/>
                <w:bCs/>
                <w:szCs w:val="21"/>
              </w:rPr>
              <w:t>序号</w:t>
            </w:r>
          </w:p>
        </w:tc>
        <w:tc>
          <w:tcPr>
            <w:tcW w:w="1149" w:type="pct"/>
            <w:vAlign w:val="center"/>
          </w:tcPr>
          <w:p>
            <w:pPr>
              <w:jc w:val="center"/>
              <w:rPr>
                <w:bCs/>
                <w:szCs w:val="21"/>
              </w:rPr>
            </w:pPr>
            <w:r>
              <w:rPr>
                <w:rFonts w:hint="eastAsia"/>
                <w:szCs w:val="21"/>
              </w:rPr>
              <w:t>采购计划编号</w:t>
            </w:r>
          </w:p>
        </w:tc>
        <w:tc>
          <w:tcPr>
            <w:tcW w:w="1354" w:type="pct"/>
            <w:vAlign w:val="center"/>
          </w:tcPr>
          <w:p>
            <w:pPr>
              <w:jc w:val="center"/>
              <w:rPr>
                <w:bCs/>
                <w:szCs w:val="21"/>
              </w:rPr>
            </w:pPr>
            <w:r>
              <w:rPr>
                <w:rFonts w:hint="eastAsia"/>
                <w:bCs/>
                <w:szCs w:val="21"/>
              </w:rPr>
              <w:t>货物名称</w:t>
            </w:r>
          </w:p>
        </w:tc>
        <w:tc>
          <w:tcPr>
            <w:tcW w:w="293" w:type="pct"/>
            <w:vAlign w:val="center"/>
          </w:tcPr>
          <w:p>
            <w:pPr>
              <w:jc w:val="center"/>
              <w:rPr>
                <w:bCs/>
                <w:szCs w:val="21"/>
              </w:rPr>
            </w:pPr>
            <w:r>
              <w:rPr>
                <w:rFonts w:hint="eastAsia"/>
                <w:bCs/>
                <w:szCs w:val="21"/>
              </w:rPr>
              <w:t>数量</w:t>
            </w:r>
          </w:p>
        </w:tc>
        <w:tc>
          <w:tcPr>
            <w:tcW w:w="293" w:type="pct"/>
            <w:vAlign w:val="center"/>
          </w:tcPr>
          <w:p>
            <w:pPr>
              <w:jc w:val="center"/>
              <w:rPr>
                <w:bCs/>
                <w:szCs w:val="21"/>
              </w:rPr>
            </w:pPr>
            <w:r>
              <w:rPr>
                <w:rFonts w:hint="eastAsia"/>
                <w:bCs/>
                <w:szCs w:val="21"/>
              </w:rPr>
              <w:t>单位</w:t>
            </w:r>
          </w:p>
        </w:tc>
        <w:tc>
          <w:tcPr>
            <w:tcW w:w="486" w:type="pct"/>
            <w:vAlign w:val="center"/>
          </w:tcPr>
          <w:p>
            <w:pPr>
              <w:jc w:val="center"/>
              <w:rPr>
                <w:b/>
                <w:bCs/>
                <w:color w:val="auto"/>
                <w:szCs w:val="21"/>
              </w:rPr>
            </w:pPr>
            <w:r>
              <w:rPr>
                <w:rFonts w:hint="eastAsia"/>
                <w:b/>
                <w:bCs/>
                <w:color w:val="auto"/>
                <w:szCs w:val="21"/>
              </w:rPr>
              <w:t>备注</w:t>
            </w:r>
          </w:p>
        </w:tc>
        <w:tc>
          <w:tcPr>
            <w:tcW w:w="800" w:type="pct"/>
            <w:vAlign w:val="center"/>
          </w:tcPr>
          <w:p>
            <w:pPr>
              <w:jc w:val="center"/>
              <w:rPr>
                <w:b/>
                <w:bCs/>
                <w:color w:val="auto"/>
                <w:szCs w:val="21"/>
              </w:rPr>
            </w:pPr>
            <w:r>
              <w:rPr>
                <w:rFonts w:hint="eastAsia"/>
                <w:b/>
                <w:bCs/>
                <w:color w:val="auto"/>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21" w:type="pct"/>
          </w:tcPr>
          <w:p>
            <w:pPr>
              <w:jc w:val="center"/>
              <w:rPr>
                <w:bCs/>
                <w:szCs w:val="21"/>
              </w:rPr>
            </w:pPr>
            <w:r>
              <w:rPr>
                <w:rFonts w:hint="eastAsia"/>
                <w:bCs/>
                <w:szCs w:val="21"/>
              </w:rPr>
              <w:t>1</w:t>
            </w:r>
          </w:p>
        </w:tc>
        <w:tc>
          <w:tcPr>
            <w:tcW w:w="1149" w:type="pct"/>
          </w:tcPr>
          <w:p>
            <w:pPr>
              <w:jc w:val="center"/>
              <w:rPr>
                <w:bCs/>
                <w:szCs w:val="21"/>
              </w:rPr>
            </w:pPr>
            <w:r>
              <w:rPr>
                <w:rFonts w:hint="eastAsia"/>
                <w:bCs/>
                <w:szCs w:val="21"/>
              </w:rPr>
              <w:t xml:space="preserve">PLAN-2021-440301-0102018021-01123 </w:t>
            </w:r>
          </w:p>
        </w:tc>
        <w:tc>
          <w:tcPr>
            <w:tcW w:w="1354" w:type="pct"/>
          </w:tcPr>
          <w:p>
            <w:pPr>
              <w:pStyle w:val="16"/>
              <w:rPr>
                <w:bCs/>
                <w:szCs w:val="21"/>
              </w:rPr>
            </w:pPr>
            <w:r>
              <w:rPr>
                <w:rFonts w:hint="eastAsia" w:ascii="Times New Roman" w:hAnsi="Times New Roman" w:eastAsia="宋体" w:cs="Times New Roman"/>
                <w:bCs/>
                <w:kern w:val="2"/>
                <w:sz w:val="21"/>
                <w:szCs w:val="21"/>
                <w:lang w:val="en-US" w:eastAsia="zh-CN" w:bidi="ar-SA"/>
              </w:rPr>
              <w:t>医用设备提升-白内障超声乳化手术系统两台</w:t>
            </w:r>
          </w:p>
        </w:tc>
        <w:tc>
          <w:tcPr>
            <w:tcW w:w="293" w:type="pct"/>
          </w:tcPr>
          <w:p>
            <w:pPr>
              <w:jc w:val="center"/>
              <w:rPr>
                <w:bCs/>
                <w:szCs w:val="21"/>
              </w:rPr>
            </w:pPr>
            <w:r>
              <w:rPr>
                <w:rFonts w:hint="eastAsia"/>
                <w:bCs/>
                <w:szCs w:val="21"/>
              </w:rPr>
              <w:t>2</w:t>
            </w:r>
          </w:p>
        </w:tc>
        <w:tc>
          <w:tcPr>
            <w:tcW w:w="293" w:type="pct"/>
          </w:tcPr>
          <w:p>
            <w:pPr>
              <w:jc w:val="center"/>
              <w:rPr>
                <w:bCs/>
                <w:szCs w:val="21"/>
              </w:rPr>
            </w:pPr>
            <w:r>
              <w:rPr>
                <w:rFonts w:hint="eastAsia"/>
                <w:bCs/>
                <w:szCs w:val="21"/>
              </w:rPr>
              <w:t>台</w:t>
            </w:r>
          </w:p>
        </w:tc>
        <w:tc>
          <w:tcPr>
            <w:tcW w:w="486" w:type="pct"/>
          </w:tcPr>
          <w:p>
            <w:pPr>
              <w:jc w:val="center"/>
              <w:rPr>
                <w:b/>
                <w:bCs/>
                <w:color w:val="FF0000"/>
                <w:szCs w:val="21"/>
              </w:rPr>
            </w:pPr>
            <w:r>
              <w:rPr>
                <w:rFonts w:hint="eastAsia"/>
                <w:b/>
                <w:bCs/>
                <w:color w:val="FF0000"/>
                <w:szCs w:val="21"/>
              </w:rPr>
              <w:t>接受进口</w:t>
            </w:r>
          </w:p>
        </w:tc>
        <w:tc>
          <w:tcPr>
            <w:tcW w:w="800" w:type="pct"/>
          </w:tcPr>
          <w:p>
            <w:pPr>
              <w:jc w:val="center"/>
              <w:rPr>
                <w:bCs/>
                <w:szCs w:val="21"/>
              </w:rPr>
            </w:pPr>
            <w:r>
              <w:rPr>
                <w:rFonts w:hint="eastAsia"/>
                <w:bCs/>
                <w:szCs w:val="21"/>
              </w:rPr>
              <w:t>2,800,000.00</w:t>
            </w:r>
          </w:p>
        </w:tc>
      </w:tr>
    </w:tbl>
    <w:p>
      <w:pPr>
        <w:rPr>
          <w:rFonts w:ascii="宋体" w:hAnsi="宋体"/>
          <w:b/>
          <w:color w:val="FF0000"/>
          <w:szCs w:val="21"/>
        </w:rPr>
      </w:pPr>
    </w:p>
    <w:p>
      <w:pPr>
        <w:rPr>
          <w:rFonts w:ascii="宋体" w:hAnsi="宋体"/>
          <w:b/>
          <w:color w:val="FF0000"/>
          <w:szCs w:val="21"/>
        </w:rPr>
      </w:pPr>
    </w:p>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62"/>
        <w:gridCol w:w="1639"/>
        <w:gridCol w:w="547"/>
        <w:gridCol w:w="547"/>
        <w:gridCol w:w="79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序号</w:t>
            </w:r>
          </w:p>
        </w:tc>
        <w:tc>
          <w:tcPr>
            <w:tcW w:w="0" w:type="auto"/>
            <w:vAlign w:val="center"/>
          </w:tcPr>
          <w:p>
            <w:pPr>
              <w:jc w:val="center"/>
              <w:rPr>
                <w:bCs/>
                <w:szCs w:val="21"/>
              </w:rPr>
            </w:pPr>
            <w:r>
              <w:rPr>
                <w:rFonts w:hint="eastAsia"/>
                <w:szCs w:val="21"/>
              </w:rPr>
              <w:t>采购计划编号</w:t>
            </w:r>
          </w:p>
        </w:tc>
        <w:tc>
          <w:tcPr>
            <w:tcW w:w="0" w:type="auto"/>
            <w:vAlign w:val="center"/>
          </w:tcPr>
          <w:p>
            <w:pPr>
              <w:jc w:val="center"/>
              <w:rPr>
                <w:bCs/>
                <w:szCs w:val="21"/>
              </w:rPr>
            </w:pPr>
            <w:r>
              <w:rPr>
                <w:rFonts w:hint="eastAsia"/>
                <w:bCs/>
                <w:szCs w:val="21"/>
              </w:rPr>
              <w:t>货物名称</w:t>
            </w:r>
          </w:p>
        </w:tc>
        <w:tc>
          <w:tcPr>
            <w:tcW w:w="0" w:type="auto"/>
            <w:vAlign w:val="center"/>
          </w:tcPr>
          <w:p>
            <w:pPr>
              <w:jc w:val="center"/>
              <w:rPr>
                <w:bCs/>
                <w:szCs w:val="21"/>
              </w:rPr>
            </w:pPr>
            <w:r>
              <w:rPr>
                <w:rFonts w:hint="eastAsia"/>
                <w:bCs/>
                <w:szCs w:val="21"/>
              </w:rPr>
              <w:t>数量</w:t>
            </w:r>
          </w:p>
        </w:tc>
        <w:tc>
          <w:tcPr>
            <w:tcW w:w="0" w:type="auto"/>
            <w:vAlign w:val="center"/>
          </w:tcPr>
          <w:p>
            <w:pPr>
              <w:jc w:val="center"/>
              <w:rPr>
                <w:bCs/>
                <w:szCs w:val="21"/>
              </w:rPr>
            </w:pPr>
            <w:r>
              <w:rPr>
                <w:rFonts w:hint="eastAsia"/>
                <w:bCs/>
                <w:szCs w:val="21"/>
              </w:rPr>
              <w:t>单位</w:t>
            </w:r>
          </w:p>
        </w:tc>
        <w:tc>
          <w:tcPr>
            <w:tcW w:w="0" w:type="auto"/>
            <w:vAlign w:val="center"/>
          </w:tcPr>
          <w:p>
            <w:pPr>
              <w:jc w:val="center"/>
              <w:rPr>
                <w:b/>
                <w:bCs/>
                <w:color w:val="auto"/>
                <w:szCs w:val="21"/>
              </w:rPr>
            </w:pPr>
            <w:r>
              <w:rPr>
                <w:rFonts w:hint="eastAsia"/>
                <w:b/>
                <w:bCs/>
                <w:color w:val="auto"/>
                <w:szCs w:val="21"/>
              </w:rPr>
              <w:t>备注</w:t>
            </w:r>
          </w:p>
        </w:tc>
        <w:tc>
          <w:tcPr>
            <w:tcW w:w="0" w:type="auto"/>
          </w:tcPr>
          <w:p>
            <w:pPr>
              <w:jc w:val="center"/>
              <w:rPr>
                <w:b/>
                <w:bCs/>
                <w:color w:val="auto"/>
                <w:szCs w:val="21"/>
              </w:rPr>
            </w:pPr>
            <w:r>
              <w:rPr>
                <w:rFonts w:hint="eastAsia"/>
                <w:b/>
                <w:bCs/>
                <w:color w:val="auto"/>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tcPr>
          <w:p>
            <w:pPr>
              <w:jc w:val="center"/>
              <w:rPr>
                <w:bCs/>
                <w:szCs w:val="21"/>
              </w:rPr>
            </w:pPr>
            <w:r>
              <w:rPr>
                <w:rFonts w:hint="eastAsia"/>
                <w:bCs/>
                <w:szCs w:val="21"/>
              </w:rPr>
              <w:t>1</w:t>
            </w:r>
          </w:p>
        </w:tc>
        <w:tc>
          <w:tcPr>
            <w:tcW w:w="0" w:type="auto"/>
          </w:tcPr>
          <w:p>
            <w:pPr>
              <w:jc w:val="center"/>
              <w:rPr>
                <w:bCs/>
                <w:szCs w:val="21"/>
              </w:rPr>
            </w:pPr>
            <w:r>
              <w:rPr>
                <w:rFonts w:hint="eastAsia"/>
                <w:bCs/>
                <w:szCs w:val="21"/>
              </w:rPr>
              <w:t>PLAN-2021-440301-0102018021-01123</w:t>
            </w:r>
          </w:p>
        </w:tc>
        <w:tc>
          <w:tcPr>
            <w:tcW w:w="0" w:type="auto"/>
          </w:tcPr>
          <w:p>
            <w:pPr>
              <w:pStyle w:val="16"/>
              <w:rPr>
                <w:bCs/>
                <w:szCs w:val="21"/>
              </w:rPr>
            </w:pPr>
            <w:r>
              <w:rPr>
                <w:rFonts w:hint="eastAsia" w:ascii="Times New Roman"/>
                <w:bCs/>
                <w:kern w:val="2"/>
                <w:sz w:val="21"/>
                <w:szCs w:val="21"/>
              </w:rPr>
              <w:t>白内障超声乳化手术系统</w:t>
            </w:r>
          </w:p>
        </w:tc>
        <w:tc>
          <w:tcPr>
            <w:tcW w:w="0" w:type="auto"/>
          </w:tcPr>
          <w:p>
            <w:pPr>
              <w:jc w:val="center"/>
              <w:rPr>
                <w:bCs/>
                <w:szCs w:val="21"/>
              </w:rPr>
            </w:pPr>
            <w:r>
              <w:rPr>
                <w:rFonts w:hint="eastAsia"/>
                <w:bCs/>
                <w:szCs w:val="21"/>
              </w:rPr>
              <w:t>2</w:t>
            </w:r>
          </w:p>
        </w:tc>
        <w:tc>
          <w:tcPr>
            <w:tcW w:w="0" w:type="auto"/>
          </w:tcPr>
          <w:p>
            <w:pPr>
              <w:jc w:val="center"/>
              <w:rPr>
                <w:bCs/>
                <w:szCs w:val="21"/>
              </w:rPr>
            </w:pPr>
            <w:r>
              <w:rPr>
                <w:rFonts w:hint="eastAsia"/>
                <w:bCs/>
                <w:szCs w:val="21"/>
              </w:rPr>
              <w:t>台</w:t>
            </w:r>
          </w:p>
        </w:tc>
        <w:tc>
          <w:tcPr>
            <w:tcW w:w="0" w:type="auto"/>
          </w:tcPr>
          <w:p>
            <w:pPr>
              <w:jc w:val="center"/>
              <w:rPr>
                <w:bCs/>
                <w:szCs w:val="21"/>
              </w:rPr>
            </w:pPr>
            <w:r>
              <w:rPr>
                <w:rFonts w:hint="eastAsia"/>
                <w:b/>
                <w:bCs/>
                <w:color w:val="FF0000"/>
                <w:szCs w:val="21"/>
              </w:rPr>
              <w:t>接受进口</w:t>
            </w:r>
          </w:p>
        </w:tc>
        <w:tc>
          <w:tcPr>
            <w:tcW w:w="0" w:type="auto"/>
          </w:tcPr>
          <w:p>
            <w:pPr>
              <w:jc w:val="center"/>
              <w:rPr>
                <w:bCs/>
                <w:szCs w:val="21"/>
              </w:rPr>
            </w:pPr>
            <w:r>
              <w:rPr>
                <w:rFonts w:hint="eastAsia"/>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本项目为单一产品采购项目，不设置核心产品。</w:t>
      </w:r>
      <w:r>
        <w:rPr>
          <w:rFonts w:ascii="宋体" w:hAnsi="宋体"/>
          <w:b/>
          <w:color w:val="FF0000"/>
          <w:szCs w:val="21"/>
          <w:u w:val="single"/>
        </w:rPr>
        <w:t xml:space="preserve"> </w:t>
      </w:r>
      <w:r>
        <w:rPr>
          <w:rFonts w:hint="eastAsia" w:ascii="宋体" w:hAnsi="宋体"/>
          <w:b/>
          <w:color w:val="FF0000"/>
          <w:szCs w:val="21"/>
        </w:rPr>
        <w:t>。</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color w:val="auto"/>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color w:val="auto"/>
          <w:szCs w:val="21"/>
        </w:rPr>
      </w:pPr>
      <w:r>
        <w:rPr>
          <w:rFonts w:hint="eastAsia"/>
          <w:b/>
          <w:color w:val="auto"/>
          <w:szCs w:val="21"/>
        </w:rPr>
        <w:t>2、招标技术要求中，用</w:t>
      </w:r>
      <w:r>
        <w:rPr>
          <w:rFonts w:hint="eastAsia"/>
          <w:b/>
          <w:color w:val="FF0000"/>
          <w:szCs w:val="21"/>
        </w:rPr>
        <w:t>红色加粗</w:t>
      </w:r>
      <w:r>
        <w:rPr>
          <w:rFonts w:hint="eastAsia"/>
          <w:b/>
          <w:color w:val="auto"/>
          <w:szCs w:val="21"/>
        </w:rPr>
        <w:t>字体标注的技术条款为要求提供证明资料的条款，</w:t>
      </w:r>
      <w:r>
        <w:rPr>
          <w:rFonts w:hint="eastAsia"/>
          <w:b/>
          <w:color w:val="FF0000"/>
          <w:szCs w:val="21"/>
          <w:highlight w:val="none"/>
        </w:rPr>
        <w:t>共</w:t>
      </w:r>
      <w:r>
        <w:rPr>
          <w:rFonts w:hint="eastAsia"/>
          <w:color w:val="FF0000"/>
          <w:highlight w:val="none"/>
        </w:rPr>
        <w:t>6</w:t>
      </w:r>
      <w:r>
        <w:rPr>
          <w:rFonts w:hint="eastAsia"/>
          <w:b/>
          <w:color w:val="FF0000"/>
          <w:szCs w:val="21"/>
          <w:highlight w:val="none"/>
        </w:rPr>
        <w:t>项，</w:t>
      </w:r>
      <w:r>
        <w:rPr>
          <w:rFonts w:hint="eastAsia"/>
          <w:b/>
          <w:color w:val="auto"/>
          <w:szCs w:val="21"/>
        </w:rPr>
        <w:t>其余为未要求提供证明资料的条款，无需提供相关证明资料。</w:t>
      </w:r>
    </w:p>
    <w:p>
      <w:pPr>
        <w:ind w:firstLine="422" w:firstLineChars="200"/>
        <w:rPr>
          <w:b/>
          <w:color w:val="auto"/>
        </w:rPr>
      </w:pPr>
      <w:r>
        <w:rPr>
          <w:rFonts w:hint="eastAsia"/>
          <w:b/>
          <w:color w:val="auto"/>
        </w:rPr>
        <w:t>3、评分时，如对一项招标技术要求（以划分框为准）中的内容存在两处（或以上）负偏离的，在评分时只作一项负偏离扣分。</w:t>
      </w:r>
    </w:p>
    <w:p>
      <w:pPr>
        <w:ind w:firstLine="422" w:firstLineChars="200"/>
        <w:rPr>
          <w:b/>
          <w:color w:val="auto"/>
          <w:szCs w:val="21"/>
        </w:rPr>
      </w:pPr>
      <w:r>
        <w:rPr>
          <w:rFonts w:hint="eastAsia"/>
          <w:b/>
          <w:color w:val="auto"/>
        </w:rPr>
        <w:t>4</w:t>
      </w:r>
      <w:r>
        <w:rPr>
          <w:b/>
          <w:color w:val="auto"/>
        </w:rPr>
        <w:t>、涉及区间的参数，除特别注明以外，</w:t>
      </w:r>
      <w:bookmarkStart w:id="29" w:name="_Hlk75447406"/>
      <w:r>
        <w:rPr>
          <w:b/>
          <w:color w:val="auto"/>
        </w:rPr>
        <w:t>产品参数区间与招标要求不一致的均视为负偏离。</w:t>
      </w:r>
      <w:bookmarkEnd w:id="29"/>
      <w:r>
        <w:rPr>
          <w:rFonts w:hint="eastAsia"/>
          <w:b/>
          <w:color w:val="auto"/>
        </w:rPr>
        <w:t>例：区间要求为0-20ML,只要响应的不是“0-20ML”，如投标文件响应为 0-15ML 、0-21ML 、1-12ML 、 9-20ML 、6-21ML 、9ML等情形均视为负偏离。</w:t>
      </w:r>
    </w:p>
    <w:tbl>
      <w:tblPr>
        <w:tblStyle w:val="43"/>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87"/>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5"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687" w:type="dxa"/>
            <w:vAlign w:val="center"/>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货物名称</w:t>
            </w:r>
          </w:p>
        </w:tc>
        <w:tc>
          <w:tcPr>
            <w:tcW w:w="7298"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restart"/>
            <w:vAlign w:val="center"/>
          </w:tcPr>
          <w:p>
            <w:pPr>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687" w:type="dxa"/>
            <w:vMerge w:val="restart"/>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白内障超声乳化手术系统</w:t>
            </w: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1、泵系统</w:t>
            </w:r>
            <w:r>
              <w:rPr>
                <w:rFonts w:hint="eastAsia" w:asciiTheme="minorEastAsia" w:hAnsiTheme="minorEastAsia" w:eastAsiaTheme="minorEastAsia" w:cstheme="minor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1.1全密闭、非顺应性液流管理系统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▲1.2双压力感应技术（兼具非侵入性负压感应器和灌注压力感应器）（要求提供产品彩页关键信息或产品制造商官网关键信息截图或实物图片等（三者之一即可））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▲1.3负压设定范围：0-</w:t>
            </w:r>
            <w:r>
              <w:rPr>
                <w:rFonts w:asciiTheme="minorEastAsia" w:hAnsiTheme="minorEastAsia" w:eastAsiaTheme="minorEastAsia" w:cstheme="minorEastAsia"/>
                <w:b/>
                <w:bCs/>
                <w:color w:val="FF0000"/>
                <w:szCs w:val="21"/>
                <w:highlight w:val="none"/>
              </w:rPr>
              <w:t>700</w:t>
            </w:r>
            <w:r>
              <w:rPr>
                <w:rFonts w:hint="eastAsia" w:asciiTheme="minorEastAsia" w:hAnsiTheme="minorEastAsia" w:eastAsiaTheme="minorEastAsia" w:cstheme="minorEastAsia"/>
                <w:b/>
                <w:bCs/>
                <w:color w:val="FF0000"/>
                <w:szCs w:val="21"/>
                <w:highlight w:val="none"/>
              </w:rPr>
              <w:t>mmHg（要求提供产品彩页关键信息或产品制造商官网关键信息截图或实物图片等（三者之一即可））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1.4抽吸速率范围：0-60cc/min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2、白内障乳化模式</w:t>
            </w:r>
            <w:r>
              <w:rPr>
                <w:rFonts w:hint="eastAsia" w:asciiTheme="minorEastAsia" w:hAnsiTheme="minorEastAsia" w:eastAsiaTheme="minorEastAsia" w:cstheme="minor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2.1扭动超声乳化模式：超声振动方向为左右侧向，振动频率为32kHz；针头冲程204±128µm；超声能量线性/固定/连续/个性化输出（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2.2纵向超声乳化模式：超声振动方向为纵向振动，频率为44kHz，针头冲程116±36µm ；超声能量线性/固定/连续/个性化输出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3、超声能量调制模式</w:t>
            </w:r>
            <w:r>
              <w:rPr>
                <w:rFonts w:hint="eastAsia" w:asciiTheme="minorEastAsia" w:hAnsiTheme="minorEastAsia" w:eastAsiaTheme="minorEastAsia" w:cstheme="minor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3.1 Pulse 脉冲模式：脉冲频率1-250 pps，工作时间比例 0 -100% 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3.2 Burst 爆破模式：爆破脉宽2-500ms，爆破间歇 2500-0ms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4.1可线性脚踏控制超声能量的输出、抽吸速率和负压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4.2可同时线性控制超声能量输出、抽吸速率及负压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4.3可根据需要设置连续灌注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4.4可通过面板、脚踏或遥控器控制IV杆的自动升降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4.5可通过面板、脚踏或遥控器转变手术步骤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5、脚踏控制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5.1无线控制、无线充电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5.2可以利用脚踏控制多项功能（回吐、连续灌注、灌注液瓶升降、手术步骤改变、已存储手术参数的调用等）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▲6、主动液流控制系统： 范围：26-110mmHg；准确度：设定值的±20%或±15mmHg；抽吸流速：0-60cc/min（要求提供产品彩页关键信息或产品制造商官网关键信息截图或实物图片等（三者之一即可））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7、前节玻切</w:t>
            </w:r>
            <w:r>
              <w:rPr>
                <w:rFonts w:hint="eastAsia" w:asciiTheme="minorEastAsia" w:hAnsiTheme="minorEastAsia" w:eastAsiaTheme="minorEastAsia" w:cstheme="minor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▲7.1气动玻切，切割频率1-</w:t>
            </w:r>
            <w:r>
              <w:rPr>
                <w:rFonts w:asciiTheme="minorEastAsia" w:hAnsiTheme="minorEastAsia" w:eastAsiaTheme="minorEastAsia" w:cstheme="minorEastAsia"/>
                <w:b/>
                <w:bCs/>
                <w:color w:val="FF0000"/>
                <w:szCs w:val="21"/>
                <w:highlight w:val="none"/>
              </w:rPr>
              <w:t>40</w:t>
            </w:r>
            <w:r>
              <w:rPr>
                <w:rFonts w:hint="eastAsia" w:asciiTheme="minorEastAsia" w:hAnsiTheme="minorEastAsia" w:eastAsiaTheme="minorEastAsia" w:cstheme="minorEastAsia"/>
                <w:b/>
                <w:bCs/>
                <w:color w:val="FF0000"/>
                <w:szCs w:val="21"/>
                <w:highlight w:val="none"/>
              </w:rPr>
              <w:t>00cpm（要求提供产品彩页关键信息或产品制造商官网关键信息截图或实物图片等（三者之一即可））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7.2可接23G玻切头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8、人机互动</w:t>
            </w:r>
            <w:r>
              <w:rPr>
                <w:rFonts w:hint="eastAsia" w:asciiTheme="minorEastAsia" w:hAnsiTheme="minorEastAsia" w:eastAsiaTheme="minorEastAsia" w:cstheme="minorEastAsia"/>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8.1 彩色LCD触摸屏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8.2个性化设定手术步骤，并对每一步手术步骤进行个性化参数设定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8.3同一界面内多种选择与控制，按手术步骤操作命令设定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8.4形象化、图形化界面，动画、语音提示和确认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8.5无线遥控器实现无接触手术控制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9、双极电凝：功率0-10 W（75Ω）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10、手术切口：能满足同轴微切口（1.8mm/2.2mm/2.4mm）手术的需要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▲11、人工晶体植入：通过轻质、可高温高压消毒的电动推注器手柄实现辅助人工晶体植入。（要求提供产品彩页关键信息或产品制造商官网关键信息截图或实物图片等（三者之一即可））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475" w:type="dxa"/>
            <w:vMerge w:val="continue"/>
            <w:vAlign w:val="center"/>
          </w:tcPr>
          <w:p>
            <w:pPr>
              <w:jc w:val="center"/>
              <w:rPr>
                <w:rFonts w:asciiTheme="minorEastAsia" w:hAnsiTheme="minorEastAsia" w:eastAsiaTheme="minorEastAsia" w:cstheme="minorEastAsia"/>
                <w:bCs/>
                <w:szCs w:val="21"/>
                <w:highlight w:val="none"/>
              </w:rPr>
            </w:pPr>
          </w:p>
        </w:tc>
        <w:tc>
          <w:tcPr>
            <w:tcW w:w="687" w:type="dxa"/>
            <w:vMerge w:val="continue"/>
          </w:tcPr>
          <w:p>
            <w:pPr>
              <w:rPr>
                <w:rFonts w:asciiTheme="minorEastAsia" w:hAnsiTheme="minorEastAsia" w:eastAsiaTheme="minorEastAsia" w:cstheme="minorEastAsia"/>
                <w:bCs/>
                <w:szCs w:val="21"/>
                <w:highlight w:val="none"/>
              </w:rPr>
            </w:pPr>
          </w:p>
        </w:tc>
        <w:tc>
          <w:tcPr>
            <w:tcW w:w="7298" w:type="dxa"/>
          </w:tcPr>
          <w:p>
            <w:pPr>
              <w:spacing w:line="360" w:lineRule="exact"/>
              <w:jc w:val="left"/>
              <w:rPr>
                <w:rFonts w:asciiTheme="minorEastAsia" w:hAnsiTheme="minorEastAsia" w:eastAsiaTheme="minorEastAsia" w:cstheme="minorEastAsia"/>
                <w:szCs w:val="21"/>
                <w:highlight w:val="none"/>
              </w:rPr>
            </w:pPr>
            <w:r>
              <w:rPr>
                <w:rFonts w:hint="eastAsia" w:ascii="宋体" w:hAnsi="宋体" w:cs="宋体"/>
                <w:b/>
                <w:szCs w:val="21"/>
                <w:highlight w:val="none"/>
              </w:rPr>
              <w:t>★</w:t>
            </w:r>
            <w:r>
              <w:rPr>
                <w:rFonts w:hint="eastAsia" w:asciiTheme="minorEastAsia" w:hAnsiTheme="minorEastAsia" w:eastAsiaTheme="minorEastAsia" w:cstheme="minorEastAsia"/>
                <w:szCs w:val="21"/>
                <w:highlight w:val="none"/>
              </w:rPr>
              <w:t>12、配置清单（每台）：主机配置：</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主机 1台</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无线脚踏板 1个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操作手册 1本</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遥控器 1个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防尘罩 3个（触摸屏、主机和托盘）</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U 盘  1个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挂架  1个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附件配置：</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 xml:space="preserve">超声手柄 </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 xml:space="preserve">注吸手柄 </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弯注吸针头</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液流管理基本包件 6个</w:t>
            </w:r>
          </w:p>
        </w:tc>
      </w:tr>
    </w:tbl>
    <w:p>
      <w:pPr>
        <w:rPr>
          <w:b/>
          <w:szCs w:val="21"/>
        </w:rPr>
      </w:pPr>
    </w:p>
    <w:p>
      <w:pPr>
        <w:rPr>
          <w:b/>
          <w:szCs w:val="21"/>
        </w:rPr>
      </w:pPr>
    </w:p>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b/>
              </w:rPr>
            </w:pPr>
            <w:r>
              <w:rPr>
                <w:rFonts w:hint="eastAsia"/>
                <w:b/>
              </w:rPr>
              <w:t>序号</w:t>
            </w:r>
          </w:p>
        </w:tc>
        <w:tc>
          <w:tcPr>
            <w:tcW w:w="1620" w:type="dxa"/>
            <w:vAlign w:val="center"/>
          </w:tcPr>
          <w:p>
            <w:pPr>
              <w:jc w:val="center"/>
              <w:rPr>
                <w:b/>
              </w:rPr>
            </w:pPr>
            <w:r>
              <w:rPr>
                <w:rFonts w:hint="eastAsia"/>
                <w:b/>
              </w:rPr>
              <w:t>目录</w:t>
            </w:r>
          </w:p>
        </w:tc>
        <w:tc>
          <w:tcPr>
            <w:tcW w:w="5940"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restart"/>
            <w:vAlign w:val="center"/>
          </w:tcPr>
          <w:p>
            <w:pPr>
              <w:jc w:val="center"/>
              <w:rPr>
                <w:bCs/>
              </w:rPr>
            </w:pPr>
            <w:r>
              <w:rPr>
                <w:rFonts w:hint="eastAsia"/>
                <w:bCs/>
              </w:rPr>
              <w:t>1</w:t>
            </w:r>
          </w:p>
        </w:tc>
        <w:tc>
          <w:tcPr>
            <w:tcW w:w="1620" w:type="dxa"/>
            <w:vMerge w:val="restart"/>
          </w:tcPr>
          <w:p>
            <w:r>
              <w:rPr>
                <w:rFonts w:hint="eastAsia"/>
              </w:rPr>
              <w:t>维修响应及维护服务</w:t>
            </w:r>
          </w:p>
        </w:tc>
        <w:tc>
          <w:tcPr>
            <w:tcW w:w="5940" w:type="dxa"/>
          </w:tcPr>
          <w:p>
            <w:pPr>
              <w:rPr>
                <w:bCs/>
              </w:rPr>
            </w:pPr>
            <w:r>
              <w:rPr>
                <w:rFonts w:hint="eastAsia"/>
                <w:bCs/>
              </w:rPr>
              <w:t>1.1 各投标人应在投标文件中列明各主机、配件和易耗品的保 修期限,并承诺提供整机免费保修期不少于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continue"/>
            <w:vAlign w:val="center"/>
          </w:tcPr>
          <w:p>
            <w:pPr>
              <w:jc w:val="center"/>
              <w:rPr>
                <w:bCs/>
              </w:rPr>
            </w:pPr>
          </w:p>
        </w:tc>
        <w:tc>
          <w:tcPr>
            <w:tcW w:w="1620" w:type="dxa"/>
            <w:vMerge w:val="continue"/>
          </w:tcPr>
          <w:p/>
        </w:tc>
        <w:tc>
          <w:tcPr>
            <w:tcW w:w="5940" w:type="dxa"/>
          </w:tcPr>
          <w:p>
            <w:pPr>
              <w:rPr>
                <w:bCs/>
              </w:rPr>
            </w:pPr>
            <w:r>
              <w:rPr>
                <w:rFonts w:hint="eastAsia"/>
                <w:bCs/>
              </w:rPr>
              <w:t>1.2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Merge w:val="continue"/>
            <w:vAlign w:val="center"/>
          </w:tcPr>
          <w:p>
            <w:pPr>
              <w:jc w:val="center"/>
              <w:rPr>
                <w:bCs/>
              </w:rPr>
            </w:pPr>
          </w:p>
        </w:tc>
        <w:tc>
          <w:tcPr>
            <w:tcW w:w="1620" w:type="dxa"/>
            <w:vMerge w:val="continue"/>
          </w:tcPr>
          <w:p/>
        </w:tc>
        <w:tc>
          <w:tcPr>
            <w:tcW w:w="5940" w:type="dxa"/>
          </w:tcPr>
          <w:p>
            <w:pPr>
              <w:rPr>
                <w:bCs/>
              </w:rPr>
            </w:pPr>
            <w:r>
              <w:rPr>
                <w:rFonts w:hint="eastAsia"/>
                <w:bCs/>
              </w:rPr>
              <w:t xml:space="preserve">1.3 </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2</w:t>
            </w:r>
          </w:p>
        </w:tc>
        <w:tc>
          <w:tcPr>
            <w:tcW w:w="1620" w:type="dxa"/>
            <w:vAlign w:val="center"/>
          </w:tcPr>
          <w:p>
            <w:r>
              <w:rPr>
                <w:rFonts w:hint="eastAsia"/>
                <w:szCs w:val="21"/>
              </w:rPr>
              <w:t>质量保证</w:t>
            </w:r>
          </w:p>
        </w:tc>
        <w:tc>
          <w:tcPr>
            <w:tcW w:w="5940"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Cs/>
              </w:rPr>
            </w:pPr>
            <w:r>
              <w:rPr>
                <w:rFonts w:hint="eastAsia"/>
                <w:bCs/>
              </w:rPr>
              <w:t>3</w:t>
            </w:r>
          </w:p>
        </w:tc>
        <w:tc>
          <w:tcPr>
            <w:tcW w:w="1620" w:type="dxa"/>
            <w:vAlign w:val="center"/>
          </w:tcPr>
          <w:p>
            <w:pPr>
              <w:rPr>
                <w:b/>
              </w:rPr>
            </w:pPr>
            <w:r>
              <w:rPr>
                <w:rFonts w:hint="eastAsia"/>
              </w:rPr>
              <w:t>其他</w:t>
            </w:r>
          </w:p>
        </w:tc>
        <w:tc>
          <w:tcPr>
            <w:tcW w:w="594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Cs/>
              </w:rPr>
            </w:pPr>
            <w:r>
              <w:rPr>
                <w:rFonts w:hint="eastAsia"/>
                <w:bCs/>
              </w:rPr>
              <w:t>1</w:t>
            </w:r>
          </w:p>
        </w:tc>
        <w:tc>
          <w:tcPr>
            <w:tcW w:w="1620" w:type="dxa"/>
            <w:vMerge w:val="restart"/>
          </w:tcPr>
          <w:p>
            <w:pPr>
              <w:rPr>
                <w:b/>
              </w:rPr>
            </w:pPr>
            <w:r>
              <w:rPr>
                <w:rFonts w:hint="eastAsia" w:ascii="宋体" w:hAnsi="宋体"/>
                <w:b/>
                <w:kern w:val="0"/>
                <w:szCs w:val="21"/>
              </w:rPr>
              <w:t>维修零配件、消耗品和延续保修合同的报价</w:t>
            </w:r>
          </w:p>
        </w:tc>
        <w:tc>
          <w:tcPr>
            <w:tcW w:w="5940"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tcPr>
          <w:p>
            <w:pPr>
              <w:rPr>
                <w:b/>
              </w:rPr>
            </w:pPr>
          </w:p>
        </w:tc>
        <w:tc>
          <w:tcPr>
            <w:tcW w:w="5940"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tcPr>
          <w:p>
            <w:pPr>
              <w:rPr>
                <w:b/>
              </w:rPr>
            </w:pPr>
          </w:p>
        </w:tc>
        <w:tc>
          <w:tcPr>
            <w:tcW w:w="5940"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tcPr>
          <w:p>
            <w:pPr>
              <w:rPr>
                <w:b/>
              </w:rPr>
            </w:pPr>
          </w:p>
        </w:tc>
        <w:tc>
          <w:tcPr>
            <w:tcW w:w="5940"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tcPr>
          <w:p>
            <w:pPr>
              <w:rPr>
                <w:b/>
              </w:rPr>
            </w:pPr>
          </w:p>
        </w:tc>
        <w:tc>
          <w:tcPr>
            <w:tcW w:w="5940"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vMerge w:val="restart"/>
            <w:vAlign w:val="center"/>
          </w:tcPr>
          <w:p>
            <w:pPr>
              <w:jc w:val="center"/>
              <w:rPr>
                <w:bCs/>
              </w:rPr>
            </w:pPr>
            <w:r>
              <w:rPr>
                <w:rFonts w:hint="eastAsia"/>
                <w:bCs/>
              </w:rPr>
              <w:t>1</w:t>
            </w:r>
          </w:p>
        </w:tc>
        <w:tc>
          <w:tcPr>
            <w:tcW w:w="1620" w:type="dxa"/>
            <w:vMerge w:val="restart"/>
            <w:vAlign w:val="center"/>
          </w:tcPr>
          <w:p>
            <w:r>
              <w:rPr>
                <w:rFonts w:hint="eastAsia"/>
              </w:rPr>
              <w:t>关于交货</w:t>
            </w:r>
          </w:p>
        </w:tc>
        <w:tc>
          <w:tcPr>
            <w:tcW w:w="5940"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0" w:type="dxa"/>
            <w:vMerge w:val="continue"/>
            <w:vAlign w:val="center"/>
          </w:tcPr>
          <w:p>
            <w:pPr>
              <w:jc w:val="center"/>
              <w:rPr>
                <w:bCs/>
              </w:rPr>
            </w:pPr>
            <w:r>
              <w:rPr>
                <w:rFonts w:hint="eastAsia"/>
                <w:bCs/>
              </w:rPr>
              <w:t>+</w:t>
            </w:r>
          </w:p>
        </w:tc>
        <w:tc>
          <w:tcPr>
            <w:tcW w:w="1620" w:type="dxa"/>
            <w:vMerge w:val="continue"/>
            <w:vAlign w:val="center"/>
          </w:tcPr>
          <w:p>
            <w:pPr>
              <w:jc w:val="center"/>
            </w:pPr>
          </w:p>
        </w:tc>
        <w:tc>
          <w:tcPr>
            <w:tcW w:w="5940"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Cs/>
              </w:rPr>
            </w:pPr>
            <w:r>
              <w:rPr>
                <w:rFonts w:hint="eastAsia"/>
                <w:bCs/>
              </w:rPr>
              <w:t>2</w:t>
            </w:r>
          </w:p>
        </w:tc>
        <w:tc>
          <w:tcPr>
            <w:tcW w:w="1620" w:type="dxa"/>
            <w:vMerge w:val="restart"/>
            <w:vAlign w:val="center"/>
          </w:tcPr>
          <w:p>
            <w:r>
              <w:rPr>
                <w:rFonts w:hint="eastAsia"/>
              </w:rPr>
              <w:t>运输、安装调试及验收</w:t>
            </w:r>
          </w:p>
        </w:tc>
        <w:tc>
          <w:tcPr>
            <w:tcW w:w="5940"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Cs/>
              </w:rPr>
            </w:pPr>
            <w:r>
              <w:rPr>
                <w:rFonts w:hint="eastAsia"/>
                <w:bCs/>
              </w:rPr>
              <w:t>3</w:t>
            </w:r>
          </w:p>
        </w:tc>
        <w:tc>
          <w:tcPr>
            <w:tcW w:w="1620" w:type="dxa"/>
            <w:vMerge w:val="restart"/>
            <w:vAlign w:val="center"/>
          </w:tcPr>
          <w:p>
            <w:pPr>
              <w:jc w:val="center"/>
            </w:pPr>
            <w:r>
              <w:rPr>
                <w:rFonts w:hint="eastAsia"/>
              </w:rPr>
              <w:t>关于违约</w:t>
            </w:r>
          </w:p>
        </w:tc>
        <w:tc>
          <w:tcPr>
            <w:tcW w:w="5940"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Cs/>
              </w:rPr>
            </w:pPr>
          </w:p>
        </w:tc>
        <w:tc>
          <w:tcPr>
            <w:tcW w:w="1620" w:type="dxa"/>
            <w:vMerge w:val="continue"/>
            <w:vAlign w:val="center"/>
          </w:tcPr>
          <w:p>
            <w:pPr>
              <w:jc w:val="center"/>
            </w:pPr>
          </w:p>
        </w:tc>
        <w:tc>
          <w:tcPr>
            <w:tcW w:w="5940"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Cs/>
              </w:rPr>
            </w:pPr>
            <w:r>
              <w:rPr>
                <w:rFonts w:hint="eastAsia"/>
                <w:bCs/>
              </w:rPr>
              <w:t>4</w:t>
            </w:r>
          </w:p>
        </w:tc>
        <w:tc>
          <w:tcPr>
            <w:tcW w:w="1620" w:type="dxa"/>
            <w:vAlign w:val="center"/>
          </w:tcPr>
          <w:p>
            <w:pPr>
              <w:jc w:val="center"/>
            </w:pPr>
            <w:r>
              <w:rPr>
                <w:rFonts w:hint="eastAsia"/>
              </w:rPr>
              <w:t>关于付款</w:t>
            </w:r>
          </w:p>
        </w:tc>
        <w:tc>
          <w:tcPr>
            <w:tcW w:w="5940"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Cs/>
              </w:rPr>
            </w:pPr>
            <w:r>
              <w:rPr>
                <w:rFonts w:hint="eastAsia"/>
                <w:bCs/>
              </w:rPr>
              <w:t>5</w:t>
            </w:r>
          </w:p>
        </w:tc>
        <w:tc>
          <w:tcPr>
            <w:tcW w:w="1620" w:type="dxa"/>
            <w:vAlign w:val="center"/>
          </w:tcPr>
          <w:p>
            <w:pPr>
              <w:jc w:val="center"/>
            </w:pPr>
            <w:r>
              <w:rPr>
                <w:rFonts w:hint="eastAsia"/>
              </w:rPr>
              <w:t>报价要求</w:t>
            </w:r>
          </w:p>
        </w:tc>
        <w:tc>
          <w:tcPr>
            <w:tcW w:w="5940"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color w:val="FF0000"/>
              </w:rPr>
            </w:pPr>
            <w:r>
              <w:rPr>
                <w:b/>
                <w:color w:val="FF0000"/>
              </w:rPr>
              <w:t>6</w:t>
            </w:r>
          </w:p>
        </w:tc>
        <w:tc>
          <w:tcPr>
            <w:tcW w:w="1620" w:type="dxa"/>
            <w:vMerge w:val="restart"/>
            <w:vAlign w:val="center"/>
          </w:tcPr>
          <w:p>
            <w:pPr>
              <w:jc w:val="center"/>
              <w:rPr>
                <w:b/>
                <w:color w:val="FF0000"/>
              </w:rPr>
            </w:pPr>
            <w:r>
              <w:rPr>
                <w:rFonts w:hint="eastAsia"/>
                <w:b/>
                <w:color w:val="FF0000"/>
              </w:rPr>
              <w:t>项目（产品）要求</w:t>
            </w:r>
          </w:p>
        </w:tc>
        <w:tc>
          <w:tcPr>
            <w:tcW w:w="5940"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rPr>
                <w:b/>
                <w:color w:val="FF0000"/>
              </w:rPr>
            </w:pPr>
          </w:p>
        </w:tc>
        <w:tc>
          <w:tcPr>
            <w:tcW w:w="1620" w:type="dxa"/>
            <w:vMerge w:val="continue"/>
          </w:tcPr>
          <w:p>
            <w:pPr>
              <w:rPr>
                <w:b/>
                <w:color w:val="FF0000"/>
              </w:rPr>
            </w:pPr>
          </w:p>
        </w:tc>
        <w:tc>
          <w:tcPr>
            <w:tcW w:w="5940"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3"/>
        <w:spacing w:before="60" w:beforeLines="25" w:after="60" w:afterLines="25"/>
        <w:ind w:firstLine="392" w:firstLineChars="187"/>
        <w:rPr>
          <w:rFonts w:ascii="宋体" w:hAnsi="宋体"/>
          <w:szCs w:val="21"/>
        </w:rPr>
      </w:pPr>
    </w:p>
    <w:p>
      <w:pPr>
        <w:pStyle w:val="2"/>
        <w:spacing w:before="120" w:beforeLines="50" w:after="120" w:afterLines="50"/>
        <w:rPr>
          <w:sz w:val="28"/>
          <w:szCs w:val="28"/>
        </w:rPr>
      </w:pPr>
      <w:r>
        <w:rPr>
          <w:rFonts w:hint="eastAsia"/>
          <w:sz w:val="28"/>
          <w:szCs w:val="28"/>
        </w:rPr>
        <w:t>七、政策导向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八、暗标要求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rPr>
          <w:b/>
          <w:bCs/>
          <w:sz w:val="24"/>
        </w:rPr>
      </w:pPr>
    </w:p>
    <w:p>
      <w:pPr>
        <w:rPr>
          <w:b/>
          <w:bCs/>
          <w:sz w:val="24"/>
        </w:rPr>
      </w:pPr>
      <w:bookmarkStart w:id="44" w:name="_Hlk72257908"/>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bookmarkEnd w:id="43"/>
    <w:p>
      <w:pPr>
        <w:jc w:val="left"/>
        <w:outlineLvl w:val="9"/>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30"/>
        <w:gridCol w:w="1692"/>
        <w:gridCol w:w="780"/>
        <w:gridCol w:w="680"/>
        <w:gridCol w:w="807"/>
        <w:gridCol w:w="513"/>
        <w:gridCol w:w="413"/>
        <w:gridCol w:w="634"/>
        <w:gridCol w:w="62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1230" w:type="dxa"/>
            <w:vAlign w:val="center"/>
          </w:tcPr>
          <w:p>
            <w:pPr>
              <w:jc w:val="center"/>
              <w:rPr>
                <w:bCs/>
                <w:szCs w:val="21"/>
              </w:rPr>
            </w:pPr>
            <w:r>
              <w:rPr>
                <w:rFonts w:hint="eastAsia"/>
                <w:szCs w:val="21"/>
              </w:rPr>
              <w:t>采购计划编号</w:t>
            </w:r>
          </w:p>
        </w:tc>
        <w:tc>
          <w:tcPr>
            <w:tcW w:w="1692"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634" w:type="dxa"/>
            <w:vAlign w:val="center"/>
          </w:tcPr>
          <w:p>
            <w:pPr>
              <w:jc w:val="center"/>
              <w:rPr>
                <w:bCs/>
                <w:szCs w:val="21"/>
              </w:rPr>
            </w:pPr>
            <w:r>
              <w:rPr>
                <w:rFonts w:hint="eastAsia"/>
                <w:szCs w:val="21"/>
              </w:rPr>
              <w:t>单价(元)</w:t>
            </w:r>
          </w:p>
        </w:tc>
        <w:tc>
          <w:tcPr>
            <w:tcW w:w="626" w:type="dxa"/>
            <w:vAlign w:val="center"/>
          </w:tcPr>
          <w:p>
            <w:pPr>
              <w:jc w:val="center"/>
              <w:rPr>
                <w:bCs/>
                <w:szCs w:val="21"/>
              </w:rPr>
            </w:pPr>
            <w:r>
              <w:rPr>
                <w:rFonts w:hint="eastAsia"/>
                <w:szCs w:val="21"/>
              </w:rPr>
              <w:t>合价(元)</w:t>
            </w:r>
          </w:p>
        </w:tc>
        <w:tc>
          <w:tcPr>
            <w:tcW w:w="780" w:type="dxa"/>
            <w:vAlign w:val="center"/>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tcPr>
          <w:p>
            <w:pPr>
              <w:jc w:val="center"/>
              <w:rPr>
                <w:bCs/>
                <w:szCs w:val="21"/>
              </w:rPr>
            </w:pPr>
            <w:r>
              <w:rPr>
                <w:rFonts w:hint="eastAsia"/>
                <w:bCs/>
                <w:szCs w:val="21"/>
              </w:rPr>
              <w:t>1</w:t>
            </w:r>
          </w:p>
        </w:tc>
        <w:tc>
          <w:tcPr>
            <w:tcW w:w="1230"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PLAN-2021-440301-0102018021-01123</w:t>
            </w:r>
          </w:p>
        </w:tc>
        <w:tc>
          <w:tcPr>
            <w:tcW w:w="1692" w:type="dxa"/>
            <w:vAlign w:val="center"/>
          </w:tcPr>
          <w:p>
            <w:pPr>
              <w:jc w:val="center"/>
              <w:rPr>
                <w:bCs/>
                <w:szCs w:val="21"/>
                <w:highlight w:val="yellow"/>
              </w:rPr>
            </w:pPr>
            <w:r>
              <w:rPr>
                <w:rFonts w:hint="eastAsia" w:ascii="Times New Roman"/>
                <w:bCs/>
                <w:kern w:val="2"/>
                <w:sz w:val="21"/>
                <w:szCs w:val="21"/>
              </w:rPr>
              <w:t>白内障超声乳化手术系统</w:t>
            </w:r>
          </w:p>
        </w:tc>
        <w:tc>
          <w:tcPr>
            <w:tcW w:w="780" w:type="dxa"/>
            <w:vAlign w:val="center"/>
          </w:tcPr>
          <w:p>
            <w:pPr>
              <w:jc w:val="center"/>
              <w:rPr>
                <w:bCs/>
                <w:szCs w:val="21"/>
              </w:rPr>
            </w:pPr>
          </w:p>
        </w:tc>
        <w:tc>
          <w:tcPr>
            <w:tcW w:w="680" w:type="dxa"/>
            <w:vAlign w:val="center"/>
          </w:tcPr>
          <w:p>
            <w:pPr>
              <w:jc w:val="center"/>
              <w:rPr>
                <w:bCs/>
                <w:szCs w:val="21"/>
              </w:rPr>
            </w:pPr>
          </w:p>
        </w:tc>
        <w:tc>
          <w:tcPr>
            <w:tcW w:w="807" w:type="dxa"/>
            <w:vAlign w:val="center"/>
          </w:tcPr>
          <w:p>
            <w:pPr>
              <w:jc w:val="center"/>
              <w:rPr>
                <w:bCs/>
                <w:szCs w:val="21"/>
              </w:rPr>
            </w:pPr>
          </w:p>
        </w:tc>
        <w:tc>
          <w:tcPr>
            <w:tcW w:w="5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2</w:t>
            </w:r>
          </w:p>
        </w:tc>
        <w:tc>
          <w:tcPr>
            <w:tcW w:w="413" w:type="dxa"/>
            <w:vAlign w:val="top"/>
          </w:tcPr>
          <w:p>
            <w:pPr>
              <w:jc w:val="center"/>
              <w:rPr>
                <w:rFonts w:ascii="Times New Roman" w:hAnsi="Times New Roman" w:eastAsia="宋体" w:cs="Times New Roman"/>
                <w:bCs/>
                <w:kern w:val="2"/>
                <w:sz w:val="21"/>
                <w:szCs w:val="21"/>
                <w:lang w:val="en-US" w:eastAsia="zh-CN" w:bidi="ar-SA"/>
              </w:rPr>
            </w:pPr>
            <w:r>
              <w:rPr>
                <w:rFonts w:hint="eastAsia"/>
                <w:bCs/>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Align w:val="center"/>
          </w:tcPr>
          <w:p>
            <w:pPr>
              <w:jc w:val="center"/>
              <w:rPr>
                <w:b/>
                <w:bCs/>
                <w:szCs w:val="21"/>
                <w:highlight w:val="yellow"/>
              </w:rPr>
            </w:pPr>
            <w:r>
              <w:rPr>
                <w:rFonts w:hint="eastAsia"/>
                <w:bCs/>
                <w:szCs w:val="21"/>
              </w:rPr>
              <w:t>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81" w:type="dxa"/>
            <w:gridSpan w:val="11"/>
          </w:tcPr>
          <w:p>
            <w:pPr>
              <w:rPr>
                <w:bCs/>
                <w:szCs w:val="21"/>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b/>
          <w:bCs/>
          <w:szCs w:val="21"/>
          <w:u w:val="single"/>
        </w:rPr>
        <w:t>本项目为单一产品采购项目，不设置核心产品。</w:t>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58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42"/>
        <w:gridCol w:w="5101"/>
        <w:gridCol w:w="938"/>
        <w:gridCol w:w="717"/>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79" w:type="dxa"/>
            <w:vAlign w:val="center"/>
          </w:tcPr>
          <w:p>
            <w:pPr>
              <w:jc w:val="center"/>
              <w:rPr>
                <w:rFonts w:asciiTheme="minorEastAsia" w:hAnsiTheme="minorEastAsia" w:eastAsiaTheme="minorEastAsia" w:cstheme="minorEastAsia"/>
                <w:szCs w:val="21"/>
                <w:highlight w:val="none"/>
              </w:rPr>
            </w:pPr>
            <w:bookmarkStart w:id="57" w:name="_Hlk72095977"/>
            <w:r>
              <w:rPr>
                <w:rFonts w:hint="eastAsia" w:asciiTheme="minorEastAsia" w:hAnsiTheme="minorEastAsia" w:eastAsiaTheme="minorEastAsia" w:cstheme="minorEastAsia"/>
                <w:szCs w:val="21"/>
                <w:highlight w:val="none"/>
              </w:rPr>
              <w:t>序号</w:t>
            </w:r>
          </w:p>
        </w:tc>
        <w:tc>
          <w:tcPr>
            <w:tcW w:w="842" w:type="dxa"/>
            <w:vAlign w:val="center"/>
          </w:tcPr>
          <w:p>
            <w:pPr>
              <w:widowControl/>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货物名称</w:t>
            </w:r>
          </w:p>
        </w:tc>
        <w:tc>
          <w:tcPr>
            <w:tcW w:w="5101"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招标技术要求</w:t>
            </w:r>
          </w:p>
        </w:tc>
        <w:tc>
          <w:tcPr>
            <w:tcW w:w="938"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投标技术响应</w:t>
            </w:r>
          </w:p>
        </w:tc>
        <w:tc>
          <w:tcPr>
            <w:tcW w:w="71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偏离情况</w:t>
            </w:r>
          </w:p>
        </w:tc>
        <w:tc>
          <w:tcPr>
            <w:tcW w:w="511"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restart"/>
            <w:vAlign w:val="center"/>
          </w:tcPr>
          <w:p>
            <w:pPr>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842" w:type="dxa"/>
            <w:vMerge w:val="restart"/>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白内障超声乳化手术系统</w:t>
            </w: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1、泵系统</w:t>
            </w:r>
            <w:r>
              <w:rPr>
                <w:rFonts w:hint="eastAsia" w:asciiTheme="minorEastAsia" w:hAnsiTheme="minorEastAsia" w:eastAsiaTheme="minorEastAsia" w:cstheme="minorEastAsia"/>
                <w:szCs w:val="21"/>
                <w:highlight w:val="none"/>
              </w:rPr>
              <w:tab/>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1.1全密闭、非顺应性液流管理系统</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▲1.2双压力感应技术（兼具非侵入性负压感应器和灌注压力感应器）（要求提供产品彩页关键信息或产品制造商官网关键信息截图或实物图片等（三者之一即可））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▲1.3负压设定范围：0-</w:t>
            </w:r>
            <w:r>
              <w:rPr>
                <w:rFonts w:asciiTheme="minorEastAsia" w:hAnsiTheme="minorEastAsia" w:eastAsiaTheme="minorEastAsia" w:cstheme="minorEastAsia"/>
                <w:b/>
                <w:bCs/>
                <w:color w:val="FF0000"/>
                <w:szCs w:val="21"/>
                <w:highlight w:val="none"/>
              </w:rPr>
              <w:t>700</w:t>
            </w:r>
            <w:r>
              <w:rPr>
                <w:rFonts w:hint="eastAsia" w:asciiTheme="minorEastAsia" w:hAnsiTheme="minorEastAsia" w:eastAsiaTheme="minorEastAsia" w:cstheme="minorEastAsia"/>
                <w:b/>
                <w:bCs/>
                <w:color w:val="FF0000"/>
                <w:szCs w:val="21"/>
                <w:highlight w:val="none"/>
              </w:rPr>
              <w:t>mmHg（要求提供产品彩页关键信息或产品制造商官网关键信息截图或实物图片等（三者之一即可））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1.4抽吸速率范围：0-60cc/min</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2、白内障乳化模式</w:t>
            </w:r>
            <w:r>
              <w:rPr>
                <w:rFonts w:hint="eastAsia" w:asciiTheme="minorEastAsia" w:hAnsiTheme="minorEastAsia" w:eastAsiaTheme="minorEastAsia" w:cstheme="minorEastAsia"/>
                <w:szCs w:val="21"/>
                <w:highlight w:val="none"/>
              </w:rPr>
              <w:tab/>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
                <w:bCs/>
                <w:color w:val="FF0000"/>
                <w:szCs w:val="21"/>
                <w:highlight w:val="none"/>
              </w:rPr>
            </w:pPr>
            <w:r>
              <w:rPr>
                <w:rFonts w:hint="eastAsia" w:asciiTheme="minorEastAsia" w:hAnsiTheme="minorEastAsia" w:eastAsiaTheme="minorEastAsia" w:cstheme="minorEastAsia"/>
                <w:b/>
                <w:bCs/>
                <w:color w:val="FF0000"/>
                <w:szCs w:val="21"/>
                <w:highlight w:val="none"/>
              </w:rPr>
              <w:t>▲2.1扭动超声乳化模式：超声振动方向为左右侧向，振动频率为32kHz；针头冲程204±128µm；超声能量线性/固定/连续/个性化输出（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2.2纵向超声乳化模式：超声振动方向为纵向振动，频率为44kHz，针头冲程116±36µm ；超声能量线性/固定/连续/个性化输出</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3、超声能量调制模式</w:t>
            </w:r>
            <w:r>
              <w:rPr>
                <w:rFonts w:hint="eastAsia" w:asciiTheme="minorEastAsia" w:hAnsiTheme="minorEastAsia" w:eastAsiaTheme="minorEastAsia" w:cstheme="minorEastAsia"/>
                <w:szCs w:val="21"/>
                <w:highlight w:val="none"/>
              </w:rPr>
              <w:tab/>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3.1 Pulse 脉冲模式：脉冲频率1-250 pps，工作时间比例 0 -100% 连续可调</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3.2 Burst 爆破模式：爆破脉宽2-500ms，爆破间歇 2500-0ms</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4、系统控制</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4.1可线性脚踏控制超声能量的输出、抽吸速率和负压</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4.2可同时线性控制超声能量输出、抽吸速率及负压</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4.3可根据需要设置连续灌注</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4.4可通过面板、脚踏或遥控器控制IV杆的自动升降</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4.5可通过面板、脚踏或遥控器转变手术步骤</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5、脚踏控制</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5.1无线控制、无线充电</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5.2可以利用脚踏控制多项功能（回吐、连续灌注、灌注液瓶升降、手术步骤改变、已存储手术参数的调用等）</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▲6、主动液流控制系统： 范围：26-110mmHg；准确度：设定值的±20%或±15mmHg；抽吸流速：0-60cc/min（要求提供产品彩页关键信息或产品制造商官网关键信息截图或实物图片等（三者之一即可））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7、前节玻切</w:t>
            </w:r>
            <w:r>
              <w:rPr>
                <w:rFonts w:hint="eastAsia" w:asciiTheme="minorEastAsia" w:hAnsiTheme="minorEastAsia" w:eastAsiaTheme="minorEastAsia" w:cstheme="minorEastAsia"/>
                <w:szCs w:val="21"/>
                <w:highlight w:val="none"/>
              </w:rPr>
              <w:tab/>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▲7.1气动玻切，切割频率1-</w:t>
            </w:r>
            <w:r>
              <w:rPr>
                <w:rFonts w:asciiTheme="minorEastAsia" w:hAnsiTheme="minorEastAsia" w:eastAsiaTheme="minorEastAsia" w:cstheme="minorEastAsia"/>
                <w:b/>
                <w:bCs/>
                <w:color w:val="FF0000"/>
                <w:szCs w:val="21"/>
                <w:highlight w:val="none"/>
              </w:rPr>
              <w:t>40</w:t>
            </w:r>
            <w:r>
              <w:rPr>
                <w:rFonts w:hint="eastAsia" w:asciiTheme="minorEastAsia" w:hAnsiTheme="minorEastAsia" w:eastAsiaTheme="minorEastAsia" w:cstheme="minorEastAsia"/>
                <w:b/>
                <w:bCs/>
                <w:color w:val="FF0000"/>
                <w:szCs w:val="21"/>
                <w:highlight w:val="none"/>
              </w:rPr>
              <w:t>00cpm（要求提供产品彩页关键信息或产品制造商官网关键信息截图或实物图片等（三者之一即可））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7.2可接23G玻切头</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8、人机互动</w:t>
            </w:r>
            <w:r>
              <w:rPr>
                <w:rFonts w:hint="eastAsia" w:asciiTheme="minorEastAsia" w:hAnsiTheme="minorEastAsia" w:eastAsiaTheme="minorEastAsia" w:cstheme="minorEastAsia"/>
                <w:szCs w:val="21"/>
                <w:highlight w:val="none"/>
              </w:rPr>
              <w:tab/>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8.1 彩色LCD触摸屏</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8.2个性化设定手术步骤，并对每一步手术步骤进行个性化参数设定</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8.3同一界面内多种选择与控制，按手术步骤操作命令设定</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8.4形象化、图形化界面，动画、语音提示和确认</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8.5无线遥控器实现无接触手术控制</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9、双极电凝：功率0-10 W（75Ω）</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10、手术切口：能满足同轴微切口（1.8mm/2.2mm/2.4mm）手术的需要</w:t>
            </w:r>
          </w:p>
        </w:tc>
        <w:tc>
          <w:tcPr>
            <w:tcW w:w="938" w:type="dxa"/>
          </w:tcPr>
          <w:p>
            <w:pPr>
              <w:spacing w:line="360" w:lineRule="exact"/>
              <w:jc w:val="left"/>
              <w:rPr>
                <w:rFonts w:hint="eastAsia" w:asciiTheme="minorEastAsia" w:hAnsiTheme="minorEastAsia" w:eastAsiaTheme="minorEastAsia" w:cstheme="minorEastAsia"/>
                <w:szCs w:val="21"/>
                <w:highlight w:val="none"/>
              </w:rPr>
            </w:pPr>
          </w:p>
        </w:tc>
        <w:tc>
          <w:tcPr>
            <w:tcW w:w="717" w:type="dxa"/>
          </w:tcPr>
          <w:p>
            <w:pPr>
              <w:spacing w:line="360" w:lineRule="exact"/>
              <w:jc w:val="left"/>
              <w:rPr>
                <w:rFonts w:hint="eastAsia" w:asciiTheme="minorEastAsia" w:hAnsiTheme="minorEastAsia" w:eastAsiaTheme="minorEastAsia" w:cstheme="minorEastAsia"/>
                <w:szCs w:val="21"/>
                <w:highlight w:val="none"/>
              </w:rPr>
            </w:pPr>
          </w:p>
        </w:tc>
        <w:tc>
          <w:tcPr>
            <w:tcW w:w="511" w:type="dxa"/>
          </w:tcPr>
          <w:p>
            <w:pPr>
              <w:spacing w:line="360" w:lineRule="exact"/>
              <w:jc w:val="left"/>
              <w:rPr>
                <w:rFonts w:hint="eastAsia"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color w:val="FF0000"/>
                <w:szCs w:val="21"/>
                <w:highlight w:val="none"/>
              </w:rPr>
              <w:t>▲11、人工晶体植入：通过轻质、可高温高压消毒的电动推注器手柄实现辅助人工晶体植入。（要求提供产品彩页关键信息或产品制造商官网关键信息截图或实物图片等（三者之一即可））</w:t>
            </w:r>
          </w:p>
        </w:tc>
        <w:tc>
          <w:tcPr>
            <w:tcW w:w="938"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717" w:type="dxa"/>
          </w:tcPr>
          <w:p>
            <w:pPr>
              <w:spacing w:line="360" w:lineRule="exact"/>
              <w:jc w:val="left"/>
              <w:rPr>
                <w:rFonts w:hint="eastAsia" w:asciiTheme="minorEastAsia" w:hAnsiTheme="minorEastAsia" w:eastAsiaTheme="minorEastAsia" w:cstheme="minorEastAsia"/>
                <w:b/>
                <w:bCs/>
                <w:color w:val="FF0000"/>
                <w:szCs w:val="21"/>
                <w:highlight w:val="none"/>
              </w:rPr>
            </w:pPr>
          </w:p>
        </w:tc>
        <w:tc>
          <w:tcPr>
            <w:tcW w:w="511" w:type="dxa"/>
          </w:tcPr>
          <w:p>
            <w:pPr>
              <w:spacing w:line="360" w:lineRule="exact"/>
              <w:jc w:val="left"/>
              <w:rPr>
                <w:rFonts w:hint="eastAsia" w:asciiTheme="minorEastAsia" w:hAnsiTheme="minorEastAsia" w:eastAsiaTheme="minorEastAsia" w:cstheme="minorEastAsia"/>
                <w:b/>
                <w:bCs/>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479" w:type="dxa"/>
            <w:vMerge w:val="continue"/>
            <w:vAlign w:val="center"/>
          </w:tcPr>
          <w:p>
            <w:pPr>
              <w:jc w:val="center"/>
              <w:rPr>
                <w:rFonts w:asciiTheme="minorEastAsia" w:hAnsiTheme="minorEastAsia" w:eastAsiaTheme="minorEastAsia" w:cstheme="minorEastAsia"/>
                <w:bCs/>
                <w:szCs w:val="21"/>
                <w:highlight w:val="none"/>
              </w:rPr>
            </w:pPr>
          </w:p>
        </w:tc>
        <w:tc>
          <w:tcPr>
            <w:tcW w:w="842" w:type="dxa"/>
            <w:vMerge w:val="continue"/>
          </w:tcPr>
          <w:p>
            <w:pPr>
              <w:rPr>
                <w:rFonts w:asciiTheme="minorEastAsia" w:hAnsiTheme="minorEastAsia" w:eastAsiaTheme="minorEastAsia" w:cstheme="minorEastAsia"/>
                <w:bCs/>
                <w:szCs w:val="21"/>
                <w:highlight w:val="none"/>
              </w:rPr>
            </w:pPr>
          </w:p>
        </w:tc>
        <w:tc>
          <w:tcPr>
            <w:tcW w:w="5101" w:type="dxa"/>
          </w:tcPr>
          <w:p>
            <w:pPr>
              <w:spacing w:line="360" w:lineRule="exact"/>
              <w:jc w:val="left"/>
              <w:rPr>
                <w:rFonts w:asciiTheme="minorEastAsia" w:hAnsiTheme="minorEastAsia" w:eastAsiaTheme="minorEastAsia" w:cstheme="minorEastAsia"/>
                <w:szCs w:val="21"/>
                <w:highlight w:val="none"/>
              </w:rPr>
            </w:pPr>
            <w:r>
              <w:rPr>
                <w:rFonts w:hint="eastAsia" w:ascii="宋体" w:hAnsi="宋体" w:cs="宋体"/>
                <w:b/>
                <w:szCs w:val="21"/>
                <w:highlight w:val="none"/>
              </w:rPr>
              <w:t>★</w:t>
            </w:r>
            <w:r>
              <w:rPr>
                <w:rFonts w:hint="eastAsia" w:asciiTheme="minorEastAsia" w:hAnsiTheme="minorEastAsia" w:eastAsiaTheme="minorEastAsia" w:cstheme="minorEastAsia"/>
                <w:szCs w:val="21"/>
                <w:highlight w:val="none"/>
              </w:rPr>
              <w:t>12、配置清单（每台）：主机配置：</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主机 1台</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无线脚踏板 1个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操作手册 1本</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遥控器 1个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防尘罩 3个（触摸屏、主机和托盘）</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U 盘  1个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挂架  1个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附件配置：</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 xml:space="preserve">超声手柄 </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 xml:space="preserve">注吸手柄 </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spacing w:line="360" w:lineRule="exact"/>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弯注吸针头</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个</w:t>
            </w:r>
          </w:p>
          <w:p>
            <w:pP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液流管理基本包件 6个</w:t>
            </w:r>
          </w:p>
        </w:tc>
        <w:tc>
          <w:tcPr>
            <w:tcW w:w="938" w:type="dxa"/>
          </w:tcPr>
          <w:p>
            <w:pPr>
              <w:rPr>
                <w:rFonts w:hint="eastAsia" w:asciiTheme="minorEastAsia" w:hAnsiTheme="minorEastAsia" w:eastAsiaTheme="minorEastAsia" w:cstheme="minorEastAsia"/>
                <w:szCs w:val="21"/>
                <w:highlight w:val="none"/>
              </w:rPr>
            </w:pPr>
          </w:p>
        </w:tc>
        <w:tc>
          <w:tcPr>
            <w:tcW w:w="717" w:type="dxa"/>
          </w:tcPr>
          <w:p>
            <w:pPr>
              <w:rPr>
                <w:rFonts w:hint="eastAsia" w:asciiTheme="minorEastAsia" w:hAnsiTheme="minorEastAsia" w:eastAsiaTheme="minorEastAsia" w:cstheme="minorEastAsia"/>
                <w:szCs w:val="21"/>
                <w:highlight w:val="none"/>
              </w:rPr>
            </w:pPr>
          </w:p>
        </w:tc>
        <w:tc>
          <w:tcPr>
            <w:tcW w:w="511" w:type="dxa"/>
          </w:tcPr>
          <w:p>
            <w:pPr>
              <w:rPr>
                <w:rFonts w:hint="eastAsia" w:asciiTheme="minorEastAsia" w:hAnsiTheme="minorEastAsia" w:eastAsiaTheme="minorEastAsia" w:cstheme="minorEastAsia"/>
                <w:szCs w:val="21"/>
                <w:highlight w:val="none"/>
              </w:rPr>
            </w:pPr>
          </w:p>
        </w:tc>
      </w:tr>
    </w:tbl>
    <w:p>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rFonts w:hint="eastAsia"/>
          <w:b/>
          <w:sz w:val="24"/>
        </w:rPr>
      </w:pPr>
      <w:r>
        <w:rPr>
          <w:rFonts w:hint="eastAsia" w:ascii="黑体" w:hAnsi="宋体" w:eastAsia="黑体"/>
          <w:sz w:val="24"/>
          <w:szCs w:val="20"/>
        </w:rPr>
        <w:t>五、商务要求偏离表</w:t>
      </w:r>
    </w:p>
    <w:tbl>
      <w:tblPr>
        <w:tblStyle w:val="43"/>
        <w:tblW w:w="8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44"/>
        <w:gridCol w:w="5090"/>
        <w:gridCol w:w="725"/>
        <w:gridCol w:w="662"/>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jc w:val="center"/>
              <w:rPr>
                <w:b/>
              </w:rPr>
            </w:pPr>
            <w:r>
              <w:rPr>
                <w:rFonts w:hint="eastAsia"/>
                <w:b/>
              </w:rPr>
              <w:t>序号</w:t>
            </w:r>
          </w:p>
        </w:tc>
        <w:tc>
          <w:tcPr>
            <w:tcW w:w="0" w:type="auto"/>
            <w:vAlign w:val="center"/>
          </w:tcPr>
          <w:p>
            <w:pPr>
              <w:jc w:val="center"/>
              <w:rPr>
                <w:b/>
              </w:rPr>
            </w:pPr>
            <w:r>
              <w:rPr>
                <w:rFonts w:hint="eastAsia"/>
                <w:b/>
              </w:rPr>
              <w:t>目录</w:t>
            </w:r>
          </w:p>
        </w:tc>
        <w:tc>
          <w:tcPr>
            <w:tcW w:w="5090" w:type="dxa"/>
            <w:vAlign w:val="center"/>
          </w:tcPr>
          <w:p>
            <w:pPr>
              <w:jc w:val="center"/>
              <w:rPr>
                <w:b/>
              </w:rPr>
            </w:pPr>
            <w:r>
              <w:rPr>
                <w:rFonts w:hint="eastAsia"/>
                <w:b/>
              </w:rPr>
              <w:t>招标商务需求</w:t>
            </w:r>
          </w:p>
        </w:tc>
        <w:tc>
          <w:tcPr>
            <w:tcW w:w="725" w:type="dxa"/>
            <w:vAlign w:val="top"/>
          </w:tcPr>
          <w:p>
            <w:pPr>
              <w:rPr>
                <w:rFonts w:hint="eastAsia" w:ascii="Times New Roman" w:hAnsi="Times New Roman" w:eastAsia="宋体" w:cs="Times New Roman"/>
                <w:kern w:val="2"/>
                <w:sz w:val="24"/>
                <w:szCs w:val="24"/>
                <w:lang w:val="en-US" w:eastAsia="zh-CN" w:bidi="ar-SA"/>
              </w:rPr>
            </w:pPr>
            <w:r>
              <w:rPr>
                <w:rFonts w:hint="eastAsia"/>
                <w:sz w:val="24"/>
              </w:rPr>
              <w:t>投标商务条款</w:t>
            </w:r>
          </w:p>
        </w:tc>
        <w:tc>
          <w:tcPr>
            <w:tcW w:w="662" w:type="dxa"/>
            <w:vAlign w:val="top"/>
          </w:tcPr>
          <w:p>
            <w:pPr>
              <w:rPr>
                <w:rFonts w:hint="eastAsia" w:ascii="Times New Roman" w:hAnsi="Times New Roman" w:eastAsia="宋体" w:cs="Times New Roman"/>
                <w:kern w:val="2"/>
                <w:sz w:val="24"/>
                <w:szCs w:val="24"/>
                <w:lang w:val="en-US" w:eastAsia="zh-CN" w:bidi="ar-SA"/>
              </w:rPr>
            </w:pPr>
            <w:r>
              <w:rPr>
                <w:rFonts w:hint="eastAsia"/>
              </w:rPr>
              <w:t>偏离情况</w:t>
            </w:r>
          </w:p>
        </w:tc>
        <w:tc>
          <w:tcPr>
            <w:tcW w:w="521" w:type="dxa"/>
            <w:vAlign w:val="top"/>
          </w:tcPr>
          <w:p>
            <w:pPr>
              <w:rPr>
                <w:rFonts w:hint="eastAsia" w:ascii="Times New Roman" w:hAnsi="Times New Roman" w:eastAsia="宋体" w:cs="Times New Roman"/>
                <w:kern w:val="2"/>
                <w:sz w:val="24"/>
                <w:szCs w:val="24"/>
                <w:lang w:val="en-US" w:eastAsia="zh-CN" w:bidi="ar-SA"/>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99"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vAlign w:val="center"/>
          </w:tcPr>
          <w:p>
            <w:pPr>
              <w:jc w:val="center"/>
              <w:rPr>
                <w:bCs/>
              </w:rPr>
            </w:pPr>
            <w:r>
              <w:rPr>
                <w:rFonts w:hint="eastAsia"/>
                <w:bCs/>
              </w:rPr>
              <w:t>1</w:t>
            </w:r>
          </w:p>
        </w:tc>
        <w:tc>
          <w:tcPr>
            <w:tcW w:w="0" w:type="auto"/>
            <w:vMerge w:val="restart"/>
          </w:tcPr>
          <w:p>
            <w:r>
              <w:rPr>
                <w:rFonts w:hint="eastAsia"/>
              </w:rPr>
              <w:t>维修响应及维护服务</w:t>
            </w:r>
          </w:p>
        </w:tc>
        <w:tc>
          <w:tcPr>
            <w:tcW w:w="5090" w:type="dxa"/>
          </w:tcPr>
          <w:p>
            <w:pPr>
              <w:rPr>
                <w:bCs/>
              </w:rPr>
            </w:pPr>
            <w:r>
              <w:rPr>
                <w:rFonts w:hint="eastAsia"/>
                <w:bCs/>
              </w:rPr>
              <w:t>1.1 各投标人应在投标文件中列明各主机、配件和易耗品的保 修期限,并承诺提供整机免费保修期不少于</w:t>
            </w:r>
            <w:r>
              <w:rPr>
                <w:rFonts w:hint="eastAsia"/>
                <w:bCs/>
                <w:u w:val="single"/>
              </w:rPr>
              <w:t xml:space="preserve"> 2 </w:t>
            </w:r>
            <w:r>
              <w:rPr>
                <w:rFonts w:hint="eastAsia"/>
                <w:bCs/>
              </w:rPr>
              <w:t xml:space="preserve">年，终身维修，保修期内,年度定期预防性维护保养次数应不少于 3 次。保修期内免费 更换零配件、免工时费。 </w:t>
            </w:r>
          </w:p>
        </w:tc>
        <w:tc>
          <w:tcPr>
            <w:tcW w:w="725" w:type="dxa"/>
          </w:tcPr>
          <w:p>
            <w:pPr>
              <w:rPr>
                <w:rFonts w:hint="eastAsia"/>
                <w:bCs/>
                <w:szCs w:val="21"/>
              </w:rPr>
            </w:pPr>
          </w:p>
        </w:tc>
        <w:tc>
          <w:tcPr>
            <w:tcW w:w="662" w:type="dxa"/>
          </w:tcPr>
          <w:p>
            <w:pPr>
              <w:rPr>
                <w:rFonts w:hint="eastAsia"/>
                <w:bCs/>
                <w:szCs w:val="21"/>
              </w:rPr>
            </w:pPr>
          </w:p>
        </w:tc>
        <w:tc>
          <w:tcPr>
            <w:tcW w:w="521"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0" w:type="auto"/>
            <w:vMerge w:val="continue"/>
          </w:tcPr>
          <w:p/>
        </w:tc>
        <w:tc>
          <w:tcPr>
            <w:tcW w:w="5090" w:type="dxa"/>
          </w:tcPr>
          <w:p>
            <w:pPr>
              <w:rPr>
                <w:bCs/>
              </w:rPr>
            </w:pPr>
            <w:r>
              <w:rPr>
                <w:rFonts w:hint="eastAsia"/>
                <w:bCs/>
              </w:rPr>
              <w:t>1.2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0" w:type="auto"/>
            <w:vMerge w:val="continue"/>
          </w:tcPr>
          <w:p/>
        </w:tc>
        <w:tc>
          <w:tcPr>
            <w:tcW w:w="5090" w:type="dxa"/>
          </w:tcPr>
          <w:p>
            <w:pPr>
              <w:rPr>
                <w:bCs/>
              </w:rPr>
            </w:pPr>
            <w:r>
              <w:rPr>
                <w:rFonts w:hint="eastAsia"/>
                <w:bCs/>
              </w:rPr>
              <w:t xml:space="preserve">1.3 </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
              </w:rPr>
            </w:pPr>
            <w:r>
              <w:rPr>
                <w:rFonts w:hint="eastAsia"/>
                <w:b/>
              </w:rPr>
              <w:t>2</w:t>
            </w:r>
          </w:p>
        </w:tc>
        <w:tc>
          <w:tcPr>
            <w:tcW w:w="0" w:type="auto"/>
            <w:vAlign w:val="center"/>
          </w:tcPr>
          <w:p>
            <w:r>
              <w:rPr>
                <w:rFonts w:hint="eastAsia"/>
                <w:szCs w:val="21"/>
              </w:rPr>
              <w:t>质量保证</w:t>
            </w:r>
          </w:p>
        </w:tc>
        <w:tc>
          <w:tcPr>
            <w:tcW w:w="5090"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725" w:type="dxa"/>
            <w:vAlign w:val="center"/>
          </w:tcPr>
          <w:p>
            <w:pPr>
              <w:rPr>
                <w:rFonts w:hint="eastAsia"/>
                <w:bCs/>
              </w:rPr>
            </w:pPr>
          </w:p>
        </w:tc>
        <w:tc>
          <w:tcPr>
            <w:tcW w:w="662" w:type="dxa"/>
            <w:vAlign w:val="center"/>
          </w:tcPr>
          <w:p>
            <w:pPr>
              <w:rPr>
                <w:rFonts w:hint="eastAsia"/>
                <w:bCs/>
              </w:rPr>
            </w:pPr>
          </w:p>
        </w:tc>
        <w:tc>
          <w:tcPr>
            <w:tcW w:w="521" w:type="dxa"/>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Cs/>
              </w:rPr>
            </w:pPr>
            <w:r>
              <w:rPr>
                <w:rFonts w:hint="eastAsia"/>
                <w:bCs/>
              </w:rPr>
              <w:t>3</w:t>
            </w:r>
          </w:p>
        </w:tc>
        <w:tc>
          <w:tcPr>
            <w:tcW w:w="0" w:type="auto"/>
            <w:vAlign w:val="center"/>
          </w:tcPr>
          <w:p>
            <w:pPr>
              <w:rPr>
                <w:b/>
              </w:rPr>
            </w:pPr>
            <w:r>
              <w:rPr>
                <w:rFonts w:hint="eastAsia"/>
              </w:rPr>
              <w:t>其他</w:t>
            </w:r>
          </w:p>
        </w:tc>
        <w:tc>
          <w:tcPr>
            <w:tcW w:w="5090" w:type="dxa"/>
            <w:vAlign w:val="center"/>
          </w:tcPr>
          <w:p>
            <w:pPr>
              <w:rPr>
                <w:b/>
              </w:rPr>
            </w:pPr>
            <w:r>
              <w:rPr>
                <w:rFonts w:hint="eastAsia"/>
                <w:bCs/>
                <w:szCs w:val="21"/>
              </w:rPr>
              <w:t>投标人应按其投标文件中的承诺，进行其他售后服务工作。</w:t>
            </w:r>
          </w:p>
        </w:tc>
        <w:tc>
          <w:tcPr>
            <w:tcW w:w="725" w:type="dxa"/>
            <w:vAlign w:val="center"/>
          </w:tcPr>
          <w:p>
            <w:pPr>
              <w:rPr>
                <w:rFonts w:hint="eastAsia"/>
                <w:bCs/>
                <w:szCs w:val="21"/>
              </w:rPr>
            </w:pPr>
          </w:p>
        </w:tc>
        <w:tc>
          <w:tcPr>
            <w:tcW w:w="662" w:type="dxa"/>
            <w:vAlign w:val="center"/>
          </w:tcPr>
          <w:p>
            <w:pPr>
              <w:rPr>
                <w:rFonts w:hint="eastAsia"/>
                <w:bCs/>
                <w:szCs w:val="21"/>
              </w:rPr>
            </w:pPr>
          </w:p>
        </w:tc>
        <w:tc>
          <w:tcPr>
            <w:tcW w:w="521"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99"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1</w:t>
            </w:r>
          </w:p>
        </w:tc>
        <w:tc>
          <w:tcPr>
            <w:tcW w:w="0" w:type="auto"/>
            <w:vMerge w:val="restart"/>
          </w:tcPr>
          <w:p>
            <w:pPr>
              <w:rPr>
                <w:b/>
              </w:rPr>
            </w:pPr>
            <w:r>
              <w:rPr>
                <w:rFonts w:hint="eastAsia" w:ascii="宋体" w:hAnsi="宋体"/>
                <w:b/>
                <w:kern w:val="0"/>
                <w:szCs w:val="21"/>
              </w:rPr>
              <w:t>维修零配件、消耗品和延续保修合同的报价</w:t>
            </w:r>
          </w:p>
        </w:tc>
        <w:tc>
          <w:tcPr>
            <w:tcW w:w="5090"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725" w:type="dxa"/>
          </w:tcPr>
          <w:p>
            <w:pPr>
              <w:spacing w:line="300" w:lineRule="exact"/>
              <w:rPr>
                <w:rFonts w:hint="eastAsia" w:ascii="宋体" w:hAnsi="宋体"/>
                <w:kern w:val="0"/>
                <w:szCs w:val="21"/>
              </w:rPr>
            </w:pPr>
          </w:p>
        </w:tc>
        <w:tc>
          <w:tcPr>
            <w:tcW w:w="662" w:type="dxa"/>
          </w:tcPr>
          <w:p>
            <w:pPr>
              <w:spacing w:line="300" w:lineRule="exact"/>
              <w:rPr>
                <w:rFonts w:hint="eastAsia" w:ascii="宋体" w:hAnsi="宋体"/>
                <w:kern w:val="0"/>
                <w:szCs w:val="21"/>
              </w:rPr>
            </w:pPr>
          </w:p>
        </w:tc>
        <w:tc>
          <w:tcPr>
            <w:tcW w:w="521"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tcPr>
          <w:p>
            <w:pPr>
              <w:rPr>
                <w:b/>
              </w:rPr>
            </w:pPr>
          </w:p>
        </w:tc>
        <w:tc>
          <w:tcPr>
            <w:tcW w:w="5090"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725" w:type="dxa"/>
          </w:tcPr>
          <w:p>
            <w:pPr>
              <w:spacing w:line="300" w:lineRule="exact"/>
              <w:rPr>
                <w:rFonts w:hint="eastAsia" w:ascii="宋体" w:hAnsi="宋体"/>
                <w:kern w:val="0"/>
                <w:szCs w:val="21"/>
              </w:rPr>
            </w:pPr>
          </w:p>
        </w:tc>
        <w:tc>
          <w:tcPr>
            <w:tcW w:w="662" w:type="dxa"/>
          </w:tcPr>
          <w:p>
            <w:pPr>
              <w:spacing w:line="300" w:lineRule="exact"/>
              <w:rPr>
                <w:rFonts w:hint="eastAsia" w:ascii="宋体" w:hAnsi="宋体"/>
                <w:kern w:val="0"/>
                <w:szCs w:val="21"/>
              </w:rPr>
            </w:pPr>
          </w:p>
        </w:tc>
        <w:tc>
          <w:tcPr>
            <w:tcW w:w="521"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tcPr>
          <w:p>
            <w:pPr>
              <w:rPr>
                <w:b/>
              </w:rPr>
            </w:pPr>
          </w:p>
        </w:tc>
        <w:tc>
          <w:tcPr>
            <w:tcW w:w="5090"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725" w:type="dxa"/>
          </w:tcPr>
          <w:p>
            <w:pPr>
              <w:spacing w:line="300" w:lineRule="exact"/>
              <w:rPr>
                <w:rFonts w:hint="eastAsia" w:ascii="宋体" w:hAnsi="宋体"/>
                <w:kern w:val="0"/>
                <w:szCs w:val="21"/>
              </w:rPr>
            </w:pPr>
          </w:p>
        </w:tc>
        <w:tc>
          <w:tcPr>
            <w:tcW w:w="662" w:type="dxa"/>
          </w:tcPr>
          <w:p>
            <w:pPr>
              <w:spacing w:line="300" w:lineRule="exact"/>
              <w:rPr>
                <w:rFonts w:hint="eastAsia" w:ascii="宋体" w:hAnsi="宋体"/>
                <w:kern w:val="0"/>
                <w:szCs w:val="21"/>
              </w:rPr>
            </w:pPr>
          </w:p>
        </w:tc>
        <w:tc>
          <w:tcPr>
            <w:tcW w:w="521" w:type="dxa"/>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tcPr>
          <w:p>
            <w:pPr>
              <w:rPr>
                <w:b/>
              </w:rPr>
            </w:pPr>
          </w:p>
        </w:tc>
        <w:tc>
          <w:tcPr>
            <w:tcW w:w="5090"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725" w:type="dxa"/>
          </w:tcPr>
          <w:p>
            <w:pPr>
              <w:rPr>
                <w:rFonts w:hint="eastAsia" w:ascii="宋体" w:hAnsi="宋体"/>
                <w:kern w:val="0"/>
                <w:szCs w:val="21"/>
              </w:rPr>
            </w:pPr>
          </w:p>
        </w:tc>
        <w:tc>
          <w:tcPr>
            <w:tcW w:w="662" w:type="dxa"/>
          </w:tcPr>
          <w:p>
            <w:pPr>
              <w:rPr>
                <w:rFonts w:hint="eastAsia" w:ascii="宋体" w:hAnsi="宋体"/>
                <w:kern w:val="0"/>
                <w:szCs w:val="21"/>
              </w:rPr>
            </w:pPr>
          </w:p>
        </w:tc>
        <w:tc>
          <w:tcPr>
            <w:tcW w:w="521"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tcPr>
          <w:p>
            <w:pPr>
              <w:rPr>
                <w:b/>
              </w:rPr>
            </w:pPr>
          </w:p>
        </w:tc>
        <w:tc>
          <w:tcPr>
            <w:tcW w:w="5090"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725" w:type="dxa"/>
          </w:tcPr>
          <w:p>
            <w:pPr>
              <w:rPr>
                <w:rFonts w:hint="eastAsia" w:ascii="宋体" w:hAnsi="宋体"/>
                <w:kern w:val="0"/>
                <w:szCs w:val="21"/>
              </w:rPr>
            </w:pPr>
          </w:p>
        </w:tc>
        <w:tc>
          <w:tcPr>
            <w:tcW w:w="662" w:type="dxa"/>
          </w:tcPr>
          <w:p>
            <w:pPr>
              <w:rPr>
                <w:rFonts w:hint="eastAsia" w:ascii="宋体" w:hAnsi="宋体"/>
                <w:kern w:val="0"/>
                <w:szCs w:val="21"/>
              </w:rPr>
            </w:pPr>
          </w:p>
        </w:tc>
        <w:tc>
          <w:tcPr>
            <w:tcW w:w="521" w:type="dxa"/>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99"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vAlign w:val="center"/>
          </w:tcPr>
          <w:p>
            <w:pPr>
              <w:jc w:val="center"/>
              <w:rPr>
                <w:bCs/>
              </w:rPr>
            </w:pPr>
            <w:r>
              <w:rPr>
                <w:rFonts w:hint="eastAsia"/>
                <w:bCs/>
              </w:rPr>
              <w:t>1</w:t>
            </w:r>
          </w:p>
        </w:tc>
        <w:tc>
          <w:tcPr>
            <w:tcW w:w="0" w:type="auto"/>
            <w:vMerge w:val="restart"/>
            <w:vAlign w:val="center"/>
          </w:tcPr>
          <w:p>
            <w:r>
              <w:rPr>
                <w:rFonts w:hint="eastAsia"/>
              </w:rPr>
              <w:t>关于交货</w:t>
            </w:r>
          </w:p>
        </w:tc>
        <w:tc>
          <w:tcPr>
            <w:tcW w:w="5090"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725" w:type="dxa"/>
          </w:tcPr>
          <w:p>
            <w:pPr>
              <w:rPr>
                <w:rFonts w:hint="eastAsia"/>
                <w:bCs/>
                <w:szCs w:val="21"/>
              </w:rPr>
            </w:pPr>
          </w:p>
        </w:tc>
        <w:tc>
          <w:tcPr>
            <w:tcW w:w="662" w:type="dxa"/>
          </w:tcPr>
          <w:p>
            <w:pPr>
              <w:rPr>
                <w:rFonts w:hint="eastAsia"/>
                <w:bCs/>
                <w:szCs w:val="21"/>
              </w:rPr>
            </w:pPr>
          </w:p>
        </w:tc>
        <w:tc>
          <w:tcPr>
            <w:tcW w:w="521"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725" w:type="dxa"/>
          </w:tcPr>
          <w:p>
            <w:pPr>
              <w:rPr>
                <w:rFonts w:hint="eastAsia"/>
                <w:bCs/>
                <w:szCs w:val="21"/>
              </w:rPr>
            </w:pPr>
          </w:p>
        </w:tc>
        <w:tc>
          <w:tcPr>
            <w:tcW w:w="662" w:type="dxa"/>
          </w:tcPr>
          <w:p>
            <w:pPr>
              <w:rPr>
                <w:rFonts w:hint="eastAsia"/>
                <w:bCs/>
                <w:szCs w:val="21"/>
              </w:rPr>
            </w:pPr>
          </w:p>
        </w:tc>
        <w:tc>
          <w:tcPr>
            <w:tcW w:w="521"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r>
              <w:rPr>
                <w:rFonts w:hint="eastAsia"/>
                <w:bCs/>
              </w:rPr>
              <w:t>+</w:t>
            </w:r>
          </w:p>
        </w:tc>
        <w:tc>
          <w:tcPr>
            <w:tcW w:w="0" w:type="auto"/>
            <w:vMerge w:val="continue"/>
            <w:vAlign w:val="center"/>
          </w:tcPr>
          <w:p>
            <w:pPr>
              <w:jc w:val="center"/>
            </w:pPr>
          </w:p>
        </w:tc>
        <w:tc>
          <w:tcPr>
            <w:tcW w:w="5090"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725" w:type="dxa"/>
          </w:tcPr>
          <w:p>
            <w:pPr>
              <w:rPr>
                <w:rFonts w:hint="eastAsia"/>
                <w:bCs/>
                <w:szCs w:val="21"/>
              </w:rPr>
            </w:pPr>
          </w:p>
        </w:tc>
        <w:tc>
          <w:tcPr>
            <w:tcW w:w="662" w:type="dxa"/>
          </w:tcPr>
          <w:p>
            <w:pPr>
              <w:rPr>
                <w:rFonts w:hint="eastAsia"/>
                <w:bCs/>
                <w:szCs w:val="21"/>
              </w:rPr>
            </w:pPr>
          </w:p>
        </w:tc>
        <w:tc>
          <w:tcPr>
            <w:tcW w:w="521"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2</w:t>
            </w:r>
          </w:p>
        </w:tc>
        <w:tc>
          <w:tcPr>
            <w:tcW w:w="0" w:type="auto"/>
            <w:vMerge w:val="restart"/>
            <w:vAlign w:val="center"/>
          </w:tcPr>
          <w:p>
            <w:r>
              <w:rPr>
                <w:rFonts w:hint="eastAsia"/>
              </w:rPr>
              <w:t>运输、安装调试及验收</w:t>
            </w:r>
          </w:p>
        </w:tc>
        <w:tc>
          <w:tcPr>
            <w:tcW w:w="5090"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725" w:type="dxa"/>
          </w:tcPr>
          <w:p>
            <w:pPr>
              <w:spacing w:line="340" w:lineRule="exact"/>
              <w:rPr>
                <w:rFonts w:hint="eastAsia"/>
                <w:bCs/>
                <w:szCs w:val="21"/>
              </w:rPr>
            </w:pPr>
          </w:p>
        </w:tc>
        <w:tc>
          <w:tcPr>
            <w:tcW w:w="662" w:type="dxa"/>
          </w:tcPr>
          <w:p>
            <w:pPr>
              <w:spacing w:line="340" w:lineRule="exact"/>
              <w:rPr>
                <w:rFonts w:hint="eastAsia"/>
                <w:bCs/>
                <w:szCs w:val="21"/>
              </w:rPr>
            </w:pPr>
          </w:p>
        </w:tc>
        <w:tc>
          <w:tcPr>
            <w:tcW w:w="521"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0" w:type="auto"/>
            <w:vMerge w:val="continue"/>
          </w:tcPr>
          <w:p>
            <w:pPr>
              <w:rPr>
                <w:b/>
              </w:rPr>
            </w:pPr>
          </w:p>
        </w:tc>
        <w:tc>
          <w:tcPr>
            <w:tcW w:w="5090"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725" w:type="dxa"/>
          </w:tcPr>
          <w:p>
            <w:pPr>
              <w:spacing w:line="340" w:lineRule="exact"/>
              <w:rPr>
                <w:rFonts w:hint="eastAsia"/>
                <w:bCs/>
                <w:szCs w:val="21"/>
              </w:rPr>
            </w:pPr>
          </w:p>
        </w:tc>
        <w:tc>
          <w:tcPr>
            <w:tcW w:w="662" w:type="dxa"/>
          </w:tcPr>
          <w:p>
            <w:pPr>
              <w:spacing w:line="340" w:lineRule="exact"/>
              <w:rPr>
                <w:rFonts w:hint="eastAsia"/>
                <w:bCs/>
                <w:szCs w:val="21"/>
              </w:rPr>
            </w:pPr>
          </w:p>
        </w:tc>
        <w:tc>
          <w:tcPr>
            <w:tcW w:w="521"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0" w:type="auto"/>
            <w:vMerge w:val="continue"/>
          </w:tcPr>
          <w:p>
            <w:pPr>
              <w:rPr>
                <w:b/>
              </w:rPr>
            </w:pPr>
          </w:p>
        </w:tc>
        <w:tc>
          <w:tcPr>
            <w:tcW w:w="5090"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725" w:type="dxa"/>
          </w:tcPr>
          <w:p>
            <w:pPr>
              <w:spacing w:line="340" w:lineRule="exact"/>
              <w:rPr>
                <w:rFonts w:hint="eastAsia"/>
                <w:bCs/>
                <w:szCs w:val="21"/>
              </w:rPr>
            </w:pPr>
          </w:p>
        </w:tc>
        <w:tc>
          <w:tcPr>
            <w:tcW w:w="662" w:type="dxa"/>
          </w:tcPr>
          <w:p>
            <w:pPr>
              <w:spacing w:line="340" w:lineRule="exact"/>
              <w:rPr>
                <w:rFonts w:hint="eastAsia"/>
                <w:bCs/>
                <w:szCs w:val="21"/>
              </w:rPr>
            </w:pPr>
          </w:p>
        </w:tc>
        <w:tc>
          <w:tcPr>
            <w:tcW w:w="521"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0" w:type="auto"/>
            <w:vMerge w:val="continue"/>
          </w:tcPr>
          <w:p>
            <w:pPr>
              <w:rPr>
                <w:b/>
              </w:rPr>
            </w:pPr>
          </w:p>
        </w:tc>
        <w:tc>
          <w:tcPr>
            <w:tcW w:w="5090"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725" w:type="dxa"/>
          </w:tcPr>
          <w:p>
            <w:pPr>
              <w:spacing w:line="340" w:lineRule="exact"/>
              <w:rPr>
                <w:rFonts w:hint="eastAsia"/>
                <w:bCs/>
                <w:szCs w:val="21"/>
              </w:rPr>
            </w:pPr>
          </w:p>
        </w:tc>
        <w:tc>
          <w:tcPr>
            <w:tcW w:w="662" w:type="dxa"/>
          </w:tcPr>
          <w:p>
            <w:pPr>
              <w:spacing w:line="340" w:lineRule="exact"/>
              <w:rPr>
                <w:rFonts w:hint="eastAsia"/>
                <w:bCs/>
                <w:szCs w:val="21"/>
              </w:rPr>
            </w:pPr>
          </w:p>
        </w:tc>
        <w:tc>
          <w:tcPr>
            <w:tcW w:w="521" w:type="dxa"/>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3</w:t>
            </w:r>
          </w:p>
        </w:tc>
        <w:tc>
          <w:tcPr>
            <w:tcW w:w="0" w:type="auto"/>
            <w:vMerge w:val="restart"/>
            <w:vAlign w:val="center"/>
          </w:tcPr>
          <w:p>
            <w:pPr>
              <w:jc w:val="center"/>
            </w:pPr>
            <w:r>
              <w:rPr>
                <w:rFonts w:hint="eastAsia"/>
              </w:rPr>
              <w:t>关于违约</w:t>
            </w:r>
          </w:p>
        </w:tc>
        <w:tc>
          <w:tcPr>
            <w:tcW w:w="5090"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725" w:type="dxa"/>
          </w:tcPr>
          <w:p>
            <w:pPr>
              <w:rPr>
                <w:rFonts w:hint="eastAsia"/>
                <w:b/>
              </w:rPr>
            </w:pPr>
          </w:p>
        </w:tc>
        <w:tc>
          <w:tcPr>
            <w:tcW w:w="662" w:type="dxa"/>
          </w:tcPr>
          <w:p>
            <w:pPr>
              <w:rPr>
                <w:rFonts w:hint="eastAsia"/>
                <w:b/>
              </w:rPr>
            </w:pPr>
          </w:p>
        </w:tc>
        <w:tc>
          <w:tcPr>
            <w:tcW w:w="521"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725" w:type="dxa"/>
          </w:tcPr>
          <w:p>
            <w:pPr>
              <w:rPr>
                <w:rFonts w:hint="eastAsia"/>
                <w:b/>
              </w:rPr>
            </w:pPr>
          </w:p>
        </w:tc>
        <w:tc>
          <w:tcPr>
            <w:tcW w:w="662" w:type="dxa"/>
          </w:tcPr>
          <w:p>
            <w:pPr>
              <w:rPr>
                <w:rFonts w:hint="eastAsia"/>
                <w:b/>
              </w:rPr>
            </w:pPr>
          </w:p>
        </w:tc>
        <w:tc>
          <w:tcPr>
            <w:tcW w:w="521" w:type="dxa"/>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725" w:type="dxa"/>
          </w:tcPr>
          <w:p>
            <w:pPr>
              <w:rPr>
                <w:rFonts w:hint="eastAsia" w:ascii="宋体" w:hAnsi="宋体"/>
                <w:bCs/>
                <w:kern w:val="0"/>
                <w:szCs w:val="21"/>
              </w:rPr>
            </w:pPr>
          </w:p>
        </w:tc>
        <w:tc>
          <w:tcPr>
            <w:tcW w:w="662" w:type="dxa"/>
          </w:tcPr>
          <w:p>
            <w:pPr>
              <w:rPr>
                <w:rFonts w:hint="eastAsia" w:ascii="宋体" w:hAnsi="宋体"/>
                <w:bCs/>
                <w:kern w:val="0"/>
                <w:szCs w:val="21"/>
              </w:rPr>
            </w:pPr>
          </w:p>
        </w:tc>
        <w:tc>
          <w:tcPr>
            <w:tcW w:w="521" w:type="dxa"/>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Cs/>
              </w:rPr>
            </w:pPr>
            <w:r>
              <w:rPr>
                <w:rFonts w:hint="eastAsia"/>
                <w:bCs/>
              </w:rPr>
              <w:t>3.6中标人逾期交货的，将被没收履约保证金并按主管部门相关规定处理。</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0" w:type="auto"/>
            <w:vMerge w:val="continue"/>
            <w:vAlign w:val="center"/>
          </w:tcPr>
          <w:p>
            <w:pPr>
              <w:jc w:val="center"/>
            </w:pPr>
          </w:p>
        </w:tc>
        <w:tc>
          <w:tcPr>
            <w:tcW w:w="5090"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725" w:type="dxa"/>
          </w:tcPr>
          <w:p>
            <w:pPr>
              <w:rPr>
                <w:rFonts w:hint="eastAsia"/>
                <w:bCs/>
              </w:rPr>
            </w:pPr>
          </w:p>
        </w:tc>
        <w:tc>
          <w:tcPr>
            <w:tcW w:w="662" w:type="dxa"/>
          </w:tcPr>
          <w:p>
            <w:pPr>
              <w:rPr>
                <w:rFonts w:hint="eastAsia"/>
                <w:bCs/>
              </w:rPr>
            </w:pPr>
          </w:p>
        </w:tc>
        <w:tc>
          <w:tcPr>
            <w:tcW w:w="521" w:type="dxa"/>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4</w:t>
            </w:r>
          </w:p>
        </w:tc>
        <w:tc>
          <w:tcPr>
            <w:tcW w:w="0" w:type="auto"/>
            <w:vAlign w:val="center"/>
          </w:tcPr>
          <w:p>
            <w:pPr>
              <w:jc w:val="center"/>
            </w:pPr>
            <w:r>
              <w:rPr>
                <w:rFonts w:hint="eastAsia"/>
              </w:rPr>
              <w:t>关于付款</w:t>
            </w:r>
          </w:p>
        </w:tc>
        <w:tc>
          <w:tcPr>
            <w:tcW w:w="5090"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725" w:type="dxa"/>
          </w:tcPr>
          <w:p>
            <w:pPr>
              <w:rPr>
                <w:rFonts w:hint="eastAsia"/>
                <w:bCs/>
                <w:szCs w:val="21"/>
              </w:rPr>
            </w:pPr>
          </w:p>
        </w:tc>
        <w:tc>
          <w:tcPr>
            <w:tcW w:w="662" w:type="dxa"/>
          </w:tcPr>
          <w:p>
            <w:pPr>
              <w:rPr>
                <w:rFonts w:hint="eastAsia"/>
                <w:bCs/>
                <w:szCs w:val="21"/>
              </w:rPr>
            </w:pPr>
          </w:p>
        </w:tc>
        <w:tc>
          <w:tcPr>
            <w:tcW w:w="521" w:type="dxa"/>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5</w:t>
            </w:r>
          </w:p>
        </w:tc>
        <w:tc>
          <w:tcPr>
            <w:tcW w:w="0" w:type="auto"/>
            <w:vAlign w:val="center"/>
          </w:tcPr>
          <w:p>
            <w:pPr>
              <w:jc w:val="center"/>
            </w:pPr>
            <w:r>
              <w:rPr>
                <w:rFonts w:hint="eastAsia"/>
              </w:rPr>
              <w:t>报价要求</w:t>
            </w:r>
          </w:p>
        </w:tc>
        <w:tc>
          <w:tcPr>
            <w:tcW w:w="5090"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725" w:type="dxa"/>
          </w:tcPr>
          <w:p>
            <w:pPr>
              <w:ind w:firstLine="420" w:firstLineChars="200"/>
              <w:rPr>
                <w:rFonts w:hint="eastAsia"/>
                <w:bCs/>
                <w:szCs w:val="21"/>
              </w:rPr>
            </w:pPr>
          </w:p>
        </w:tc>
        <w:tc>
          <w:tcPr>
            <w:tcW w:w="662" w:type="dxa"/>
          </w:tcPr>
          <w:p>
            <w:pPr>
              <w:ind w:firstLine="420" w:firstLineChars="200"/>
              <w:rPr>
                <w:rFonts w:hint="eastAsia"/>
                <w:bCs/>
                <w:szCs w:val="21"/>
              </w:rPr>
            </w:pPr>
          </w:p>
        </w:tc>
        <w:tc>
          <w:tcPr>
            <w:tcW w:w="521" w:type="dxa"/>
          </w:tcPr>
          <w:p>
            <w:pPr>
              <w:ind w:firstLine="420" w:firstLineChars="200"/>
              <w:rPr>
                <w:rFonts w:hint="eastAsia"/>
                <w:bCs/>
                <w:szCs w:val="21"/>
              </w:rPr>
            </w:pPr>
          </w:p>
        </w:tc>
      </w:tr>
      <w:tr>
        <w:tblPrEx>
          <w:tblCellMar>
            <w:top w:w="0" w:type="dxa"/>
            <w:left w:w="108" w:type="dxa"/>
            <w:bottom w:w="0" w:type="dxa"/>
            <w:right w:w="108" w:type="dxa"/>
          </w:tblCellMar>
        </w:tblPrEx>
        <w:trPr>
          <w:trHeight w:val="350" w:hRule="atLeast"/>
        </w:trPr>
        <w:tc>
          <w:tcPr>
            <w:tcW w:w="0" w:type="auto"/>
            <w:vMerge w:val="restart"/>
            <w:vAlign w:val="center"/>
          </w:tcPr>
          <w:p>
            <w:pPr>
              <w:jc w:val="center"/>
              <w:rPr>
                <w:b/>
                <w:color w:val="FF0000"/>
              </w:rPr>
            </w:pPr>
            <w:r>
              <w:rPr>
                <w:b/>
                <w:color w:val="FF0000"/>
              </w:rPr>
              <w:t>6</w:t>
            </w:r>
          </w:p>
        </w:tc>
        <w:tc>
          <w:tcPr>
            <w:tcW w:w="0" w:type="auto"/>
            <w:vMerge w:val="restart"/>
            <w:vAlign w:val="center"/>
          </w:tcPr>
          <w:p>
            <w:pPr>
              <w:jc w:val="center"/>
              <w:rPr>
                <w:b/>
                <w:color w:val="FF0000"/>
              </w:rPr>
            </w:pPr>
            <w:r>
              <w:rPr>
                <w:rFonts w:hint="eastAsia"/>
                <w:b/>
                <w:color w:val="FF0000"/>
              </w:rPr>
              <w:t>项目（产品）要求</w:t>
            </w:r>
          </w:p>
        </w:tc>
        <w:tc>
          <w:tcPr>
            <w:tcW w:w="5090"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725" w:type="dxa"/>
          </w:tcPr>
          <w:p>
            <w:pPr>
              <w:rPr>
                <w:rFonts w:hint="eastAsia"/>
                <w:b/>
                <w:color w:val="FF0000"/>
              </w:rPr>
            </w:pPr>
          </w:p>
        </w:tc>
        <w:tc>
          <w:tcPr>
            <w:tcW w:w="662" w:type="dxa"/>
          </w:tcPr>
          <w:p>
            <w:pPr>
              <w:rPr>
                <w:rFonts w:hint="eastAsia"/>
                <w:b/>
                <w:color w:val="FF0000"/>
              </w:rPr>
            </w:pPr>
          </w:p>
        </w:tc>
        <w:tc>
          <w:tcPr>
            <w:tcW w:w="521" w:type="dxa"/>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rPr>
                <w:b/>
                <w:color w:val="FF0000"/>
              </w:rPr>
            </w:pPr>
          </w:p>
        </w:tc>
        <w:tc>
          <w:tcPr>
            <w:tcW w:w="0" w:type="auto"/>
            <w:vMerge w:val="continue"/>
          </w:tcPr>
          <w:p>
            <w:pPr>
              <w:rPr>
                <w:b/>
                <w:color w:val="FF0000"/>
              </w:rPr>
            </w:pPr>
          </w:p>
        </w:tc>
        <w:tc>
          <w:tcPr>
            <w:tcW w:w="5090"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725" w:type="dxa"/>
          </w:tcPr>
          <w:p>
            <w:pPr>
              <w:rPr>
                <w:rFonts w:hint="eastAsia"/>
                <w:b/>
                <w:color w:val="FF0000"/>
              </w:rPr>
            </w:pPr>
          </w:p>
        </w:tc>
        <w:tc>
          <w:tcPr>
            <w:tcW w:w="662" w:type="dxa"/>
          </w:tcPr>
          <w:p>
            <w:pPr>
              <w:rPr>
                <w:rFonts w:hint="eastAsia"/>
                <w:b/>
                <w:color w:val="FF0000"/>
              </w:rPr>
            </w:pPr>
          </w:p>
        </w:tc>
        <w:tc>
          <w:tcPr>
            <w:tcW w:w="521" w:type="dxa"/>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1、商务要求偏离表的序号、商务需求项、招标商务要求等栏目对应“用户需求书”中的“商务要求”章节相关内容。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b/>
          <w:bCs/>
          <w:sz w:val="22"/>
        </w:rPr>
        <w:t>（一）技术保障措施及</w:t>
      </w:r>
      <w:r>
        <w:rPr>
          <w:rFonts w:hint="eastAsia"/>
          <w:b/>
          <w:sz w:val="22"/>
        </w:rPr>
        <w:t>实施本项目的主要技术人员情况表（可选）</w:t>
      </w:r>
    </w:p>
    <w:p>
      <w:pPr>
        <w:rPr>
          <w:b/>
          <w:bCs/>
          <w:color w:val="FF0000"/>
          <w:sz w:val="20"/>
        </w:rPr>
      </w:pPr>
      <w:r>
        <w:rPr>
          <w:rFonts w:hint="eastAsia"/>
          <w:b/>
          <w:bCs/>
          <w:color w:val="FF0000"/>
          <w:sz w:val="20"/>
        </w:rPr>
        <w:t>（特别提示：投标人须按本招标文件评标信息中“技术保障措施”这一评审因素要求，提供相关技术保障方案或其它证明资料）</w:t>
      </w:r>
    </w:p>
    <w:p>
      <w:pPr>
        <w:rPr>
          <w:b/>
          <w:bCs/>
          <w:sz w:val="22"/>
        </w:rPr>
      </w:pPr>
    </w:p>
    <w:p>
      <w:pPr>
        <w:rPr>
          <w:b/>
          <w:bCs/>
          <w:color w:val="FF0000"/>
          <w:sz w:val="20"/>
        </w:rPr>
      </w:pPr>
    </w:p>
    <w:p>
      <w:pPr>
        <w:rPr>
          <w:b/>
          <w:sz w:val="22"/>
        </w:rPr>
      </w:pPr>
    </w:p>
    <w:p>
      <w:pPr>
        <w:outlineLvl w:val="3"/>
        <w:rPr>
          <w:b/>
          <w:sz w:val="22"/>
        </w:rPr>
      </w:pPr>
      <w:r>
        <w:rPr>
          <w:rFonts w:hint="eastAsia"/>
          <w:b/>
          <w:bCs/>
          <w:sz w:val="22"/>
        </w:rPr>
        <w:t>（</w:t>
      </w:r>
      <w:r>
        <w:rPr>
          <w:rFonts w:hint="eastAsia"/>
          <w:b/>
          <w:sz w:val="22"/>
          <w:lang w:val="en-US" w:eastAsia="zh-CN"/>
        </w:rPr>
        <w:t>二</w:t>
      </w:r>
      <w:r>
        <w:rPr>
          <w:rFonts w:hint="eastAsia"/>
          <w:b/>
          <w:sz w:val="22"/>
        </w:rPr>
        <w:t>）投标人认为需提供的其他证明文件</w:t>
      </w:r>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9"/>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73521669"/>
      <w:bookmarkStart w:id="96" w:name="_Toc100052400"/>
      <w:bookmarkStart w:id="97" w:name="_Toc73521581"/>
      <w:bookmarkStart w:id="98" w:name="_Toc73518151"/>
      <w:bookmarkStart w:id="99" w:name="_Toc73517673"/>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73521586"/>
      <w:bookmarkStart w:id="111" w:name="_Toc73521674"/>
      <w:bookmarkStart w:id="112" w:name="_Toc100052408"/>
      <w:bookmarkStart w:id="113" w:name="_Toc73518157"/>
      <w:bookmarkStart w:id="114" w:name="_Toc73517679"/>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73518158"/>
      <w:bookmarkStart w:id="117" w:name="_Toc73521675"/>
      <w:bookmarkStart w:id="118" w:name="_Toc73521587"/>
      <w:bookmarkStart w:id="119" w:name="_Toc73517680"/>
      <w:bookmarkStart w:id="120" w:name="_Toc100052409"/>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100052410"/>
      <w:bookmarkStart w:id="122" w:name="_Toc73518160"/>
      <w:bookmarkStart w:id="123" w:name="_Toc73521677"/>
      <w:bookmarkStart w:id="124" w:name="_Toc73521589"/>
      <w:bookmarkStart w:id="125" w:name="_Toc73517682"/>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73517683"/>
      <w:bookmarkStart w:id="127" w:name="_Toc73518161"/>
      <w:bookmarkStart w:id="128" w:name="_Toc73521678"/>
      <w:bookmarkStart w:id="129" w:name="_Toc73521590"/>
      <w:bookmarkStart w:id="130" w:name="_Toc100052411"/>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3</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A7583FB"/>
    <w:multiLevelType w:val="multilevel"/>
    <w:tmpl w:val="1A7583FB"/>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8"/>
  </w:num>
  <w:num w:numId="7">
    <w:abstractNumId w:val="7"/>
  </w:num>
  <w:num w:numId="8">
    <w:abstractNumId w:val="0"/>
    <w:lvlOverride w:ilvl="0">
      <w:startOverride w:val="1"/>
    </w:lvlOverride>
  </w:num>
  <w:num w:numId="9">
    <w:abstractNumId w:val="1"/>
    <w:lvlOverride w:ilvl="0">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96E"/>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5CE"/>
    <w:rsid w:val="002C58A0"/>
    <w:rsid w:val="002C6EC0"/>
    <w:rsid w:val="002C7258"/>
    <w:rsid w:val="002D0356"/>
    <w:rsid w:val="002D07C0"/>
    <w:rsid w:val="002D0F98"/>
    <w:rsid w:val="002D1DFB"/>
    <w:rsid w:val="002D45BF"/>
    <w:rsid w:val="002D4A85"/>
    <w:rsid w:val="002D6162"/>
    <w:rsid w:val="002D64DF"/>
    <w:rsid w:val="002D750A"/>
    <w:rsid w:val="002E015D"/>
    <w:rsid w:val="002E2283"/>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56D7"/>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67A"/>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949"/>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098"/>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358A"/>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5CA2"/>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7265"/>
    <w:rsid w:val="00DE7525"/>
    <w:rsid w:val="00DF0B24"/>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2FA7"/>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18B4BB3"/>
    <w:rsid w:val="01B51BA7"/>
    <w:rsid w:val="01B7134F"/>
    <w:rsid w:val="0B620733"/>
    <w:rsid w:val="0B895A7E"/>
    <w:rsid w:val="0B9A41B8"/>
    <w:rsid w:val="11DC07CB"/>
    <w:rsid w:val="17F92FBA"/>
    <w:rsid w:val="1922571F"/>
    <w:rsid w:val="20850AB3"/>
    <w:rsid w:val="25A8406F"/>
    <w:rsid w:val="28543C14"/>
    <w:rsid w:val="2C723BD3"/>
    <w:rsid w:val="30857540"/>
    <w:rsid w:val="39A76E31"/>
    <w:rsid w:val="3AAC3353"/>
    <w:rsid w:val="3B3E4A0E"/>
    <w:rsid w:val="43AA5837"/>
    <w:rsid w:val="467710BE"/>
    <w:rsid w:val="47C74E3E"/>
    <w:rsid w:val="48B50DCA"/>
    <w:rsid w:val="4AEE2F19"/>
    <w:rsid w:val="512306E8"/>
    <w:rsid w:val="574E12BE"/>
    <w:rsid w:val="586725A2"/>
    <w:rsid w:val="5A9F5452"/>
    <w:rsid w:val="5B370D65"/>
    <w:rsid w:val="5C9F2237"/>
    <w:rsid w:val="60EB3418"/>
    <w:rsid w:val="62BA7988"/>
    <w:rsid w:val="687C61B7"/>
    <w:rsid w:val="6E9F2557"/>
    <w:rsid w:val="708E77F5"/>
    <w:rsid w:val="79057344"/>
    <w:rsid w:val="7D374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0"/>
    <w:rPr>
      <w:sz w:val="21"/>
      <w:szCs w:val="21"/>
    </w:rPr>
  </w:style>
  <w:style w:type="character" w:customStyle="1" w:styleId="53">
    <w:name w:val="标题 4 字符"/>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字符"/>
    <w:link w:val="5"/>
    <w:qFormat/>
    <w:uiPriority w:val="9"/>
    <w:rPr>
      <w:rFonts w:ascii="宋体" w:hAnsi="宋体" w:eastAsia="宋体"/>
      <w:b/>
      <w:bCs/>
      <w:kern w:val="2"/>
      <w:sz w:val="28"/>
      <w:szCs w:val="32"/>
      <w:lang w:val="en-US" w:eastAsia="zh-CN" w:bidi="ar-SA"/>
    </w:rPr>
  </w:style>
  <w:style w:type="character" w:customStyle="1" w:styleId="56">
    <w:name w:val="标题 1 字符"/>
    <w:link w:val="4"/>
    <w:qFormat/>
    <w:uiPriority w:val="0"/>
    <w:rPr>
      <w:rFonts w:ascii="宋体" w:hAnsi="宋体"/>
      <w:b/>
      <w:sz w:val="28"/>
      <w:szCs w:val="28"/>
    </w:rPr>
  </w:style>
  <w:style w:type="character" w:customStyle="1" w:styleId="57">
    <w:name w:val="正文缩进 字符"/>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字符"/>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字符"/>
    <w:link w:val="19"/>
    <w:qFormat/>
    <w:uiPriority w:val="0"/>
    <w:rPr>
      <w:rFonts w:eastAsia="宋体"/>
      <w:kern w:val="2"/>
      <w:sz w:val="21"/>
      <w:szCs w:val="24"/>
      <w:lang w:val="en-US" w:eastAsia="zh-CN" w:bidi="ar-SA"/>
    </w:rPr>
  </w:style>
  <w:style w:type="character" w:customStyle="1" w:styleId="80">
    <w:name w:val="标题 5 字符"/>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字符"/>
    <w:link w:val="8"/>
    <w:qFormat/>
    <w:uiPriority w:val="0"/>
    <w:rPr>
      <w:rFonts w:ascii="Arial" w:hAnsi="Arial" w:eastAsia="黑体"/>
      <w:b/>
      <w:kern w:val="2"/>
      <w:sz w:val="24"/>
      <w:lang w:val="en-US" w:eastAsia="zh-CN" w:bidi="ar-SA"/>
    </w:rPr>
  </w:style>
  <w:style w:type="character" w:customStyle="1" w:styleId="84">
    <w:name w:val="标题 7 字符"/>
    <w:link w:val="9"/>
    <w:qFormat/>
    <w:uiPriority w:val="0"/>
    <w:rPr>
      <w:rFonts w:eastAsia="宋体"/>
      <w:b/>
      <w:kern w:val="2"/>
      <w:sz w:val="24"/>
      <w:lang w:val="en-US" w:eastAsia="zh-CN" w:bidi="ar-SA"/>
    </w:rPr>
  </w:style>
  <w:style w:type="character" w:customStyle="1" w:styleId="85">
    <w:name w:val="标题 8 字符"/>
    <w:link w:val="10"/>
    <w:qFormat/>
    <w:uiPriority w:val="0"/>
    <w:rPr>
      <w:rFonts w:ascii="Arial" w:hAnsi="Arial" w:eastAsia="黑体"/>
      <w:kern w:val="2"/>
      <w:sz w:val="24"/>
      <w:lang w:val="en-US" w:eastAsia="zh-CN" w:bidi="ar-SA"/>
    </w:rPr>
  </w:style>
  <w:style w:type="character" w:customStyle="1" w:styleId="86">
    <w:name w:val="标题 9 字符"/>
    <w:link w:val="11"/>
    <w:qFormat/>
    <w:uiPriority w:val="0"/>
    <w:rPr>
      <w:rFonts w:ascii="Arial" w:hAnsi="Arial" w:eastAsia="黑体"/>
      <w:kern w:val="2"/>
      <w:sz w:val="21"/>
      <w:lang w:val="en-US" w:eastAsia="zh-CN" w:bidi="ar-SA"/>
    </w:rPr>
  </w:style>
  <w:style w:type="character" w:customStyle="1" w:styleId="87">
    <w:name w:val="标题 字符"/>
    <w:link w:val="40"/>
    <w:qFormat/>
    <w:uiPriority w:val="0"/>
    <w:rPr>
      <w:rFonts w:ascii="Arial" w:hAnsi="Arial" w:eastAsia="隶书" w:cs="Arial"/>
      <w:b/>
      <w:bCs/>
      <w:kern w:val="2"/>
      <w:sz w:val="32"/>
      <w:szCs w:val="32"/>
      <w:lang w:val="en-US" w:eastAsia="zh-CN" w:bidi="ar-SA"/>
    </w:rPr>
  </w:style>
  <w:style w:type="character" w:customStyle="1" w:styleId="88">
    <w:name w:val="日期 字符"/>
    <w:link w:val="24"/>
    <w:qFormat/>
    <w:uiPriority w:val="0"/>
    <w:rPr>
      <w:rFonts w:ascii="宋体" w:hAnsi="Courier New" w:eastAsia="宋体"/>
      <w:kern w:val="2"/>
      <w:sz w:val="32"/>
      <w:lang w:val="en-US" w:eastAsia="zh-CN" w:bidi="ar-SA"/>
    </w:rPr>
  </w:style>
  <w:style w:type="character" w:customStyle="1" w:styleId="89">
    <w:name w:val="HTML 预设格式 字符"/>
    <w:link w:val="37"/>
    <w:qFormat/>
    <w:uiPriority w:val="0"/>
    <w:rPr>
      <w:rFonts w:ascii="Arial Unicode MS" w:hAnsi="Arial Unicode MS" w:eastAsia="Arial Unicode MS"/>
      <w:color w:val="000000"/>
      <w:lang w:val="en-US" w:eastAsia="zh-CN" w:bidi="ar-SA"/>
    </w:rPr>
  </w:style>
  <w:style w:type="character" w:customStyle="1" w:styleId="90">
    <w:name w:val="纯文本 字符"/>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字符"/>
    <w:link w:val="18"/>
    <w:qFormat/>
    <w:uiPriority w:val="0"/>
    <w:rPr>
      <w:rFonts w:eastAsia="宋体"/>
      <w:b/>
      <w:bCs/>
      <w:kern w:val="2"/>
      <w:sz w:val="24"/>
      <w:szCs w:val="24"/>
      <w:lang w:val="en-US" w:eastAsia="zh-CN" w:bidi="ar-SA"/>
    </w:rPr>
  </w:style>
  <w:style w:type="character" w:customStyle="1" w:styleId="93">
    <w:name w:val="正文文本缩进 2 字符"/>
    <w:link w:val="25"/>
    <w:qFormat/>
    <w:uiPriority w:val="0"/>
    <w:rPr>
      <w:rFonts w:ascii="宋体" w:hAnsi="宋体" w:eastAsia="宋体"/>
      <w:kern w:val="2"/>
      <w:sz w:val="21"/>
      <w:szCs w:val="24"/>
      <w:lang w:val="en-US" w:eastAsia="zh-CN" w:bidi="ar-SA"/>
    </w:rPr>
  </w:style>
  <w:style w:type="character" w:customStyle="1" w:styleId="94">
    <w:name w:val="页眉 字符"/>
    <w:link w:val="28"/>
    <w:qFormat/>
    <w:uiPriority w:val="99"/>
    <w:rPr>
      <w:rFonts w:eastAsia="宋体"/>
      <w:kern w:val="2"/>
      <w:sz w:val="18"/>
      <w:szCs w:val="18"/>
      <w:lang w:val="en-US" w:eastAsia="zh-CN" w:bidi="ar-SA"/>
    </w:rPr>
  </w:style>
  <w:style w:type="character" w:customStyle="1" w:styleId="95">
    <w:name w:val="正文文本缩进 3 字符"/>
    <w:link w:val="33"/>
    <w:qFormat/>
    <w:uiPriority w:val="0"/>
    <w:rPr>
      <w:rFonts w:ascii="宋体" w:eastAsia="宋体"/>
      <w:b/>
      <w:bCs/>
      <w:kern w:val="2"/>
      <w:sz w:val="24"/>
      <w:szCs w:val="24"/>
      <w:lang w:val="en-US" w:eastAsia="zh-CN" w:bidi="ar-SA"/>
    </w:rPr>
  </w:style>
  <w:style w:type="character" w:customStyle="1" w:styleId="96">
    <w:name w:val="正文文本 2 字符"/>
    <w:link w:val="36"/>
    <w:qFormat/>
    <w:uiPriority w:val="0"/>
    <w:rPr>
      <w:rFonts w:eastAsia="宋体"/>
      <w:kern w:val="2"/>
      <w:sz w:val="24"/>
      <w:szCs w:val="24"/>
      <w:lang w:val="en-US" w:eastAsia="zh-CN" w:bidi="ar-SA"/>
    </w:rPr>
  </w:style>
  <w:style w:type="character" w:customStyle="1" w:styleId="97">
    <w:name w:val="页脚 字符"/>
    <w:link w:val="27"/>
    <w:qFormat/>
    <w:uiPriority w:val="0"/>
    <w:rPr>
      <w:rFonts w:eastAsia="宋体"/>
      <w:kern w:val="2"/>
      <w:sz w:val="18"/>
      <w:szCs w:val="18"/>
      <w:lang w:val="en-US" w:eastAsia="zh-CN" w:bidi="ar-SA"/>
    </w:rPr>
  </w:style>
  <w:style w:type="character" w:customStyle="1" w:styleId="98">
    <w:name w:val="正文文本 3 字符"/>
    <w:link w:val="17"/>
    <w:qFormat/>
    <w:uiPriority w:val="0"/>
    <w:rPr>
      <w:rFonts w:eastAsia="宋体"/>
      <w:kern w:val="2"/>
      <w:sz w:val="16"/>
      <w:szCs w:val="16"/>
      <w:lang w:val="en-US" w:eastAsia="zh-CN" w:bidi="ar-SA"/>
    </w:rPr>
  </w:style>
  <w:style w:type="character" w:customStyle="1" w:styleId="99">
    <w:name w:val="批注框文本 字符"/>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字符"/>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字符"/>
    <w:basedOn w:val="46"/>
    <w:link w:val="16"/>
    <w:qFormat/>
    <w:uiPriority w:val="0"/>
    <w:rPr>
      <w:rFonts w:ascii="宋体"/>
      <w:sz w:val="34"/>
    </w:rPr>
  </w:style>
  <w:style w:type="character" w:customStyle="1" w:styleId="185">
    <w:name w:val="批注主题 字符"/>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字符"/>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字符"/>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字符"/>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 w:type="character" w:customStyle="1" w:styleId="477">
    <w:name w:val="hilite"/>
    <w:basedOn w:val="46"/>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20E2-953E-45E5-9340-708B48452A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6604</Words>
  <Characters>37647</Characters>
  <Lines>313</Lines>
  <Paragraphs>88</Paragraphs>
  <TotalTime>5</TotalTime>
  <ScaleCrop>false</ScaleCrop>
  <LinksUpToDate>false</LinksUpToDate>
  <CharactersWithSpaces>44163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2021-08-21T15:00:00Z</dcterms:created>
  <dc:creator>thsware</dc:creator>
  <cp:lastModifiedBy>罗忠琴</cp:lastModifiedBy>
  <cp:lastPrinted>2018-11-06T09:21:00Z</cp:lastPrinted>
  <dcterms:modified xsi:type="dcterms:W3CDTF">2021-10-29T04:57:25Z</dcterms:modified>
  <dc:title>招  标　文　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959A3F94EA454EB9A641C04326C011A9</vt:lpwstr>
  </property>
</Properties>
</file>