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8"/>
        <w:keepNext w:val="0"/>
        <w:keepLines w:val="0"/>
        <w:widowControl/>
        <w:suppressLineNumbers w:val="0"/>
        <w:spacing w:before="454" w:beforeAutospacing="0" w:after="454" w:afterAutospacing="0"/>
        <w:ind w:left="454" w:right="454"/>
        <w:jc w:val="center"/>
        <w:outlineLvl w:val="0"/>
        <w:rPr>
          <w:sz w:val="40"/>
          <w:szCs w:val="40"/>
        </w:rPr>
      </w:pPr>
      <w:r>
        <w:rPr>
          <w:sz w:val="40"/>
          <w:szCs w:val="40"/>
        </w:rPr>
        <w:t>深圳市眼科医院裂隙灯显微镜B包、视野分析仪项目</w:t>
      </w:r>
    </w:p>
    <w:p>
      <w:pPr>
        <w:pStyle w:val="38"/>
        <w:keepNext w:val="0"/>
        <w:keepLines w:val="0"/>
        <w:widowControl/>
        <w:suppressLineNumbers w:val="0"/>
        <w:jc w:val="center"/>
        <w:outlineLvl w:val="1"/>
        <w:rPr>
          <w:rFonts w:ascii="黑体" w:hAnsi="宋体" w:eastAsia="黑体" w:cs="黑体"/>
          <w:sz w:val="40"/>
          <w:szCs w:val="40"/>
        </w:rPr>
      </w:pPr>
      <w:r>
        <w:rPr>
          <w:rFonts w:hint="eastAsia" w:ascii="黑体" w:hAnsi="宋体" w:eastAsia="黑体" w:cs="黑体"/>
          <w:sz w:val="40"/>
          <w:szCs w:val="40"/>
          <w:bdr w:val="none" w:color="auto" w:sz="0" w:space="0"/>
        </w:rPr>
        <w:t>招标文件信息</w:t>
      </w:r>
    </w:p>
    <w:tbl>
      <w:tblPr>
        <w:tblW w:w="7943"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45" w:type="dxa"/>
          <w:left w:w="45" w:type="dxa"/>
          <w:bottom w:w="45" w:type="dxa"/>
          <w:right w:w="45" w:type="dxa"/>
        </w:tblCellMar>
      </w:tblPr>
      <w:tblGrid>
        <w:gridCol w:w="2723"/>
        <w:gridCol w:w="5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2723" w:type="dxa"/>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项目编号：</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SZCG2021201011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项目名称：</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深圳市眼科医院裂隙灯显微镜B包、视野分析仪项目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包 号：</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项目类型：</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货物类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采购方式：</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公开招标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货币类型：</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人民币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评标方法：</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综合评分法（新价格分算法）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45" w:type="dxa"/>
            <w:left w:w="45" w:type="dxa"/>
            <w:bottom w:w="45" w:type="dxa"/>
            <w:right w:w="45" w:type="dxa"/>
          </w:tblCellMar>
        </w:tblPrEx>
        <w:trPr>
          <w:trHeight w:val="738" w:hRule="atLeast"/>
          <w:tblCellSpacing w:w="0" w:type="dxa"/>
          <w:jc w:val="center"/>
        </w:trPr>
        <w:tc>
          <w:tcPr>
            <w:tcW w:w="0" w:type="auto"/>
            <w:shd w:val="clear"/>
            <w:vAlign w:val="center"/>
          </w:tcPr>
          <w:p>
            <w:pPr>
              <w:keepNext w:val="0"/>
              <w:keepLines w:val="0"/>
              <w:widowControl/>
              <w:suppressLineNumbers w:val="0"/>
              <w:jc w:val="right"/>
              <w:rPr>
                <w:sz w:val="30"/>
                <w:szCs w:val="30"/>
              </w:rPr>
            </w:pPr>
            <w:r>
              <w:rPr>
                <w:rFonts w:ascii="宋体" w:hAnsi="宋体" w:eastAsia="宋体" w:cs="宋体"/>
                <w:kern w:val="0"/>
                <w:sz w:val="30"/>
                <w:szCs w:val="30"/>
                <w:bdr w:val="none" w:color="auto" w:sz="0" w:space="0"/>
                <w:lang w:val="en-US" w:eastAsia="zh-CN" w:bidi="ar"/>
              </w:rPr>
              <w:t>暗标模式：</w:t>
            </w:r>
          </w:p>
        </w:tc>
        <w:tc>
          <w:tcPr>
            <w:tcW w:w="0" w:type="auto"/>
            <w:shd w:val="clear"/>
            <w:vAlign w:val="center"/>
          </w:tcPr>
          <w:p>
            <w:pPr>
              <w:keepNext w:val="0"/>
              <w:keepLines w:val="0"/>
              <w:widowControl/>
              <w:suppressLineNumbers w:val="0"/>
              <w:jc w:val="left"/>
              <w:rPr>
                <w:sz w:val="30"/>
                <w:szCs w:val="30"/>
              </w:rPr>
            </w:pPr>
            <w:r>
              <w:rPr>
                <w:rFonts w:ascii="宋体" w:hAnsi="宋体" w:eastAsia="宋体" w:cs="宋体"/>
                <w:kern w:val="0"/>
                <w:sz w:val="30"/>
                <w:szCs w:val="30"/>
                <w:bdr w:val="none" w:color="auto" w:sz="0" w:space="0"/>
                <w:lang w:val="en-US" w:eastAsia="zh-CN" w:bidi="ar"/>
              </w:rPr>
              <w:t>暗标A</w:t>
            </w:r>
          </w:p>
        </w:tc>
      </w:tr>
    </w:tbl>
    <w:p>
      <w:pPr>
        <w:pStyle w:val="38"/>
        <w:keepNext w:val="0"/>
        <w:keepLines w:val="0"/>
        <w:widowControl/>
        <w:suppressLineNumbers w:val="0"/>
        <w:jc w:val="center"/>
        <w:outlineLvl w:val="1"/>
        <w:rPr>
          <w:rFonts w:hint="eastAsia" w:ascii="黑体" w:hAnsi="宋体" w:eastAsia="黑体" w:cs="黑体"/>
          <w:sz w:val="40"/>
          <w:szCs w:val="40"/>
        </w:rPr>
      </w:pPr>
      <w:r>
        <w:rPr>
          <w:rFonts w:hint="eastAsia" w:ascii="黑体" w:hAnsi="宋体" w:eastAsia="黑体" w:cs="黑体"/>
          <w:sz w:val="40"/>
          <w:szCs w:val="40"/>
          <w:bdr w:val="none" w:color="auto" w:sz="0" w:space="0"/>
        </w:rPr>
        <w:t>资格性审查表</w:t>
      </w:r>
    </w:p>
    <w:tbl>
      <w:tblPr>
        <w:tblW w:w="1066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Layout w:type="autofit"/>
        <w:tblCellMar>
          <w:top w:w="20" w:type="dxa"/>
          <w:left w:w="108" w:type="dxa"/>
          <w:bottom w:w="20" w:type="dxa"/>
          <w:right w:w="108" w:type="dxa"/>
        </w:tblCellMar>
      </w:tblPr>
      <w:tblGrid>
        <w:gridCol w:w="794"/>
        <w:gridCol w:w="987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jc w:val="center"/>
              <w:rPr>
                <w:sz w:val="28"/>
                <w:szCs w:val="28"/>
              </w:rPr>
            </w:pPr>
            <w:r>
              <w:rPr>
                <w:rFonts w:ascii="宋体" w:hAnsi="宋体" w:eastAsia="宋体" w:cs="宋体"/>
                <w:kern w:val="0"/>
                <w:sz w:val="28"/>
                <w:szCs w:val="28"/>
                <w:bdr w:val="none" w:color="auto" w:sz="0" w:space="0"/>
                <w:lang w:val="en-US" w:eastAsia="zh-CN" w:bidi="ar"/>
              </w:rPr>
              <w:t>序号</w:t>
            </w:r>
          </w:p>
        </w:tc>
        <w:tc>
          <w:tcPr>
            <w:tcW w:w="0" w:type="auto"/>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jc w:val="center"/>
              <w:rPr>
                <w:sz w:val="28"/>
                <w:szCs w:val="28"/>
              </w:rPr>
            </w:pPr>
            <w:r>
              <w:rPr>
                <w:rFonts w:ascii="宋体" w:hAnsi="宋体" w:eastAsia="宋体" w:cs="宋体"/>
                <w:kern w:val="0"/>
                <w:sz w:val="28"/>
                <w:szCs w:val="28"/>
                <w:bdr w:val="none" w:color="auto" w:sz="0" w:space="0"/>
                <w:lang w:val="en-US" w:eastAsia="zh-CN" w:bidi="ar"/>
              </w:rPr>
              <w:t>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投标人不符合资格要求，或未提交相应的资格证明资料（详见招标公告投标人资格要求，即申请人的资格要求）</w:t>
            </w:r>
          </w:p>
        </w:tc>
      </w:tr>
    </w:tbl>
    <w:p>
      <w:pPr>
        <w:pStyle w:val="38"/>
        <w:keepNext w:val="0"/>
        <w:keepLines w:val="0"/>
        <w:widowControl/>
        <w:suppressLineNumbers w:val="0"/>
        <w:spacing w:before="280" w:beforeAutospacing="0"/>
        <w:jc w:val="center"/>
        <w:outlineLvl w:val="1"/>
        <w:rPr>
          <w:rFonts w:hint="eastAsia" w:ascii="黑体" w:hAnsi="宋体" w:eastAsia="黑体" w:cs="黑体"/>
          <w:sz w:val="40"/>
          <w:szCs w:val="40"/>
        </w:rPr>
      </w:pPr>
      <w:r>
        <w:rPr>
          <w:rFonts w:hint="eastAsia" w:ascii="黑体" w:hAnsi="宋体" w:eastAsia="黑体" w:cs="黑体"/>
          <w:sz w:val="40"/>
          <w:szCs w:val="40"/>
          <w:bdr w:val="none" w:color="auto" w:sz="0" w:space="0"/>
        </w:rPr>
        <w:t>符合性审查表</w:t>
      </w:r>
    </w:p>
    <w:tbl>
      <w:tblPr>
        <w:tblW w:w="1066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Layout w:type="autofit"/>
        <w:tblCellMar>
          <w:top w:w="20" w:type="dxa"/>
          <w:left w:w="108" w:type="dxa"/>
          <w:bottom w:w="20" w:type="dxa"/>
          <w:right w:w="108" w:type="dxa"/>
        </w:tblCellMar>
      </w:tblPr>
      <w:tblGrid>
        <w:gridCol w:w="794"/>
        <w:gridCol w:w="987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jc w:val="center"/>
              <w:rPr>
                <w:sz w:val="28"/>
                <w:szCs w:val="28"/>
              </w:rPr>
            </w:pPr>
            <w:r>
              <w:rPr>
                <w:rFonts w:ascii="宋体" w:hAnsi="宋体" w:eastAsia="宋体" w:cs="宋体"/>
                <w:kern w:val="0"/>
                <w:sz w:val="28"/>
                <w:szCs w:val="28"/>
                <w:bdr w:val="none" w:color="auto" w:sz="0" w:space="0"/>
                <w:lang w:val="en-US" w:eastAsia="zh-CN" w:bidi="ar"/>
              </w:rPr>
              <w:t>序号</w:t>
            </w:r>
          </w:p>
        </w:tc>
        <w:tc>
          <w:tcPr>
            <w:tcW w:w="0" w:type="auto"/>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jc w:val="center"/>
              <w:rPr>
                <w:sz w:val="28"/>
                <w:szCs w:val="28"/>
              </w:rPr>
            </w:pPr>
            <w:r>
              <w:rPr>
                <w:rFonts w:ascii="宋体" w:hAnsi="宋体" w:eastAsia="宋体" w:cs="宋体"/>
                <w:kern w:val="0"/>
                <w:sz w:val="28"/>
                <w:szCs w:val="28"/>
                <w:bdr w:val="none" w:color="auto" w:sz="0" w:space="0"/>
                <w:lang w:val="en-US" w:eastAsia="zh-CN" w:bidi="ar"/>
              </w:rPr>
              <w:t>内容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将一个包或一个标段的内容拆开投标；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2</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对同一项目投标时，提供两套以上的投标方案（招标文件另有规定的除外）；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3</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分项报价或投标总价高于相应预算金额（或设定的预算金额下的最高限价）；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4</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5</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所投货物、服务在技术、商务等方面没有实质性满足招标文件要求的（是否实质性满足招标文件要求，由评审委员会根据《实质性条款响应情况表》做出评判）；</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6</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未按招标文件所提供的样式填写《投标函》；未按招标文件所提供的《政府采购投标及履约承诺函》进行承诺；未按招标文件对投标文件组成的要求提供投标文件；</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7</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投标报价有缺漏项目,或者对招标文件规定的项目需求内容或者需求数量进行修改，评审委员会判定投标响应不满足采购需求；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8</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投标文件存在列放位置错误，导致属于信息公开情形的没有被公开；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9</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投标文件电子文档带病毒；</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10</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投标文件用不属于本公司的电子密钥进行加密的；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11</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误选了非本项目的最新加密规则文件，导致投标文件不能在开标时解密；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12</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投标文件中出现违反暗标项目的信息屏蔽要求的（详见第二章招标项目需求“暗标要求”）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center"/>
              <w:textAlignment w:val="top"/>
              <w:rPr>
                <w:sz w:val="21"/>
                <w:szCs w:val="21"/>
              </w:rPr>
            </w:pPr>
            <w:r>
              <w:rPr>
                <w:rFonts w:ascii="宋体" w:hAnsi="宋体" w:eastAsia="宋体" w:cs="宋体"/>
                <w:kern w:val="0"/>
                <w:sz w:val="21"/>
                <w:szCs w:val="21"/>
                <w:bdr w:val="none" w:color="auto" w:sz="0" w:space="0"/>
                <w:lang w:val="en-US" w:eastAsia="zh-CN" w:bidi="ar"/>
              </w:rPr>
              <w:t>13</w:t>
            </w:r>
          </w:p>
        </w:tc>
        <w:tc>
          <w:tcPr>
            <w:tcW w:w="0" w:type="auto"/>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jc w:val="left"/>
              <w:textAlignment w:val="top"/>
              <w:rPr>
                <w:sz w:val="21"/>
                <w:szCs w:val="21"/>
              </w:rPr>
            </w:pPr>
            <w:r>
              <w:rPr>
                <w:rFonts w:ascii="宋体" w:hAnsi="宋体" w:eastAsia="宋体" w:cs="宋体"/>
                <w:kern w:val="0"/>
                <w:sz w:val="21"/>
                <w:szCs w:val="21"/>
                <w:bdr w:val="none" w:color="auto" w:sz="0" w:space="0"/>
                <w:lang w:val="en-US" w:eastAsia="zh-CN" w:bidi="ar"/>
              </w:rPr>
              <w:t>法律、法规、规章、规范性文件规定的其他情形。</w:t>
            </w:r>
          </w:p>
        </w:tc>
      </w:tr>
    </w:tbl>
    <w:p>
      <w:pPr>
        <w:pStyle w:val="38"/>
        <w:keepNext w:val="0"/>
        <w:keepLines w:val="0"/>
        <w:widowControl/>
        <w:suppressLineNumbers w:val="0"/>
        <w:jc w:val="center"/>
        <w:outlineLvl w:val="1"/>
        <w:rPr>
          <w:rFonts w:hint="eastAsia" w:ascii="黑体" w:hAnsi="宋体" w:eastAsia="黑体" w:cs="黑体"/>
          <w:sz w:val="40"/>
          <w:szCs w:val="40"/>
        </w:rPr>
      </w:pPr>
      <w:r>
        <w:rPr>
          <w:rFonts w:hint="eastAsia" w:ascii="黑体" w:hAnsi="宋体" w:eastAsia="黑体" w:cs="黑体"/>
          <w:sz w:val="40"/>
          <w:szCs w:val="40"/>
          <w:bdr w:val="none" w:color="auto" w:sz="0" w:space="0"/>
        </w:rPr>
        <w:t>评标信息</w:t>
      </w:r>
    </w:p>
    <w:tbl>
      <w:tblPr>
        <w:tblW w:w="9078"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tblLayout w:type="autofit"/>
        <w:tblCellMar>
          <w:top w:w="45" w:type="dxa"/>
          <w:left w:w="45" w:type="dxa"/>
          <w:bottom w:w="45" w:type="dxa"/>
          <w:right w:w="45" w:type="dxa"/>
        </w:tblCellMar>
      </w:tblPr>
      <w:tblGrid>
        <w:gridCol w:w="8860"/>
        <w:gridCol w:w="218"/>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tblCellSpacing w:w="0" w:type="dxa"/>
          <w:jc w:val="center"/>
        </w:trPr>
        <w:tc>
          <w:tcPr>
            <w:tcW w:w="0" w:type="auto"/>
            <w:shd w:val="clear"/>
            <w:vAlign w:val="center"/>
          </w:tcPr>
          <w:p>
            <w:pPr>
              <w:keepNext w:val="0"/>
              <w:keepLines w:val="0"/>
              <w:widowControl/>
              <w:suppressLineNumbers w:val="0"/>
              <w:jc w:val="left"/>
              <w:rPr>
                <w:b/>
                <w:bCs/>
                <w:sz w:val="24"/>
                <w:szCs w:val="24"/>
              </w:rPr>
            </w:pPr>
            <w:r>
              <w:rPr>
                <w:rFonts w:ascii="宋体" w:hAnsi="宋体" w:eastAsia="宋体" w:cs="宋体"/>
                <w:b/>
                <w:bCs/>
                <w:kern w:val="0"/>
                <w:sz w:val="24"/>
                <w:szCs w:val="24"/>
                <w:bdr w:val="none" w:color="auto" w:sz="0" w:space="0"/>
                <w:lang w:val="en-US" w:eastAsia="zh-CN" w:bidi="ar"/>
              </w:rPr>
              <w:t>评标方法：综合评分法（新价格分算法）</w:t>
            </w:r>
          </w:p>
        </w:tc>
        <w:tc>
          <w:tcPr>
            <w:tcW w:w="0" w:type="auto"/>
            <w:shd w:val="clear"/>
            <w:vAlign w:val="center"/>
          </w:tcPr>
          <w:p>
            <w:pPr>
              <w:jc w:val="right"/>
              <w:rPr>
                <w:rFonts w:hint="eastAsia" w:ascii="宋体"/>
                <w:b/>
                <w:bCs/>
                <w:sz w:val="24"/>
                <w:szCs w:val="24"/>
              </w:rPr>
            </w:pP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tblCellMar>
            <w:top w:w="45" w:type="dxa"/>
            <w:left w:w="45" w:type="dxa"/>
            <w:bottom w:w="45" w:type="dxa"/>
            <w:right w:w="45" w:type="dxa"/>
          </w:tblCellMar>
        </w:tblPrEx>
        <w:trPr>
          <w:tblCellSpacing w:w="0" w:type="dxa"/>
          <w:jc w:val="center"/>
        </w:trPr>
        <w:tc>
          <w:tcPr>
            <w:tcW w:w="0" w:type="auto"/>
            <w:gridSpan w:val="2"/>
            <w:shd w:val="clear"/>
            <w:vAlign w:val="center"/>
          </w:tcPr>
          <w:p>
            <w:pPr>
              <w:pStyle w:val="38"/>
              <w:keepNext w:val="0"/>
              <w:keepLines w:val="0"/>
              <w:widowControl/>
              <w:numPr>
                <w:numId w:val="0"/>
              </w:numPr>
              <w:suppressLineNumbers w:val="0"/>
              <w:spacing w:line="324" w:lineRule="auto"/>
              <w:ind w:left="0" w:firstLine="420"/>
              <w:rPr>
                <w:sz w:val="21"/>
                <w:szCs w:val="21"/>
              </w:rPr>
            </w:pPr>
            <w:r>
              <w:rPr>
                <w:sz w:val="21"/>
                <w:szCs w:val="21"/>
                <w:bdr w:val="none" w:color="auto" w:sz="0" w:space="0"/>
              </w:rPr>
              <w:t xml:space="preserve">综合评分法，是指投标文件满足招标文件全部实质性要求，且按照评审因素的量化指标评审得分最高的投标人为中标候选人的评标方法。 </w:t>
            </w:r>
          </w:p>
          <w:p>
            <w:pPr>
              <w:pStyle w:val="38"/>
              <w:keepNext w:val="0"/>
              <w:keepLines w:val="0"/>
              <w:widowControl/>
              <w:suppressLineNumbers w:val="0"/>
              <w:ind w:left="0" w:firstLine="420"/>
              <w:rPr>
                <w:sz w:val="21"/>
                <w:szCs w:val="21"/>
              </w:rPr>
            </w:pPr>
            <w:r>
              <w:rPr>
                <w:sz w:val="21"/>
                <w:szCs w:val="21"/>
                <w:bdr w:val="none" w:color="auto" w:sz="0" w:space="0"/>
              </w:rPr>
              <w:t>价格分计算方法：</w:t>
            </w:r>
          </w:p>
          <w:p>
            <w:pPr>
              <w:pStyle w:val="38"/>
              <w:keepNext w:val="0"/>
              <w:keepLines w:val="0"/>
              <w:widowControl/>
              <w:numPr>
                <w:numId w:val="0"/>
              </w:numPr>
              <w:suppressLineNumbers w:val="0"/>
              <w:spacing w:line="324" w:lineRule="auto"/>
              <w:ind w:left="420"/>
              <w:rPr>
                <w:sz w:val="21"/>
                <w:szCs w:val="21"/>
              </w:rPr>
            </w:pPr>
            <w:r>
              <w:rPr>
                <w:sz w:val="21"/>
                <w:szCs w:val="21"/>
              </w:rPr>
              <w:t xml:space="preserve">采用低价优先法计算，即满足招标文件要求且投标价格最低的投标报价为评标基准价，其价格分为满分。其他投标人的价格分统一按照下列公式计算： </w:t>
            </w:r>
            <w:r>
              <w:rPr>
                <w:sz w:val="21"/>
                <w:szCs w:val="21"/>
              </w:rPr>
              <w:br w:type="textWrapping"/>
            </w:r>
            <w:r>
              <w:rPr>
                <w:sz w:val="21"/>
                <w:szCs w:val="21"/>
              </w:rPr>
              <w:t xml:space="preserve">投标报价得分=(评标基准价／投标报价)×100 </w:t>
            </w:r>
            <w:r>
              <w:rPr>
                <w:sz w:val="21"/>
                <w:szCs w:val="21"/>
              </w:rPr>
              <w:br w:type="textWrapping"/>
            </w:r>
            <w:r>
              <w:rPr>
                <w:sz w:val="21"/>
                <w:szCs w:val="21"/>
              </w:rPr>
              <w:t xml:space="preserve">评标总得分＝F1×A1＋F2×A2＋……＋Fn×An </w:t>
            </w:r>
            <w:r>
              <w:rPr>
                <w:sz w:val="21"/>
                <w:szCs w:val="21"/>
              </w:rPr>
              <w:br w:type="textWrapping"/>
            </w:r>
            <w:r>
              <w:rPr>
                <w:sz w:val="21"/>
                <w:szCs w:val="21"/>
              </w:rPr>
              <w:t xml:space="preserve">F1、F2……Fn分别为各项评审因素的得分； </w:t>
            </w:r>
            <w:r>
              <w:rPr>
                <w:sz w:val="21"/>
                <w:szCs w:val="21"/>
              </w:rPr>
              <w:br w:type="textWrapping"/>
            </w:r>
            <w:r>
              <w:rPr>
                <w:sz w:val="21"/>
                <w:szCs w:val="21"/>
              </w:rPr>
              <w:t xml:space="preserve">A1、A2、……An 分别为各项评审因素所占的权重(A1＋A2＋……＋An＝1)。 </w:t>
            </w:r>
            <w:r>
              <w:rPr>
                <w:sz w:val="21"/>
                <w:szCs w:val="21"/>
              </w:rPr>
              <w:br w:type="textWrapping"/>
            </w:r>
            <w:r>
              <w:rPr>
                <w:sz w:val="21"/>
                <w:szCs w:val="21"/>
              </w:rPr>
              <w:t xml:space="preserve">评标过程中，不得去掉报价中的最高报价和最低报价。 </w:t>
            </w:r>
            <w:r>
              <w:rPr>
                <w:sz w:val="21"/>
                <w:szCs w:val="21"/>
              </w:rPr>
              <w:br w:type="textWrapping"/>
            </w:r>
            <w:r>
              <w:rPr>
                <w:sz w:val="21"/>
                <w:szCs w:val="21"/>
              </w:rPr>
              <w:t xml:space="preserve">此方法适用于货物类、服务类、工程类项目。 </w:t>
            </w:r>
          </w:p>
        </w:tc>
      </w:tr>
    </w:tbl>
    <w:p>
      <w:pPr>
        <w:rPr>
          <w:vanish/>
          <w:sz w:val="24"/>
          <w:szCs w:val="24"/>
        </w:rPr>
      </w:pPr>
    </w:p>
    <w:tbl>
      <w:tblPr>
        <w:tblW w:w="907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Layout w:type="autofit"/>
        <w:tblCellMar>
          <w:top w:w="20" w:type="dxa"/>
          <w:left w:w="108" w:type="dxa"/>
          <w:bottom w:w="20" w:type="dxa"/>
          <w:right w:w="108" w:type="dxa"/>
        </w:tblCellMar>
      </w:tblPr>
      <w:tblGrid>
        <w:gridCol w:w="665"/>
        <w:gridCol w:w="663"/>
        <w:gridCol w:w="2672"/>
        <w:gridCol w:w="1094"/>
        <w:gridCol w:w="398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wordWrap w:val="0"/>
              <w:jc w:val="center"/>
              <w:rPr>
                <w:b/>
                <w:bCs/>
                <w:sz w:val="24"/>
                <w:szCs w:val="24"/>
              </w:rPr>
            </w:pPr>
            <w:r>
              <w:rPr>
                <w:rFonts w:ascii="宋体" w:hAnsi="宋体" w:eastAsia="宋体" w:cs="宋体"/>
                <w:b/>
                <w:bCs/>
                <w:kern w:val="0"/>
                <w:sz w:val="24"/>
                <w:szCs w:val="24"/>
                <w:bdr w:val="none" w:color="auto" w:sz="0" w:space="0"/>
                <w:lang w:val="en-US" w:eastAsia="zh-CN" w:bidi="ar"/>
              </w:rPr>
              <w:t>序号</w:t>
            </w:r>
          </w:p>
        </w:tc>
        <w:tc>
          <w:tcPr>
            <w:tcW w:w="4199" w:type="dxa"/>
            <w:gridSpan w:val="3"/>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wordWrap w:val="0"/>
              <w:jc w:val="center"/>
              <w:rPr>
                <w:b/>
                <w:bCs/>
                <w:sz w:val="24"/>
                <w:szCs w:val="24"/>
              </w:rPr>
            </w:pPr>
            <w:r>
              <w:rPr>
                <w:rFonts w:ascii="宋体" w:hAnsi="宋体" w:eastAsia="宋体" w:cs="宋体"/>
                <w:b/>
                <w:bCs/>
                <w:kern w:val="0"/>
                <w:sz w:val="24"/>
                <w:szCs w:val="24"/>
                <w:bdr w:val="none" w:color="auto" w:sz="0" w:space="0"/>
                <w:lang w:val="en-US" w:eastAsia="zh-CN" w:bidi="ar"/>
              </w:rPr>
              <w:t>评分项</w:t>
            </w:r>
          </w:p>
        </w:tc>
        <w:tc>
          <w:tcPr>
            <w:tcW w:w="4199" w:type="dxa"/>
            <w:tcBorders>
              <w:top w:val="single" w:color="000000" w:sz="8" w:space="0"/>
              <w:left w:val="single" w:color="000000" w:sz="8" w:space="0"/>
              <w:bottom w:val="single" w:color="000000" w:sz="8" w:space="0"/>
              <w:right w:val="single" w:color="000000" w:sz="8" w:space="0"/>
            </w:tcBorders>
            <w:shd w:val="clear" w:color="auto" w:fill="E6EFFA"/>
            <w:vAlign w:val="center"/>
          </w:tcPr>
          <w:p>
            <w:pPr>
              <w:keepNext w:val="0"/>
              <w:keepLines w:val="0"/>
              <w:widowControl/>
              <w:suppressLineNumbers w:val="0"/>
              <w:wordWrap w:val="0"/>
              <w:jc w:val="center"/>
              <w:rPr>
                <w:b/>
                <w:bCs/>
                <w:sz w:val="24"/>
                <w:szCs w:val="24"/>
              </w:rPr>
            </w:pPr>
            <w:r>
              <w:rPr>
                <w:rFonts w:ascii="宋体" w:hAnsi="宋体" w:eastAsia="宋体" w:cs="宋体"/>
                <w:b/>
                <w:bCs/>
                <w:kern w:val="0"/>
                <w:sz w:val="24"/>
                <w:szCs w:val="24"/>
                <w:bdr w:val="none" w:color="auto" w:sz="0" w:space="0"/>
                <w:lang w:val="en-US" w:eastAsia="zh-CN" w:bidi="ar"/>
              </w:rPr>
              <w:t>权重(%)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1</w:t>
            </w:r>
          </w:p>
        </w:tc>
        <w:tc>
          <w:tcPr>
            <w:tcW w:w="4199" w:type="dxa"/>
            <w:gridSpan w:val="3"/>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价格</w:t>
            </w:r>
          </w:p>
        </w:tc>
        <w:tc>
          <w:tcPr>
            <w:tcW w:w="4199"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8397" w:type="dxa"/>
            <w:gridSpan w:val="4"/>
            <w:tcBorders>
              <w:top w:val="single" w:color="000000" w:sz="8" w:space="0"/>
              <w:left w:val="single" w:color="000000" w:sz="8" w:space="0"/>
              <w:bottom w:val="single" w:color="000000" w:sz="8" w:space="0"/>
              <w:right w:val="single" w:color="000000" w:sz="8" w:space="0"/>
            </w:tcBorders>
            <w:shd w:val="clear"/>
            <w:vAlign w:val="top"/>
          </w:tcPr>
          <w:p>
            <w:pPr>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2</w:t>
            </w:r>
          </w:p>
        </w:tc>
        <w:tc>
          <w:tcPr>
            <w:tcW w:w="4199" w:type="dxa"/>
            <w:gridSpan w:val="3"/>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技术部分</w:t>
            </w:r>
          </w:p>
        </w:tc>
        <w:tc>
          <w:tcPr>
            <w:tcW w:w="4199"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53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8284" w:type="dxa"/>
            <w:gridSpan w:val="4"/>
            <w:tcBorders>
              <w:top w:val="single" w:color="000000" w:sz="8" w:space="0"/>
              <w:left w:val="single" w:color="000000" w:sz="8" w:space="0"/>
              <w:bottom w:val="single" w:color="000000" w:sz="8" w:space="0"/>
              <w:right w:val="single" w:color="000000" w:sz="8" w:space="0"/>
            </w:tcBorders>
            <w:shd w:val="clear"/>
            <w:vAlign w:val="top"/>
          </w:tcPr>
          <w:p>
            <w:pPr>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hint="eastAsia" w:ascii="宋体"/>
                <w:b/>
                <w:bCs/>
                <w:color w:val="0000FF"/>
                <w:sz w:val="24"/>
                <w:szCs w:val="24"/>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序号</w:t>
            </w:r>
          </w:p>
        </w:tc>
        <w:tc>
          <w:tcPr>
            <w:tcW w:w="2610"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评分因素</w:t>
            </w:r>
          </w:p>
        </w:tc>
        <w:tc>
          <w:tcPr>
            <w:tcW w:w="1135"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权重(%)</w:t>
            </w:r>
          </w:p>
        </w:tc>
        <w:tc>
          <w:tcPr>
            <w:tcW w:w="2695"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1</w:t>
            </w:r>
          </w:p>
        </w:tc>
        <w:tc>
          <w:tcPr>
            <w:tcW w:w="2837"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技术保障措施</w:t>
            </w: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3</w:t>
            </w:r>
          </w:p>
        </w:tc>
        <w:tc>
          <w:tcPr>
            <w:tcW w:w="4199"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投标人需充分说明技术保障措施，包括①项目组织管理方案、 ②项目进度计划、③项目质量控制措施、④项目进度控制措施、⑤项目技术实力共5项保障措施: 1、保障措施等于5项，得100分； 2、保障措施3-4项的，得50分； 3、保障措施小于3项的，不得分。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2</w:t>
            </w:r>
          </w:p>
        </w:tc>
        <w:tc>
          <w:tcPr>
            <w:tcW w:w="2837"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技术规格偏离情况</w:t>
            </w: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50</w:t>
            </w:r>
          </w:p>
        </w:tc>
        <w:tc>
          <w:tcPr>
            <w:tcW w:w="4199"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投标人应如实填写《技术要求偏离表》，评审委员会根据技术需求参数响应情况进行打分，各项技术参数指标及要求全部满足的得100分， 带▲ 参数为重点参数，每负偏离一项扣7分；其他一般参数每偏离一项扣1分，扣完为止；正偏离不加分。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3</w:t>
            </w:r>
          </w:p>
        </w:tc>
        <w:tc>
          <w:tcPr>
            <w:tcW w:w="4199" w:type="dxa"/>
            <w:gridSpan w:val="3"/>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商务需求</w:t>
            </w:r>
          </w:p>
        </w:tc>
        <w:tc>
          <w:tcPr>
            <w:tcW w:w="4199"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12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8284" w:type="dxa"/>
            <w:gridSpan w:val="4"/>
            <w:tcBorders>
              <w:top w:val="single" w:color="000000" w:sz="8" w:space="0"/>
              <w:left w:val="single" w:color="000000" w:sz="8" w:space="0"/>
              <w:bottom w:val="single" w:color="000000" w:sz="8" w:space="0"/>
              <w:right w:val="single" w:color="000000" w:sz="8" w:space="0"/>
            </w:tcBorders>
            <w:shd w:val="clear"/>
            <w:vAlign w:val="top"/>
          </w:tcPr>
          <w:p>
            <w:pPr>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hint="eastAsia" w:ascii="宋体"/>
                <w:b/>
                <w:bCs/>
                <w:color w:val="0000FF"/>
                <w:sz w:val="24"/>
                <w:szCs w:val="24"/>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序号</w:t>
            </w:r>
          </w:p>
        </w:tc>
        <w:tc>
          <w:tcPr>
            <w:tcW w:w="2610"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评分因素</w:t>
            </w:r>
          </w:p>
        </w:tc>
        <w:tc>
          <w:tcPr>
            <w:tcW w:w="1135"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权重(%)</w:t>
            </w:r>
          </w:p>
        </w:tc>
        <w:tc>
          <w:tcPr>
            <w:tcW w:w="2695"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1</w:t>
            </w:r>
          </w:p>
        </w:tc>
        <w:tc>
          <w:tcPr>
            <w:tcW w:w="2837"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免费保修期内售后服务条款偏离情况</w:t>
            </w: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6</w:t>
            </w:r>
          </w:p>
        </w:tc>
        <w:tc>
          <w:tcPr>
            <w:tcW w:w="4199"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1.投标人应如实填写《商务要求偏离表（免费保修期内售后服务要求）》，评审委员会根据响应情况进行打分。在满足免费保修期的基础上，每增加一年加20分，最高得60分。 2.其他要求全部满足要求的得40分，每负偏离一项扣10分。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2</w:t>
            </w:r>
          </w:p>
        </w:tc>
        <w:tc>
          <w:tcPr>
            <w:tcW w:w="2837"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免费保修期外售后服务条款偏离情况</w:t>
            </w: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4</w:t>
            </w:r>
          </w:p>
        </w:tc>
        <w:tc>
          <w:tcPr>
            <w:tcW w:w="4199"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投标人应如实填写《商务要求偏离表（免费保修期外售后服务要求）》，评审委员会根据响应情况进行打分，全部满足要求的得100分，每负偏离一项扣20分。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3</w:t>
            </w:r>
          </w:p>
        </w:tc>
        <w:tc>
          <w:tcPr>
            <w:tcW w:w="2837"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其他商务条款偏离情况</w:t>
            </w: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2</w:t>
            </w:r>
          </w:p>
        </w:tc>
        <w:tc>
          <w:tcPr>
            <w:tcW w:w="4199"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投标人应如实填写《商务要求偏离表（其他商务要求）》，评审委员会根据响应情况进行打分，全部满足要求的得100分，每负偏离一项扣7分。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4</w:t>
            </w:r>
          </w:p>
        </w:tc>
        <w:tc>
          <w:tcPr>
            <w:tcW w:w="4199" w:type="dxa"/>
            <w:gridSpan w:val="3"/>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诚信情况</w:t>
            </w:r>
          </w:p>
        </w:tc>
        <w:tc>
          <w:tcPr>
            <w:tcW w:w="4199" w:type="dxa"/>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wordWrap w:val="0"/>
              <w:jc w:val="center"/>
              <w:rPr>
                <w:b/>
                <w:bCs/>
                <w:color w:val="0000FF"/>
                <w:sz w:val="24"/>
                <w:szCs w:val="24"/>
              </w:rPr>
            </w:pPr>
            <w:r>
              <w:rPr>
                <w:rFonts w:ascii="宋体" w:hAnsi="宋体" w:eastAsia="宋体" w:cs="宋体"/>
                <w:b/>
                <w:bCs/>
                <w:color w:val="0000FF"/>
                <w:kern w:val="0"/>
                <w:sz w:val="24"/>
                <w:szCs w:val="24"/>
                <w:bdr w:val="none" w:color="auto" w:sz="0" w:space="0"/>
                <w:lang w:val="en-US" w:eastAsia="zh-CN" w:bidi="ar"/>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8284" w:type="dxa"/>
            <w:gridSpan w:val="4"/>
            <w:tcBorders>
              <w:top w:val="single" w:color="000000" w:sz="8" w:space="0"/>
              <w:left w:val="single" w:color="000000" w:sz="8" w:space="0"/>
              <w:bottom w:val="single" w:color="000000" w:sz="8" w:space="0"/>
              <w:right w:val="single" w:color="000000" w:sz="8" w:space="0"/>
            </w:tcBorders>
            <w:shd w:val="clear"/>
            <w:vAlign w:val="top"/>
          </w:tcPr>
          <w:p>
            <w:pPr>
              <w:rPr>
                <w:rFonts w:hint="eastAsia" w:ascii="宋体"/>
                <w:sz w:val="21"/>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color="auto" w:fill="E6EFFA"/>
            <w:vAlign w:val="center"/>
          </w:tcPr>
          <w:p>
            <w:pPr>
              <w:jc w:val="center"/>
              <w:rPr>
                <w:rFonts w:hint="eastAsia" w:ascii="宋体"/>
                <w:b/>
                <w:bCs/>
                <w:color w:val="0000FF"/>
                <w:sz w:val="24"/>
                <w:szCs w:val="24"/>
              </w:rPr>
            </w:pPr>
          </w:p>
        </w:tc>
        <w:tc>
          <w:tcPr>
            <w:tcW w:w="681"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序号</w:t>
            </w:r>
          </w:p>
        </w:tc>
        <w:tc>
          <w:tcPr>
            <w:tcW w:w="2610"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评分因素</w:t>
            </w:r>
          </w:p>
        </w:tc>
        <w:tc>
          <w:tcPr>
            <w:tcW w:w="1135"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权重(%)</w:t>
            </w:r>
          </w:p>
        </w:tc>
        <w:tc>
          <w:tcPr>
            <w:tcW w:w="2695" w:type="dxa"/>
            <w:tcBorders>
              <w:top w:val="outset" w:color="000000" w:sz="6" w:space="0"/>
              <w:left w:val="outset" w:color="000000" w:sz="6" w:space="0"/>
              <w:bottom w:val="outset" w:color="000000" w:sz="6" w:space="0"/>
              <w:right w:val="outset" w:color="000000" w:sz="6" w:space="0"/>
            </w:tcBorders>
            <w:shd w:val="clear" w:color="auto" w:fill="E6EFFA"/>
            <w:vAlign w:val="center"/>
          </w:tcPr>
          <w:p>
            <w:pPr>
              <w:keepNext w:val="0"/>
              <w:keepLines w:val="0"/>
              <w:widowControl/>
              <w:suppressLineNumbers w:val="0"/>
              <w:wordWrap w:val="0"/>
              <w:spacing w:line="240" w:lineRule="auto"/>
              <w:jc w:val="center"/>
              <w:rPr>
                <w:sz w:val="21"/>
                <w:szCs w:val="21"/>
              </w:rPr>
            </w:pPr>
            <w:r>
              <w:rPr>
                <w:rFonts w:ascii="宋体" w:hAnsi="宋体" w:eastAsia="宋体" w:cs="宋体"/>
                <w:kern w:val="0"/>
                <w:sz w:val="21"/>
                <w:szCs w:val="21"/>
                <w:bdr w:val="none" w:color="auto" w:sz="0" w:space="0"/>
                <w:lang w:val="en-US" w:eastAsia="zh-CN" w:bidi="ar"/>
              </w:rPr>
              <w:t>评分准则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shd w:val="clear"/>
          <w:tblCellMar>
            <w:top w:w="20" w:type="dxa"/>
            <w:left w:w="108" w:type="dxa"/>
            <w:bottom w:w="20" w:type="dxa"/>
            <w:right w:w="108" w:type="dxa"/>
          </w:tblCellMar>
        </w:tblPrEx>
        <w:trPr>
          <w:jc w:val="center"/>
        </w:trPr>
        <w:tc>
          <w:tcPr>
            <w:tcW w:w="681" w:type="dxa"/>
            <w:vMerge w:val="continue"/>
            <w:tcBorders>
              <w:top w:val="single" w:color="000000" w:sz="8" w:space="0"/>
              <w:left w:val="single" w:color="000000" w:sz="8" w:space="0"/>
              <w:bottom w:val="single" w:color="000000" w:sz="8" w:space="0"/>
              <w:right w:val="single" w:color="000000" w:sz="8" w:space="0"/>
            </w:tcBorders>
            <w:shd w:val="clear"/>
            <w:vAlign w:val="center"/>
          </w:tcPr>
          <w:p>
            <w:pPr>
              <w:jc w:val="center"/>
              <w:rPr>
                <w:rFonts w:hint="eastAsia" w:ascii="宋体"/>
                <w:b/>
                <w:bCs/>
                <w:color w:val="0000FF"/>
                <w:sz w:val="24"/>
                <w:szCs w:val="24"/>
              </w:rPr>
            </w:pP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1</w:t>
            </w:r>
          </w:p>
        </w:tc>
        <w:tc>
          <w:tcPr>
            <w:tcW w:w="2837"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诚信</w:t>
            </w:r>
          </w:p>
        </w:tc>
        <w:tc>
          <w:tcPr>
            <w:tcW w:w="681"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wordWrap w:val="0"/>
              <w:spacing w:line="240" w:lineRule="auto"/>
              <w:jc w:val="center"/>
              <w:textAlignment w:val="top"/>
              <w:rPr>
                <w:sz w:val="21"/>
                <w:szCs w:val="21"/>
              </w:rPr>
            </w:pPr>
            <w:r>
              <w:rPr>
                <w:rFonts w:ascii="宋体" w:hAnsi="宋体" w:eastAsia="宋体" w:cs="宋体"/>
                <w:kern w:val="0"/>
                <w:sz w:val="21"/>
                <w:szCs w:val="21"/>
                <w:bdr w:val="none" w:color="auto" w:sz="0" w:space="0"/>
                <w:lang w:val="en-US" w:eastAsia="zh-CN" w:bidi="ar"/>
              </w:rPr>
              <w:t>5</w:t>
            </w:r>
          </w:p>
        </w:tc>
        <w:tc>
          <w:tcPr>
            <w:tcW w:w="4199" w:type="dxa"/>
            <w:tcBorders>
              <w:top w:val="single" w:color="000000" w:sz="8" w:space="0"/>
              <w:left w:val="single" w:color="000000" w:sz="8" w:space="0"/>
              <w:bottom w:val="single" w:color="000000" w:sz="8" w:space="0"/>
              <w:right w:val="single" w:color="000000"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line="240" w:lineRule="auto"/>
              <w:jc w:val="left"/>
              <w:textAlignment w:val="top"/>
              <w:rPr>
                <w:sz w:val="21"/>
                <w:szCs w:val="21"/>
              </w:rPr>
            </w:pPr>
            <w:r>
              <w:rPr>
                <w:rFonts w:ascii="宋体" w:hAnsi="宋体" w:eastAsia="宋体" w:cs="宋体"/>
                <w:kern w:val="0"/>
                <w:sz w:val="21"/>
                <w:szCs w:val="21"/>
                <w:bdr w:val="none" w:color="auto" w:sz="0" w:space="0"/>
                <w:lang w:val="en-US" w:eastAsia="zh-CN" w:bidi="ar"/>
              </w:rPr>
              <w:t>投标人在参与政府采购活动中存在诚信相关问题且在主管部门相关处理措施实施期限内的，本项不得分，否则得满分。投标人无需提供任何证明材料，由工作人员向评审委员会提供相关信息。</w:t>
            </w:r>
          </w:p>
        </w:tc>
      </w:tr>
    </w:tbl>
    <w:p>
      <w:pPr>
        <w:pStyle w:val="38"/>
        <w:keepNext w:val="0"/>
        <w:keepLines w:val="0"/>
        <w:widowControl/>
        <w:suppressLineNumbers w:val="0"/>
        <w:jc w:val="center"/>
        <w:outlineLvl w:val="1"/>
        <w:rPr>
          <w:rFonts w:hint="eastAsia" w:ascii="黑体" w:hAnsi="宋体" w:eastAsia="黑体" w:cs="黑体"/>
          <w:sz w:val="40"/>
          <w:szCs w:val="40"/>
        </w:rPr>
      </w:pPr>
      <w:r>
        <w:rPr>
          <w:rFonts w:hint="eastAsia" w:ascii="黑体" w:hAnsi="宋体" w:eastAsia="黑体" w:cs="黑体"/>
          <w:sz w:val="40"/>
          <w:szCs w:val="40"/>
          <w:bdr w:val="none" w:color="auto" w:sz="0" w:space="0"/>
        </w:rPr>
        <w:t>投标书目录</w:t>
      </w:r>
    </w:p>
    <w:tbl>
      <w:tblPr>
        <w:tblW w:w="9078"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45" w:type="dxa"/>
          <w:left w:w="45" w:type="dxa"/>
          <w:bottom w:w="45" w:type="dxa"/>
          <w:right w:w="45" w:type="dxa"/>
        </w:tblCellMar>
      </w:tblPr>
      <w:tblGrid>
        <w:gridCol w:w="90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45" w:type="dxa"/>
            <w:left w:w="45" w:type="dxa"/>
            <w:bottom w:w="45" w:type="dxa"/>
            <w:right w:w="45" w:type="dxa"/>
          </w:tblCellMar>
        </w:tblPrEx>
        <w:trPr>
          <w:tblCellSpacing w:w="0" w:type="dxa"/>
          <w:jc w:val="center"/>
        </w:trPr>
        <w:tc>
          <w:tcPr>
            <w:tcW w:w="0" w:type="auto"/>
            <w:shd w:val="clear"/>
            <w:vAlign w:val="center"/>
          </w:tcPr>
          <w:p>
            <w:pPr>
              <w:keepNext w:val="0"/>
              <w:keepLines w:val="0"/>
              <w:widowControl/>
              <w:numPr>
                <w:ilvl w:val="0"/>
                <w:numId w:val="7"/>
              </w:numPr>
              <w:suppressLineNumbers w:val="0"/>
              <w:spacing w:before="0" w:beforeAutospacing="1" w:after="0" w:afterAutospacing="1" w:line="15" w:lineRule="atLeast"/>
              <w:ind w:left="720" w:hanging="360"/>
            </w:pPr>
            <w:r>
              <w:rPr>
                <w:sz w:val="21"/>
                <w:szCs w:val="21"/>
                <w:bdr w:val="none" w:color="auto" w:sz="0" w:space="0"/>
              </w:rPr>
              <w:t>一、投标函</w:t>
            </w:r>
          </w:p>
          <w:p>
            <w:pPr>
              <w:keepNext w:val="0"/>
              <w:keepLines w:val="0"/>
              <w:widowControl/>
              <w:numPr>
                <w:ilvl w:val="0"/>
                <w:numId w:val="7"/>
              </w:numPr>
              <w:suppressLineNumbers w:val="0"/>
              <w:spacing w:before="0" w:beforeAutospacing="1" w:after="0" w:afterAutospacing="1" w:line="15" w:lineRule="atLeast"/>
              <w:ind w:left="720" w:hanging="360"/>
            </w:pPr>
            <w:r>
              <w:rPr>
                <w:sz w:val="21"/>
                <w:szCs w:val="21"/>
                <w:bdr w:val="none" w:color="auto" w:sz="0" w:space="0"/>
              </w:rPr>
              <w:t>二、政府采购投标及履约承诺函</w:t>
            </w:r>
          </w:p>
          <w:p>
            <w:pPr>
              <w:keepNext w:val="0"/>
              <w:keepLines w:val="0"/>
              <w:widowControl/>
              <w:numPr>
                <w:ilvl w:val="0"/>
                <w:numId w:val="7"/>
              </w:numPr>
              <w:suppressLineNumbers w:val="0"/>
              <w:spacing w:before="0" w:beforeAutospacing="1" w:after="0" w:afterAutospacing="1" w:line="15" w:lineRule="atLeast"/>
              <w:ind w:left="720" w:hanging="360"/>
            </w:pPr>
            <w:r>
              <w:rPr>
                <w:sz w:val="21"/>
                <w:szCs w:val="21"/>
                <w:bdr w:val="none" w:color="auto" w:sz="0" w:space="0"/>
              </w:rPr>
              <w:t>三、分项报价清单</w:t>
            </w:r>
          </w:p>
          <w:p>
            <w:pPr>
              <w:keepNext w:val="0"/>
              <w:keepLines w:val="0"/>
              <w:widowControl/>
              <w:numPr>
                <w:ilvl w:val="0"/>
                <w:numId w:val="7"/>
              </w:numPr>
              <w:suppressLineNumbers w:val="0"/>
              <w:spacing w:before="0" w:beforeAutospacing="1" w:after="0" w:afterAutospacing="1" w:line="15" w:lineRule="atLeast"/>
              <w:ind w:left="720" w:hanging="360"/>
            </w:pPr>
            <w:r>
              <w:rPr>
                <w:sz w:val="21"/>
                <w:szCs w:val="21"/>
                <w:bdr w:val="none" w:color="auto" w:sz="0" w:space="0"/>
              </w:rPr>
              <w:t>四、投标供应商情况及资格证明文件</w:t>
            </w:r>
          </w:p>
        </w:tc>
      </w:tr>
    </w:tbl>
    <w:p>
      <w:pPr>
        <w:sectPr>
          <w:headerReference r:id="rId3" w:type="first"/>
          <w:footerReference r:id="rId4" w:type="default"/>
          <w:footerReference r:id="rId5" w:type="even"/>
          <w:pgSz w:w="11907" w:h="16840"/>
          <w:pgMar w:top="1440" w:right="1418" w:bottom="1440" w:left="1418" w:header="851" w:footer="992" w:gutter="0"/>
          <w:cols w:space="425" w:num="1"/>
          <w:titlePg/>
          <w:docGrid w:linePitch="462" w:charSpace="0"/>
        </w:sectPr>
      </w:pPr>
      <w:bookmarkStart w:id="134" w:name="_GoBack"/>
      <w:bookmarkEnd w:id="134"/>
    </w:p>
    <w:p>
      <w:pPr>
        <w:pStyle w:val="2"/>
      </w:pPr>
    </w:p>
    <w:p>
      <w:pPr>
        <w:jc w:val="center"/>
        <w:rPr>
          <w:b/>
          <w:sz w:val="84"/>
          <w:szCs w:val="84"/>
        </w:rPr>
      </w:pPr>
    </w:p>
    <w:p>
      <w:pPr>
        <w:jc w:val="center"/>
        <w:rPr>
          <w:b/>
          <w:sz w:val="84"/>
          <w:szCs w:val="84"/>
        </w:rPr>
      </w:pPr>
    </w:p>
    <w:p>
      <w:pPr>
        <w:jc w:val="center"/>
        <w:rPr>
          <w:b/>
          <w:sz w:val="84"/>
          <w:szCs w:val="84"/>
        </w:rPr>
      </w:pPr>
    </w:p>
    <w:p>
      <w:pPr>
        <w:jc w:val="center"/>
        <w:rPr>
          <w:b/>
          <w:sz w:val="120"/>
          <w:szCs w:val="120"/>
        </w:rPr>
      </w:pPr>
      <w:r>
        <w:rPr>
          <w:rFonts w:hint="eastAsia"/>
          <w:b/>
          <w:sz w:val="120"/>
          <w:szCs w:val="120"/>
        </w:rPr>
        <w:t>政府采购</w:t>
      </w:r>
    </w:p>
    <w:p>
      <w:pPr>
        <w:jc w:val="center"/>
        <w:rPr>
          <w:b/>
          <w:sz w:val="120"/>
          <w:szCs w:val="120"/>
        </w:rPr>
      </w:pPr>
      <w:r>
        <w:rPr>
          <w:rFonts w:hint="eastAsia"/>
          <w:b/>
          <w:sz w:val="120"/>
          <w:szCs w:val="120"/>
        </w:rPr>
        <w:t>招标文件</w:t>
      </w:r>
    </w:p>
    <w:p>
      <w:pPr>
        <w:jc w:val="center"/>
        <w:rPr>
          <w:b/>
          <w:sz w:val="52"/>
          <w:szCs w:val="52"/>
        </w:rPr>
      </w:pPr>
      <w:r>
        <w:rPr>
          <w:rFonts w:hint="eastAsia"/>
          <w:b/>
          <w:sz w:val="52"/>
          <w:szCs w:val="52"/>
        </w:rPr>
        <w:t>（医疗设备类暗标）</w:t>
      </w:r>
    </w:p>
    <w:p/>
    <w:p/>
    <w:p/>
    <w:p/>
    <w:p/>
    <w:p/>
    <w:p/>
    <w:p/>
    <w:p/>
    <w:p/>
    <w:p/>
    <w:p/>
    <w:p/>
    <w:p/>
    <w:p/>
    <w:p/>
    <w:p>
      <w:pPr>
        <w:jc w:val="center"/>
        <w:rPr>
          <w:b/>
          <w:sz w:val="44"/>
          <w:szCs w:val="44"/>
        </w:rPr>
      </w:pPr>
      <w:bookmarkStart w:id="0" w:name="_Hlk71465316"/>
      <w:r>
        <w:rPr>
          <w:rFonts w:hint="eastAsia"/>
          <w:b/>
          <w:sz w:val="44"/>
          <w:szCs w:val="44"/>
        </w:rPr>
        <w:t>深圳公共资源交易中心</w:t>
      </w:r>
    </w:p>
    <w:p>
      <w:pPr>
        <w:jc w:val="center"/>
        <w:rPr>
          <w:b/>
          <w:sz w:val="44"/>
          <w:szCs w:val="44"/>
        </w:rPr>
      </w:pPr>
      <w:r>
        <w:rPr>
          <w:rFonts w:hint="eastAsia"/>
          <w:b/>
          <w:sz w:val="44"/>
          <w:szCs w:val="44"/>
        </w:rPr>
        <w:t>（</w:t>
      </w:r>
      <w:r>
        <w:rPr>
          <w:b/>
          <w:sz w:val="44"/>
          <w:szCs w:val="44"/>
        </w:rPr>
        <w:t>20</w:t>
      </w:r>
      <w:r>
        <w:rPr>
          <w:rFonts w:hint="eastAsia"/>
          <w:b/>
          <w:sz w:val="44"/>
          <w:szCs w:val="44"/>
        </w:rPr>
        <w:t>2</w:t>
      </w:r>
      <w:r>
        <w:rPr>
          <w:b/>
          <w:sz w:val="44"/>
          <w:szCs w:val="44"/>
        </w:rPr>
        <w:t>1</w:t>
      </w:r>
      <w:r>
        <w:rPr>
          <w:rFonts w:hint="eastAsia"/>
          <w:b/>
          <w:sz w:val="44"/>
          <w:szCs w:val="44"/>
        </w:rPr>
        <w:t>）</w:t>
      </w:r>
      <w:bookmarkEnd w:id="0"/>
    </w:p>
    <w:p>
      <w:r>
        <w:rPr>
          <w:rFonts w:hint="eastAsia"/>
        </w:rPr>
        <w:br w:type="page"/>
      </w:r>
    </w:p>
    <w:p>
      <w:pPr>
        <w:ind w:firstLine="3654" w:firstLineChars="1300"/>
        <w:rPr>
          <w:rFonts w:ascii="宋体" w:hAnsi="宋体"/>
          <w:color w:val="FF0000"/>
          <w:szCs w:val="21"/>
        </w:rPr>
      </w:pPr>
      <w:bookmarkStart w:id="1" w:name="_Hlk73564573"/>
      <w:r>
        <w:rPr>
          <w:rFonts w:hint="eastAsia" w:ascii="宋体" w:hAnsi="宋体" w:eastAsia="黑体"/>
          <w:b/>
          <w:bCs/>
          <w:color w:val="FF0000"/>
          <w:kern w:val="44"/>
          <w:sz w:val="28"/>
          <w:szCs w:val="44"/>
        </w:rPr>
        <w:t>警示条款</w:t>
      </w:r>
    </w:p>
    <w:p>
      <w:pPr>
        <w:ind w:firstLine="400" w:firstLineChars="200"/>
        <w:rPr>
          <w:rFonts w:ascii="宋体" w:hAnsi="宋体"/>
          <w:color w:val="FF0000"/>
          <w:sz w:val="20"/>
          <w:szCs w:val="20"/>
        </w:rPr>
      </w:pPr>
      <w:r>
        <w:rPr>
          <w:rFonts w:hint="eastAsia" w:ascii="宋体" w:hAnsi="宋体"/>
          <w:color w:val="FF0000"/>
          <w:sz w:val="20"/>
          <w:szCs w:val="20"/>
        </w:rPr>
        <w:t>一、</w:t>
      </w:r>
      <w:r>
        <w:rPr>
          <w:rFonts w:hint="eastAsia" w:ascii="宋体" w:hAnsi="宋体"/>
          <w:b/>
          <w:bCs/>
          <w:color w:val="FF0000"/>
          <w:sz w:val="20"/>
          <w:szCs w:val="20"/>
        </w:rPr>
        <w:t>《深圳经济特区政府采购条例》第五十七条</w:t>
      </w:r>
      <w:r>
        <w:rPr>
          <w:rFonts w:hint="eastAsia" w:ascii="宋体" w:hAnsi="宋体"/>
          <w:color w:val="FF0000"/>
          <w:sz w:val="20"/>
          <w:szCs w:val="20"/>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00" w:firstLineChars="200"/>
        <w:rPr>
          <w:rFonts w:ascii="宋体" w:hAnsi="宋体"/>
          <w:color w:val="FF0000"/>
          <w:sz w:val="20"/>
          <w:szCs w:val="20"/>
        </w:rPr>
      </w:pPr>
      <w:r>
        <w:rPr>
          <w:rFonts w:hint="eastAsia" w:ascii="宋体" w:hAnsi="宋体"/>
          <w:color w:val="FF0000"/>
          <w:sz w:val="20"/>
          <w:szCs w:val="20"/>
        </w:rPr>
        <w:t>（一）在采购活动中应当回避而未回避的；</w:t>
      </w:r>
    </w:p>
    <w:p>
      <w:pPr>
        <w:ind w:firstLine="400" w:firstLineChars="200"/>
        <w:rPr>
          <w:rFonts w:ascii="宋体" w:hAnsi="宋体"/>
          <w:color w:val="FF0000"/>
          <w:sz w:val="20"/>
          <w:szCs w:val="20"/>
        </w:rPr>
      </w:pPr>
      <w:r>
        <w:rPr>
          <w:rFonts w:hint="eastAsia" w:ascii="宋体" w:hAnsi="宋体"/>
          <w:color w:val="FF0000"/>
          <w:sz w:val="20"/>
          <w:szCs w:val="20"/>
        </w:rPr>
        <w:t>（二）未按本条例规定签订、履行采购合同，造成严重后果的；</w:t>
      </w:r>
    </w:p>
    <w:p>
      <w:pPr>
        <w:ind w:firstLine="400" w:firstLineChars="200"/>
        <w:rPr>
          <w:rFonts w:ascii="宋体" w:hAnsi="宋体"/>
          <w:color w:val="FF0000"/>
          <w:sz w:val="20"/>
          <w:szCs w:val="20"/>
        </w:rPr>
      </w:pPr>
      <w:r>
        <w:rPr>
          <w:rFonts w:hint="eastAsia" w:ascii="宋体" w:hAnsi="宋体"/>
          <w:color w:val="FF0000"/>
          <w:sz w:val="20"/>
          <w:szCs w:val="20"/>
        </w:rPr>
        <w:t>（三）隐瞒真实情况，提供虚假资料的；</w:t>
      </w:r>
    </w:p>
    <w:p>
      <w:pPr>
        <w:ind w:firstLine="400" w:firstLineChars="200"/>
        <w:rPr>
          <w:rFonts w:ascii="宋体" w:hAnsi="宋体"/>
          <w:color w:val="FF0000"/>
          <w:sz w:val="20"/>
          <w:szCs w:val="20"/>
        </w:rPr>
      </w:pPr>
      <w:r>
        <w:rPr>
          <w:rFonts w:hint="eastAsia" w:ascii="宋体" w:hAnsi="宋体"/>
          <w:color w:val="FF0000"/>
          <w:sz w:val="20"/>
          <w:szCs w:val="20"/>
        </w:rPr>
        <w:t>（四）以非法手段排斥其他供应商参与竞争的；</w:t>
      </w:r>
    </w:p>
    <w:p>
      <w:pPr>
        <w:ind w:firstLine="400" w:firstLineChars="200"/>
        <w:rPr>
          <w:rFonts w:ascii="宋体" w:hAnsi="宋体"/>
          <w:color w:val="FF0000"/>
          <w:sz w:val="20"/>
          <w:szCs w:val="20"/>
        </w:rPr>
      </w:pPr>
      <w:r>
        <w:rPr>
          <w:rFonts w:hint="eastAsia" w:ascii="宋体" w:hAnsi="宋体"/>
          <w:color w:val="FF0000"/>
          <w:sz w:val="20"/>
          <w:szCs w:val="20"/>
        </w:rPr>
        <w:t>（五）与其他采购参加人串通投标的；</w:t>
      </w:r>
    </w:p>
    <w:p>
      <w:pPr>
        <w:ind w:firstLine="400" w:firstLineChars="200"/>
        <w:rPr>
          <w:rFonts w:ascii="宋体" w:hAnsi="宋体"/>
          <w:color w:val="FF0000"/>
          <w:sz w:val="20"/>
          <w:szCs w:val="20"/>
        </w:rPr>
      </w:pPr>
      <w:r>
        <w:rPr>
          <w:rFonts w:hint="eastAsia" w:ascii="宋体" w:hAnsi="宋体"/>
          <w:color w:val="FF0000"/>
          <w:sz w:val="20"/>
          <w:szCs w:val="20"/>
        </w:rPr>
        <w:t>（六）恶意投诉的；</w:t>
      </w:r>
    </w:p>
    <w:p>
      <w:pPr>
        <w:ind w:firstLine="400" w:firstLineChars="200"/>
        <w:rPr>
          <w:rFonts w:ascii="宋体" w:hAnsi="宋体"/>
          <w:color w:val="FF0000"/>
          <w:sz w:val="20"/>
          <w:szCs w:val="20"/>
        </w:rPr>
      </w:pPr>
      <w:r>
        <w:rPr>
          <w:rFonts w:hint="eastAsia" w:ascii="宋体" w:hAnsi="宋体"/>
          <w:color w:val="FF0000"/>
          <w:sz w:val="20"/>
          <w:szCs w:val="20"/>
        </w:rPr>
        <w:t>（七）向采购项目相关人行贿或者提供其他不当利益的；</w:t>
      </w:r>
    </w:p>
    <w:p>
      <w:pPr>
        <w:ind w:firstLine="400" w:firstLineChars="200"/>
        <w:rPr>
          <w:rFonts w:ascii="宋体" w:hAnsi="宋体"/>
          <w:color w:val="FF0000"/>
          <w:sz w:val="20"/>
          <w:szCs w:val="20"/>
        </w:rPr>
      </w:pPr>
      <w:r>
        <w:rPr>
          <w:rFonts w:hint="eastAsia" w:ascii="宋体" w:hAnsi="宋体"/>
          <w:color w:val="FF0000"/>
          <w:sz w:val="20"/>
          <w:szCs w:val="20"/>
        </w:rPr>
        <w:t>（八）阻碍、抗拒主管部门监督检查的；</w:t>
      </w:r>
    </w:p>
    <w:p>
      <w:pPr>
        <w:ind w:firstLine="400" w:firstLineChars="200"/>
        <w:rPr>
          <w:rFonts w:ascii="宋体" w:hAnsi="宋体"/>
          <w:color w:val="FF0000"/>
          <w:sz w:val="20"/>
          <w:szCs w:val="20"/>
        </w:rPr>
      </w:pPr>
      <w:r>
        <w:rPr>
          <w:rFonts w:hint="eastAsia" w:ascii="宋体" w:hAnsi="宋体"/>
          <w:color w:val="FF0000"/>
          <w:sz w:val="20"/>
          <w:szCs w:val="20"/>
        </w:rPr>
        <w:t>（九）其他违反本条例规定的行为。</w:t>
      </w:r>
    </w:p>
    <w:p>
      <w:pPr>
        <w:ind w:firstLine="400" w:firstLineChars="200"/>
        <w:rPr>
          <w:rFonts w:ascii="宋体" w:hAnsi="宋体"/>
          <w:color w:val="FF0000"/>
          <w:sz w:val="20"/>
          <w:szCs w:val="20"/>
        </w:rPr>
      </w:pPr>
      <w:r>
        <w:rPr>
          <w:rFonts w:hint="eastAsia" w:ascii="宋体" w:hAnsi="宋体"/>
          <w:color w:val="FF0000"/>
          <w:sz w:val="20"/>
          <w:szCs w:val="20"/>
        </w:rPr>
        <w:t>二、</w:t>
      </w:r>
      <w:r>
        <w:rPr>
          <w:rFonts w:hint="eastAsia" w:ascii="宋体" w:hAnsi="宋体"/>
          <w:b/>
          <w:bCs/>
          <w:color w:val="FF0000"/>
          <w:sz w:val="20"/>
          <w:szCs w:val="20"/>
        </w:rPr>
        <w:t>《深圳经济特区政府采购条例实施细则》第七十六条</w:t>
      </w:r>
      <w:r>
        <w:rPr>
          <w:rFonts w:hint="eastAsia" w:ascii="宋体" w:hAnsi="宋体"/>
          <w:color w:val="FF0000"/>
          <w:sz w:val="20"/>
          <w:szCs w:val="20"/>
        </w:rPr>
        <w:t xml:space="preserve"> 供应商有下列行为之一的，由主管部门记入供应商诚信档案并作出以下处罚：</w:t>
      </w:r>
    </w:p>
    <w:p>
      <w:pPr>
        <w:ind w:firstLine="400" w:firstLineChars="200"/>
        <w:rPr>
          <w:rFonts w:ascii="宋体" w:hAnsi="宋体"/>
          <w:color w:val="FF0000"/>
          <w:sz w:val="20"/>
          <w:szCs w:val="20"/>
        </w:rPr>
      </w:pPr>
      <w:r>
        <w:rPr>
          <w:rFonts w:hint="eastAsia" w:ascii="宋体" w:hAnsi="宋体"/>
          <w:color w:val="FF0000"/>
          <w:sz w:val="20"/>
          <w:szCs w:val="20"/>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pPr>
        <w:ind w:firstLine="400" w:firstLineChars="200"/>
        <w:rPr>
          <w:rFonts w:ascii="宋体" w:hAnsi="宋体"/>
          <w:color w:val="FF0000"/>
          <w:sz w:val="20"/>
          <w:szCs w:val="20"/>
        </w:rPr>
      </w:pPr>
      <w:r>
        <w:rPr>
          <w:rFonts w:hint="eastAsia" w:ascii="宋体" w:hAnsi="宋体"/>
          <w:color w:val="FF0000"/>
          <w:sz w:val="20"/>
          <w:szCs w:val="20"/>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pPr>
        <w:ind w:firstLine="402" w:firstLineChars="200"/>
        <w:rPr>
          <w:rFonts w:ascii="宋体" w:hAnsi="宋体"/>
          <w:color w:val="FF0000"/>
          <w:sz w:val="20"/>
          <w:szCs w:val="20"/>
        </w:rPr>
      </w:pPr>
      <w:r>
        <w:rPr>
          <w:rFonts w:hint="eastAsia" w:ascii="宋体" w:hAnsi="宋体"/>
          <w:b/>
          <w:bCs/>
          <w:color w:val="FF0000"/>
          <w:sz w:val="20"/>
          <w:szCs w:val="20"/>
        </w:rPr>
        <w:t>三、《深圳经济特区政府采购条例实施细则》第七十七条 </w:t>
      </w:r>
      <w:r>
        <w:rPr>
          <w:rFonts w:hint="eastAsia" w:ascii="宋体" w:hAnsi="宋体"/>
          <w:color w:val="FF0000"/>
          <w:sz w:val="20"/>
          <w:szCs w:val="20"/>
        </w:rPr>
        <w:t>供应商有下列行为之一的，属于情节严重，由市场监管部门依法吊销其营业执照，主管部门取消其参与本市政府采购的资格，并作出以下处罚：</w:t>
      </w:r>
    </w:p>
    <w:p>
      <w:pPr>
        <w:ind w:firstLine="400" w:firstLineChars="200"/>
        <w:rPr>
          <w:rFonts w:ascii="宋体" w:hAnsi="宋体"/>
          <w:color w:val="FF0000"/>
          <w:sz w:val="20"/>
          <w:szCs w:val="20"/>
        </w:rPr>
      </w:pPr>
      <w:r>
        <w:rPr>
          <w:rFonts w:hint="eastAsia" w:ascii="宋体" w:hAnsi="宋体"/>
          <w:color w:val="FF0000"/>
          <w:sz w:val="20"/>
          <w:szCs w:val="20"/>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pPr>
        <w:ind w:firstLine="400" w:firstLineChars="200"/>
        <w:rPr>
          <w:rFonts w:ascii="宋体" w:hAnsi="宋体"/>
          <w:color w:val="FF0000"/>
          <w:sz w:val="20"/>
          <w:szCs w:val="20"/>
        </w:rPr>
      </w:pPr>
      <w:r>
        <w:rPr>
          <w:rFonts w:hint="eastAsia" w:ascii="宋体" w:hAnsi="宋体"/>
          <w:color w:val="FF0000"/>
          <w:sz w:val="20"/>
          <w:szCs w:val="20"/>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pPr>
        <w:ind w:firstLine="402" w:firstLineChars="200"/>
        <w:rPr>
          <w:rFonts w:ascii="宋体" w:hAnsi="宋体"/>
          <w:color w:val="FF0000"/>
          <w:sz w:val="20"/>
          <w:szCs w:val="20"/>
        </w:rPr>
      </w:pPr>
      <w:r>
        <w:rPr>
          <w:rFonts w:hint="eastAsia" w:ascii="宋体" w:hAnsi="宋体"/>
          <w:b/>
          <w:bCs/>
          <w:color w:val="FF0000"/>
          <w:sz w:val="20"/>
          <w:szCs w:val="20"/>
        </w:rPr>
        <w:t>四、《深圳经济特区政府采购条例实施细则》第七十九条 </w:t>
      </w:r>
      <w:r>
        <w:rPr>
          <w:rFonts w:hint="eastAsia" w:ascii="宋体" w:hAnsi="宋体"/>
          <w:color w:val="FF0000"/>
          <w:sz w:val="20"/>
          <w:szCs w:val="20"/>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02" w:firstLineChars="200"/>
        <w:rPr>
          <w:rFonts w:ascii="宋体" w:hAnsi="宋体"/>
          <w:color w:val="FF0000"/>
          <w:sz w:val="20"/>
          <w:szCs w:val="20"/>
        </w:rPr>
      </w:pPr>
      <w:r>
        <w:rPr>
          <w:rFonts w:hint="eastAsia" w:ascii="宋体" w:hAnsi="宋体"/>
          <w:b/>
          <w:bCs/>
          <w:color w:val="FF0000"/>
          <w:sz w:val="20"/>
          <w:szCs w:val="20"/>
        </w:rPr>
        <w:t>五、《深圳经济特区政府采购条例实施细则》第八十一条 </w:t>
      </w:r>
      <w:r>
        <w:rPr>
          <w:rFonts w:hint="eastAsia" w:ascii="宋体" w:hAnsi="宋体"/>
          <w:color w:val="FF0000"/>
          <w:sz w:val="20"/>
          <w:szCs w:val="20"/>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00" w:firstLineChars="200"/>
        <w:rPr>
          <w:rFonts w:ascii="宋体" w:hAnsi="宋体"/>
          <w:color w:val="FF0000"/>
          <w:sz w:val="20"/>
          <w:szCs w:val="20"/>
        </w:rPr>
      </w:pPr>
      <w:r>
        <w:rPr>
          <w:rFonts w:hint="eastAsia" w:ascii="宋体" w:hAnsi="宋体"/>
          <w:color w:val="FF0000"/>
          <w:sz w:val="20"/>
          <w:szCs w:val="20"/>
        </w:rPr>
        <w:t>投标供应商不能提供项目负责人或者主要技术人员的劳动合同、社会保险等劳动关系证明材料的，视为存在前款第（三）项规定的情形。</w:t>
      </w:r>
    </w:p>
    <w:bookmarkEnd w:id="1"/>
    <w:p>
      <w:pPr>
        <w:widowControl/>
        <w:jc w:val="left"/>
        <w:rPr>
          <w:rFonts w:ascii="宋体" w:hAnsi="宋体"/>
          <w:b/>
          <w:kern w:val="0"/>
          <w:sz w:val="28"/>
          <w:szCs w:val="28"/>
        </w:rPr>
      </w:pPr>
      <w:r>
        <w:br w:type="page"/>
      </w:r>
    </w:p>
    <w:p>
      <w:pPr>
        <w:pStyle w:val="6"/>
        <w:jc w:val="center"/>
        <w:rPr>
          <w:rFonts w:ascii="宋体" w:hAnsi="宋体" w:eastAsia="宋体"/>
          <w:szCs w:val="32"/>
        </w:rPr>
      </w:pPr>
      <w:r>
        <w:rPr>
          <w:rFonts w:hint="eastAsia" w:ascii="宋体" w:hAnsi="宋体" w:eastAsia="宋体"/>
          <w:szCs w:val="32"/>
        </w:rPr>
        <w:t>其它关键信息</w:t>
      </w:r>
    </w:p>
    <w:p>
      <w:pPr>
        <w:ind w:firstLine="3268" w:firstLineChars="1550"/>
        <w:rPr>
          <w:b/>
        </w:rPr>
      </w:pPr>
      <w:r>
        <w:rPr>
          <w:rFonts w:hint="eastAsia"/>
          <w:b/>
        </w:rPr>
        <w:t>一、评标定标信息</w:t>
      </w:r>
    </w:p>
    <w:p>
      <w:pPr>
        <w:jc w:val="center"/>
      </w:pPr>
      <w:r>
        <w:rPr>
          <w:rFonts w:hint="eastAsia"/>
          <w:b/>
        </w:rPr>
        <w:t>（一）非评定分离项目</w:t>
      </w:r>
    </w:p>
    <w:tbl>
      <w:tblPr>
        <w:tblStyle w:val="46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jc w:val="center"/>
              <w:rPr>
                <w:rFonts w:ascii="等线" w:hAnsi="等线" w:eastAsia="等线"/>
                <w:kern w:val="0"/>
                <w:sz w:val="20"/>
              </w:rPr>
            </w:pPr>
            <w:r>
              <w:rPr>
                <w:rFonts w:hint="eastAsia" w:ascii="等线" w:hAnsi="等线" w:eastAsia="等线"/>
                <w:kern w:val="0"/>
                <w:sz w:val="20"/>
              </w:rPr>
              <w:t>评标方法</w:t>
            </w:r>
          </w:p>
        </w:tc>
        <w:tc>
          <w:tcPr>
            <w:tcW w:w="4265" w:type="dxa"/>
          </w:tcPr>
          <w:p>
            <w:pPr>
              <w:jc w:val="center"/>
              <w:rPr>
                <w:rFonts w:ascii="等线" w:hAnsi="等线" w:eastAsia="等线"/>
                <w:kern w:val="0"/>
                <w:sz w:val="20"/>
              </w:rPr>
            </w:pPr>
            <w:r>
              <w:rPr>
                <w:rFonts w:hint="eastAsia" w:ascii="等线" w:hAnsi="等线" w:eastAsia="等线"/>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jc w:val="center"/>
              <w:rPr>
                <w:rFonts w:ascii="等线" w:hAnsi="等线" w:eastAsia="等线"/>
                <w:kern w:val="0"/>
                <w:sz w:val="20"/>
              </w:rPr>
            </w:pPr>
            <w:r>
              <w:rPr>
                <w:rFonts w:hint="eastAsia" w:ascii="等线" w:hAnsi="等线" w:eastAsia="等线"/>
                <w:kern w:val="0"/>
                <w:sz w:val="20"/>
              </w:rPr>
              <w:t>候选中标供应商家数</w:t>
            </w:r>
          </w:p>
        </w:tc>
        <w:tc>
          <w:tcPr>
            <w:tcW w:w="4265" w:type="dxa"/>
          </w:tcPr>
          <w:p>
            <w:pPr>
              <w:jc w:val="center"/>
              <w:rPr>
                <w:rFonts w:ascii="等线" w:hAnsi="等线" w:eastAsia="等线"/>
                <w:kern w:val="0"/>
                <w:sz w:val="20"/>
              </w:rPr>
            </w:pPr>
            <w:r>
              <w:rPr>
                <w:rFonts w:ascii="等线" w:hAnsi="等线" w:eastAsia="等线"/>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pPr>
              <w:jc w:val="center"/>
              <w:rPr>
                <w:rFonts w:ascii="等线" w:hAnsi="等线" w:eastAsia="等线"/>
                <w:kern w:val="0"/>
                <w:sz w:val="20"/>
              </w:rPr>
            </w:pPr>
            <w:r>
              <w:rPr>
                <w:rFonts w:hint="eastAsia" w:ascii="等线" w:hAnsi="等线" w:eastAsia="等线"/>
                <w:kern w:val="0"/>
                <w:sz w:val="20"/>
              </w:rPr>
              <w:t>中标供应商家数</w:t>
            </w:r>
          </w:p>
        </w:tc>
        <w:tc>
          <w:tcPr>
            <w:tcW w:w="4265" w:type="dxa"/>
          </w:tcPr>
          <w:p>
            <w:pPr>
              <w:jc w:val="center"/>
              <w:rPr>
                <w:rFonts w:ascii="等线" w:hAnsi="等线" w:eastAsia="等线"/>
                <w:kern w:val="0"/>
                <w:sz w:val="20"/>
              </w:rPr>
            </w:pPr>
            <w:r>
              <w:rPr>
                <w:rFonts w:ascii="等线" w:hAnsi="等线" w:eastAsia="等线"/>
              </w:rPr>
              <w:t>1</w:t>
            </w:r>
          </w:p>
        </w:tc>
      </w:tr>
    </w:tbl>
    <w:p/>
    <w:p/>
    <w:p>
      <w:pPr>
        <w:jc w:val="center"/>
        <w:rPr>
          <w:b/>
        </w:rPr>
      </w:pPr>
      <w:r>
        <w:rPr>
          <w:rFonts w:hint="eastAsia"/>
          <w:b/>
        </w:rPr>
        <w:t>二、关于享受优惠政策的主体及价格扣除比例</w:t>
      </w:r>
    </w:p>
    <w:p>
      <w:pPr>
        <w:ind w:firstLine="420" w:firstLineChars="200"/>
      </w:pPr>
      <w:r>
        <w:rPr>
          <w:rFonts w:hint="eastAsia"/>
        </w:rPr>
        <w:t>根据《政府采购促进中小企业发展管理办法》（财库﹝</w:t>
      </w:r>
      <w:r>
        <w:t>2020</w:t>
      </w:r>
      <w:r>
        <w:rPr>
          <w:rFonts w:hint="eastAsia"/>
        </w:rPr>
        <w:t>﹞</w:t>
      </w:r>
      <w:r>
        <w:t xml:space="preserve">46 </w:t>
      </w:r>
      <w:r>
        <w:rPr>
          <w:rFonts w:hint="eastAsia"/>
        </w:rPr>
        <w:t>号），供应商提供的货物由中小企业制造，即货物由中小企业生产且使用该中小企业商号或者注册商标的，可享受中小企业扶持政策。</w:t>
      </w:r>
      <w:r>
        <w:rPr>
          <w:rFonts w:hint="eastAsia"/>
          <w:b/>
          <w:bCs/>
          <w:color w:val="FF0000"/>
        </w:rPr>
        <w:t>供应商提供的货物既有中小企业制造货物，也有大型企业制造货物的，不享受《政府采购促进中小企业发展管理办法》（财库﹝</w:t>
      </w:r>
      <w:r>
        <w:rPr>
          <w:b/>
          <w:bCs/>
          <w:color w:val="FF0000"/>
        </w:rPr>
        <w:t>2020</w:t>
      </w:r>
      <w:r>
        <w:rPr>
          <w:rFonts w:hint="eastAsia"/>
          <w:b/>
          <w:bCs/>
          <w:color w:val="FF0000"/>
        </w:rPr>
        <w:t>﹞</w:t>
      </w:r>
      <w:r>
        <w:rPr>
          <w:b/>
          <w:bCs/>
          <w:color w:val="FF0000"/>
        </w:rPr>
        <w:t xml:space="preserve">46 </w:t>
      </w:r>
      <w:r>
        <w:rPr>
          <w:rFonts w:hint="eastAsia"/>
          <w:b/>
          <w:bCs/>
          <w:color w:val="FF0000"/>
        </w:rPr>
        <w:t>号）规定的中小企业扶持政策</w:t>
      </w:r>
      <w:r>
        <w:rPr>
          <w:rFonts w:hint="eastAsia"/>
        </w:rPr>
        <w:t>。</w:t>
      </w:r>
    </w:p>
    <w:p>
      <w:pPr>
        <w:numPr>
          <w:ilvl w:val="0"/>
          <w:numId w:val="8"/>
        </w:numPr>
        <w:ind w:firstLine="420" w:firstLineChars="200"/>
      </w:pPr>
      <w:r>
        <w:rPr>
          <w:rFonts w:hint="eastAsia"/>
        </w:rPr>
        <w:t>供应商提供的货物全部为小微企业制造的，可享受对其投标报价</w:t>
      </w:r>
      <w:r>
        <w:rPr>
          <w:u w:val="single"/>
        </w:rPr>
        <w:t xml:space="preserve"> </w:t>
      </w:r>
      <w:r>
        <w:rPr>
          <w:rFonts w:hint="eastAsia"/>
          <w:u w:val="single"/>
        </w:rPr>
        <w:t>10</w:t>
      </w:r>
      <w:r>
        <w:rPr>
          <w:u w:val="single"/>
        </w:rPr>
        <w:t xml:space="preserve">  </w:t>
      </w:r>
      <w:r>
        <w:t>%</w:t>
      </w:r>
      <w:r>
        <w:rPr>
          <w:rFonts w:hint="eastAsia"/>
        </w:rPr>
        <w:t>的价格评审优惠，用扣除后的价格参加评审。</w:t>
      </w:r>
    </w:p>
    <w:p>
      <w:pPr>
        <w:numPr>
          <w:ilvl w:val="0"/>
          <w:numId w:val="8"/>
        </w:numPr>
        <w:ind w:firstLine="420" w:firstLineChars="200"/>
      </w:pPr>
      <w:r>
        <w:rPr>
          <w:rFonts w:hint="eastAsia"/>
        </w:rPr>
        <w:t>投标人组成联合体投标的，如须享受以上价格扣除政策，联合体各方须均为小微企业。联合协议中约定，小型、微型企业和监狱企业的协议合同金额占到联合体协议合同总金额30%以上且不足100%的，可给予联合体__/__%</w:t>
      </w:r>
      <w:r>
        <w:t xml:space="preserve"> </w:t>
      </w:r>
      <w:r>
        <w:rPr>
          <w:rFonts w:hint="eastAsia"/>
        </w:rPr>
        <w:t>的价格扣除。</w:t>
      </w:r>
    </w:p>
    <w:p>
      <w:pPr>
        <w:ind w:firstLine="420" w:firstLineChars="200"/>
      </w:pPr>
      <w:r>
        <w:rPr>
          <w:rFonts w:hint="eastAsia"/>
        </w:rPr>
        <w:t>（</w:t>
      </w:r>
      <w:r>
        <w:t>3</w:t>
      </w:r>
      <w:r>
        <w:rPr>
          <w:rFonts w:hint="eastAsia"/>
        </w:rPr>
        <w:t>）监狱企业、残疾人福利性单位视为小微企业，享受扶持政策。联合体各方均为小型、微型企业和监狱企业的，联合体视同为小型、微型企业和监狱企业。</w:t>
      </w:r>
    </w:p>
    <w:p>
      <w:pPr>
        <w:ind w:firstLine="420" w:firstLineChars="200"/>
      </w:pPr>
      <w:r>
        <w:rPr>
          <w:rFonts w:hint="eastAsia"/>
        </w:rPr>
        <w:t>（</w:t>
      </w:r>
      <w:r>
        <w:t>4</w:t>
      </w:r>
      <w:r>
        <w:rPr>
          <w:rFonts w:hint="eastAsia"/>
        </w:rPr>
        <w:t>）享受中小企业扶持政策的供应商应如实填写《中小企业声明函》、《残疾人福利性单位声明函》、《监狱企业声明函》等承诺性质的资料（声明函样式见本招标文件第一册第三章“投标文件格式、附件”中“四、投标人情况介绍”章节提供的格式）；监狱企业或者代理提供监狱企业货物的供应商如须享受中小企业扶持政策的，除上述资料外，还须提供省级以上监狱管理局、戒毒管理局（含新疆生产建设兵团）出具的监狱企业证明文件。</w:t>
      </w:r>
    </w:p>
    <w:p>
      <w:pPr>
        <w:ind w:firstLine="420" w:firstLineChars="200"/>
      </w:pPr>
      <w:r>
        <w:rPr>
          <w:rFonts w:hint="eastAsia"/>
        </w:rPr>
        <w:t>（</w:t>
      </w:r>
      <w:r>
        <w:t>5</w:t>
      </w:r>
      <w:r>
        <w:rPr>
          <w:rFonts w:hint="eastAsia"/>
        </w:rPr>
        <w:t>）供应商不重复享受多项价格评审优惠政策。</w:t>
      </w:r>
    </w:p>
    <w:p>
      <w:pPr>
        <w:ind w:firstLine="422" w:firstLineChars="200"/>
      </w:pPr>
      <w:r>
        <w:rPr>
          <w:rFonts w:hint="eastAsia"/>
          <w:b/>
          <w:bCs/>
          <w:color w:val="FF0000"/>
        </w:rPr>
        <w:t>相关中小企业扶持政策具体以</w:t>
      </w:r>
      <w:r>
        <w:rPr>
          <w:rFonts w:hint="eastAsia" w:ascii="宋体" w:hAnsi="宋体"/>
          <w:b/>
          <w:bCs/>
          <w:color w:val="FF0000"/>
          <w:szCs w:val="21"/>
        </w:rPr>
        <w:t>《政府采购促进中小企业发展管理办法》（财库〔2020〕46号）等最新规定为准。</w:t>
      </w:r>
    </w:p>
    <w:p>
      <w:pPr>
        <w:jc w:val="center"/>
        <w:rPr>
          <w:b/>
          <w:strike/>
        </w:rPr>
      </w:pPr>
    </w:p>
    <w:p>
      <w:pPr>
        <w:jc w:val="center"/>
        <w:rPr>
          <w:b/>
        </w:rPr>
      </w:pPr>
      <w:r>
        <w:rPr>
          <w:rFonts w:hint="eastAsia"/>
          <w:b/>
        </w:rPr>
        <w:t>三、其他说明</w:t>
      </w:r>
    </w:p>
    <w:p>
      <w:pPr>
        <w:ind w:firstLine="435"/>
        <w:jc w:val="left"/>
      </w:pPr>
      <w:r>
        <w:rPr>
          <w:rFonts w:hint="eastAsia"/>
        </w:rPr>
        <w:t>根据《深圳市财政局 深圳市政府采购中心关于印发&lt;深圳市政府采购落实支持企业复工复产政策的实施细则&gt;的通知》（深府购〔</w:t>
      </w:r>
      <w:r>
        <w:t>20</w:t>
      </w:r>
      <w:r>
        <w:rPr>
          <w:rFonts w:hint="eastAsia"/>
        </w:rPr>
        <w:t>20〕24号）的规定，1.鼓励采购人积极运用公共信用信息，明确对信用记录良好的投标人（特别是中小微企业）免收履约保证金，确需收取履约保证金的，列明通过保函等非现金方式收取；2.在采购合同中明确对上述企业加大首付款或预付款比例，具体由采购人根据项目实际情况确定。</w:t>
      </w:r>
    </w:p>
    <w:p>
      <w:pPr>
        <w:ind w:firstLine="435"/>
        <w:jc w:val="left"/>
      </w:pPr>
      <w:r>
        <w:rPr>
          <w:rFonts w:hint="eastAsia"/>
        </w:rPr>
        <w:t>采购人拟采购的产品属于《关于调整优化节能产品环境标志产品政府采购执行机制的通知》（财库〔2019〕9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提出相关绿色采购要求，促进绿色产品推广应用。</w:t>
      </w:r>
    </w:p>
    <w:p>
      <w:pPr>
        <w:ind w:firstLine="435"/>
        <w:jc w:val="left"/>
      </w:pPr>
      <w:r>
        <w:rPr>
          <w:rFonts w:hint="eastAsia"/>
        </w:rPr>
        <w:t>招标文件解释权归政府集中采购机构，招标文件涉及到的采购需求部分等内容由政府集中采购机构责成采购单位解释。</w:t>
      </w:r>
      <w:r>
        <w:rPr>
          <w:rFonts w:hint="eastAsia"/>
          <w:b/>
          <w:color w:val="FF0000"/>
        </w:rPr>
        <w:t>采购单位对采购需求的完整性和真实性负责。</w:t>
      </w:r>
    </w:p>
    <w:p/>
    <w:p>
      <w:pPr>
        <w:keepNext/>
        <w:keepLines/>
        <w:spacing w:before="340" w:after="330" w:line="360" w:lineRule="auto"/>
        <w:jc w:val="center"/>
        <w:outlineLvl w:val="0"/>
        <w:rPr>
          <w:rFonts w:ascii="宋体" w:hAnsi="宋体" w:eastAsia="黑体"/>
          <w:b/>
          <w:bCs/>
          <w:kern w:val="44"/>
          <w:sz w:val="28"/>
          <w:szCs w:val="44"/>
        </w:rPr>
      </w:pPr>
      <w:bookmarkStart w:id="2" w:name="_Hlk72218009"/>
      <w:r>
        <w:rPr>
          <w:rFonts w:hint="eastAsia" w:ascii="宋体" w:hAnsi="宋体" w:eastAsia="黑体"/>
          <w:b/>
          <w:bCs/>
          <w:kern w:val="44"/>
          <w:sz w:val="28"/>
          <w:szCs w:val="44"/>
        </w:rPr>
        <w:t>目   录</w:t>
      </w:r>
    </w:p>
    <w:p>
      <w:pPr>
        <w:outlineLvl w:val="0"/>
        <w:rPr>
          <w:b/>
          <w:sz w:val="24"/>
        </w:rPr>
      </w:pPr>
      <w:r>
        <w:rPr>
          <w:rFonts w:hint="eastAsia"/>
          <w:b/>
          <w:sz w:val="24"/>
        </w:rPr>
        <w:t>第一册  专用条款</w:t>
      </w:r>
    </w:p>
    <w:p>
      <w:pPr>
        <w:rPr>
          <w:sz w:val="24"/>
        </w:rPr>
      </w:pPr>
      <w:r>
        <w:rPr>
          <w:rFonts w:hint="eastAsia"/>
          <w:sz w:val="24"/>
        </w:rPr>
        <w:t xml:space="preserve">          关键信息</w:t>
      </w:r>
    </w:p>
    <w:p>
      <w:pPr>
        <w:ind w:left="630" w:leftChars="300" w:firstLine="630" w:firstLineChars="300"/>
        <w:outlineLvl w:val="0"/>
        <w:rPr>
          <w:rFonts w:ascii="宋体" w:hAnsi="宋体"/>
          <w:szCs w:val="21"/>
        </w:rPr>
      </w:pPr>
      <w:r>
        <w:rPr>
          <w:rFonts w:hint="eastAsia" w:ascii="宋体" w:hAnsi="宋体"/>
          <w:szCs w:val="21"/>
        </w:rPr>
        <w:t>第一章  招标公告</w:t>
      </w:r>
    </w:p>
    <w:p>
      <w:pPr>
        <w:ind w:left="630" w:leftChars="300" w:firstLine="630" w:firstLineChars="300"/>
        <w:outlineLvl w:val="0"/>
        <w:rPr>
          <w:rFonts w:ascii="宋体" w:hAnsi="宋体"/>
          <w:szCs w:val="21"/>
        </w:rPr>
      </w:pPr>
      <w:r>
        <w:rPr>
          <w:rFonts w:hint="eastAsia" w:ascii="宋体" w:hAnsi="宋体"/>
          <w:szCs w:val="21"/>
        </w:rPr>
        <w:t>第二章  招标项目需求</w:t>
      </w:r>
    </w:p>
    <w:p>
      <w:pPr>
        <w:ind w:left="630" w:leftChars="300" w:firstLine="630" w:firstLineChars="300"/>
        <w:outlineLvl w:val="0"/>
        <w:rPr>
          <w:rFonts w:ascii="宋体" w:hAnsi="宋体"/>
          <w:szCs w:val="21"/>
        </w:rPr>
      </w:pPr>
      <w:r>
        <w:rPr>
          <w:rFonts w:hint="eastAsia" w:ascii="宋体" w:hAnsi="宋体"/>
          <w:szCs w:val="21"/>
        </w:rPr>
        <w:t>第三章  投标文件格式、附件</w:t>
      </w:r>
    </w:p>
    <w:p>
      <w:pPr>
        <w:ind w:left="630" w:leftChars="300" w:firstLine="630" w:firstLineChars="300"/>
        <w:outlineLvl w:val="0"/>
        <w:rPr>
          <w:rFonts w:ascii="宋体" w:hAnsi="宋体"/>
          <w:szCs w:val="21"/>
        </w:rPr>
      </w:pPr>
      <w:r>
        <w:rPr>
          <w:rFonts w:hint="eastAsia" w:ascii="宋体" w:hAnsi="宋体"/>
          <w:szCs w:val="21"/>
        </w:rPr>
        <w:t>第四章  合同条款及格式</w:t>
      </w:r>
    </w:p>
    <w:p>
      <w:pPr>
        <w:rPr>
          <w:b/>
          <w:sz w:val="24"/>
        </w:rPr>
      </w:pPr>
    </w:p>
    <w:p>
      <w:pPr>
        <w:outlineLvl w:val="0"/>
        <w:rPr>
          <w:b/>
          <w:sz w:val="24"/>
        </w:rPr>
      </w:pPr>
      <w:r>
        <w:rPr>
          <w:rFonts w:hint="eastAsia"/>
          <w:b/>
          <w:sz w:val="24"/>
        </w:rPr>
        <w:t>第二册  通用条款</w:t>
      </w:r>
    </w:p>
    <w:p>
      <w:pPr>
        <w:ind w:left="630" w:leftChars="300" w:firstLine="411" w:firstLineChars="196"/>
        <w:outlineLvl w:val="0"/>
        <w:rPr>
          <w:rFonts w:ascii="宋体" w:hAnsi="宋体"/>
          <w:szCs w:val="21"/>
        </w:rPr>
      </w:pPr>
      <w:r>
        <w:rPr>
          <w:rFonts w:hint="eastAsia" w:ascii="宋体" w:hAnsi="宋体"/>
          <w:szCs w:val="21"/>
        </w:rPr>
        <w:t>第一章  总则</w:t>
      </w:r>
    </w:p>
    <w:p>
      <w:pPr>
        <w:ind w:left="630" w:leftChars="300" w:firstLine="411" w:firstLineChars="196"/>
        <w:outlineLvl w:val="0"/>
        <w:rPr>
          <w:rFonts w:ascii="宋体" w:hAnsi="宋体"/>
          <w:szCs w:val="21"/>
        </w:rPr>
      </w:pPr>
      <w:r>
        <w:rPr>
          <w:rFonts w:hint="eastAsia" w:ascii="宋体" w:hAnsi="宋体"/>
          <w:szCs w:val="21"/>
        </w:rPr>
        <w:t>第二章  招标文件</w:t>
      </w:r>
    </w:p>
    <w:p>
      <w:pPr>
        <w:ind w:left="630" w:leftChars="300" w:firstLine="411" w:firstLineChars="196"/>
        <w:outlineLvl w:val="0"/>
        <w:rPr>
          <w:rFonts w:ascii="宋体" w:hAnsi="宋体"/>
          <w:szCs w:val="21"/>
        </w:rPr>
      </w:pPr>
      <w:r>
        <w:rPr>
          <w:rFonts w:hint="eastAsia" w:ascii="宋体" w:hAnsi="宋体"/>
          <w:szCs w:val="21"/>
        </w:rPr>
        <w:t>第三章  投标文件的编制</w:t>
      </w:r>
    </w:p>
    <w:p>
      <w:pPr>
        <w:ind w:left="630" w:leftChars="300" w:firstLine="411" w:firstLineChars="196"/>
        <w:outlineLvl w:val="0"/>
        <w:rPr>
          <w:rFonts w:ascii="宋体" w:hAnsi="宋体"/>
          <w:szCs w:val="21"/>
        </w:rPr>
      </w:pPr>
      <w:r>
        <w:rPr>
          <w:rFonts w:hint="eastAsia" w:ascii="宋体" w:hAnsi="宋体"/>
          <w:szCs w:val="21"/>
        </w:rPr>
        <w:t>第四章  投标文件的递交</w:t>
      </w:r>
    </w:p>
    <w:p>
      <w:pPr>
        <w:ind w:left="630" w:leftChars="300" w:firstLine="411" w:firstLineChars="196"/>
        <w:outlineLvl w:val="0"/>
        <w:rPr>
          <w:rFonts w:ascii="宋体" w:hAnsi="宋体"/>
          <w:szCs w:val="21"/>
        </w:rPr>
      </w:pPr>
      <w:r>
        <w:rPr>
          <w:rFonts w:hint="eastAsia" w:ascii="宋体" w:hAnsi="宋体"/>
          <w:szCs w:val="21"/>
        </w:rPr>
        <w:t>第五章  开标</w:t>
      </w:r>
    </w:p>
    <w:p>
      <w:pPr>
        <w:ind w:left="630" w:leftChars="300" w:firstLine="411" w:firstLineChars="196"/>
        <w:outlineLvl w:val="0"/>
        <w:rPr>
          <w:rFonts w:ascii="宋体" w:hAnsi="宋体"/>
          <w:szCs w:val="21"/>
        </w:rPr>
      </w:pPr>
      <w:r>
        <w:rPr>
          <w:rFonts w:hint="eastAsia" w:ascii="宋体" w:hAnsi="宋体"/>
          <w:szCs w:val="21"/>
        </w:rPr>
        <w:t>第六章  评审要求</w:t>
      </w:r>
    </w:p>
    <w:p>
      <w:pPr>
        <w:ind w:left="630" w:leftChars="300" w:firstLine="411" w:firstLineChars="196"/>
        <w:outlineLvl w:val="0"/>
        <w:rPr>
          <w:rFonts w:ascii="宋体" w:hAnsi="宋体"/>
          <w:szCs w:val="21"/>
        </w:rPr>
      </w:pPr>
      <w:r>
        <w:rPr>
          <w:rFonts w:hint="eastAsia" w:ascii="宋体" w:hAnsi="宋体"/>
          <w:szCs w:val="21"/>
        </w:rPr>
        <w:t>第七章  评审程序及评审方法</w:t>
      </w:r>
    </w:p>
    <w:p>
      <w:pPr>
        <w:ind w:left="630" w:leftChars="300" w:firstLine="411" w:firstLineChars="196"/>
        <w:outlineLvl w:val="0"/>
        <w:rPr>
          <w:rFonts w:ascii="宋体" w:hAnsi="宋体"/>
          <w:szCs w:val="21"/>
        </w:rPr>
      </w:pPr>
      <w:r>
        <w:rPr>
          <w:rFonts w:hint="eastAsia" w:ascii="宋体" w:hAnsi="宋体"/>
          <w:szCs w:val="21"/>
        </w:rPr>
        <w:t>第八章  定标及公示</w:t>
      </w:r>
    </w:p>
    <w:p>
      <w:pPr>
        <w:ind w:left="630" w:leftChars="300" w:firstLine="411" w:firstLineChars="196"/>
        <w:outlineLvl w:val="0"/>
        <w:rPr>
          <w:rFonts w:ascii="宋体" w:hAnsi="宋体"/>
          <w:szCs w:val="21"/>
        </w:rPr>
      </w:pPr>
      <w:r>
        <w:rPr>
          <w:rFonts w:hint="eastAsia" w:ascii="宋体" w:hAnsi="宋体"/>
          <w:szCs w:val="21"/>
        </w:rPr>
        <w:t>第九章  公开招标失败的后续处理</w:t>
      </w:r>
    </w:p>
    <w:p>
      <w:pPr>
        <w:ind w:left="630" w:leftChars="300" w:firstLine="411" w:firstLineChars="196"/>
        <w:outlineLvl w:val="0"/>
        <w:rPr>
          <w:rFonts w:ascii="宋体" w:hAnsi="宋体"/>
          <w:szCs w:val="21"/>
        </w:rPr>
      </w:pPr>
      <w:r>
        <w:rPr>
          <w:rFonts w:hint="eastAsia" w:ascii="宋体" w:hAnsi="宋体"/>
          <w:szCs w:val="21"/>
        </w:rPr>
        <w:t>第十章  合同的授予与备案</w:t>
      </w:r>
    </w:p>
    <w:p>
      <w:pPr>
        <w:ind w:left="630" w:leftChars="300" w:firstLine="411" w:firstLineChars="196"/>
        <w:outlineLvl w:val="0"/>
        <w:rPr>
          <w:rFonts w:ascii="宋体" w:hAnsi="宋体"/>
          <w:szCs w:val="21"/>
        </w:rPr>
      </w:pPr>
      <w:r>
        <w:rPr>
          <w:rFonts w:hint="eastAsia" w:ascii="宋体" w:hAnsi="宋体"/>
          <w:szCs w:val="21"/>
        </w:rPr>
        <w:t>第十一章  质疑处理</w:t>
      </w:r>
    </w:p>
    <w:bookmarkEnd w:id="2"/>
    <w:p>
      <w:pPr>
        <w:ind w:left="630" w:leftChars="300" w:firstLine="630" w:firstLineChars="300"/>
        <w:rPr>
          <w:rFonts w:ascii="宋体" w:hAnsi="宋体"/>
          <w:szCs w:val="21"/>
        </w:rPr>
      </w:pPr>
    </w:p>
    <w:p>
      <w:pPr>
        <w:rPr>
          <w:sz w:val="24"/>
        </w:rPr>
      </w:pPr>
    </w:p>
    <w:p>
      <w:pPr>
        <w:rPr>
          <w:b/>
          <w:color w:val="FF0000"/>
        </w:rPr>
      </w:pPr>
      <w:r>
        <w:rPr>
          <w:rFonts w:hint="eastAsia"/>
          <w:b/>
          <w:color w:val="FF0000"/>
        </w:rPr>
        <w:t>备注：</w:t>
      </w:r>
    </w:p>
    <w:p>
      <w:pPr>
        <w:ind w:firstLine="420" w:firstLineChars="200"/>
        <w:rPr>
          <w:b/>
          <w:color w:val="FF0000"/>
        </w:rPr>
      </w:pPr>
      <w:r>
        <w:rPr>
          <w:rFonts w:hint="eastAsia" w:ascii="宋体" w:hAnsi="宋体"/>
          <w:color w:val="FF0000"/>
          <w:szCs w:val="21"/>
        </w:rPr>
        <w:t>1.本招标文件分为第一册“专用条款”和第二册“通用条款”。</w:t>
      </w:r>
    </w:p>
    <w:p>
      <w:pPr>
        <w:spacing w:line="360" w:lineRule="auto"/>
        <w:ind w:firstLine="420" w:firstLineChars="200"/>
        <w:jc w:val="left"/>
        <w:rPr>
          <w:rFonts w:ascii="宋体" w:hAnsi="宋体"/>
          <w:color w:val="FF0000"/>
          <w:szCs w:val="21"/>
        </w:rPr>
      </w:pPr>
      <w:r>
        <w:rPr>
          <w:rFonts w:hint="eastAsia" w:ascii="宋体" w:hAnsi="宋体"/>
          <w:color w:val="FF0000"/>
          <w:szCs w:val="21"/>
        </w:rPr>
        <w:t>2.“专用条款”是对本次采购项目的具体要求，包含招标公告、招标项目需求、合同条款及格式、投标文件格式、附件等内容。</w:t>
      </w:r>
    </w:p>
    <w:p>
      <w:pPr>
        <w:spacing w:line="360" w:lineRule="auto"/>
        <w:ind w:firstLine="420" w:firstLineChars="200"/>
        <w:jc w:val="left"/>
        <w:rPr>
          <w:rFonts w:ascii="宋体" w:hAnsi="宋体"/>
          <w:color w:val="FF0000"/>
          <w:szCs w:val="21"/>
        </w:rPr>
      </w:pPr>
      <w:r>
        <w:rPr>
          <w:rFonts w:hint="eastAsia" w:ascii="宋体" w:hAnsi="宋体"/>
          <w:color w:val="FF0000"/>
          <w:szCs w:val="21"/>
        </w:rPr>
        <w:t>3.“通用条款”是通用于政府采购项目的基础性条款，具有普遍性和通用性。</w:t>
      </w:r>
    </w:p>
    <w:p>
      <w:pPr>
        <w:spacing w:line="360" w:lineRule="auto"/>
        <w:ind w:firstLine="420" w:firstLineChars="200"/>
        <w:jc w:val="left"/>
        <w:rPr>
          <w:rFonts w:ascii="宋体" w:hAnsi="宋体"/>
          <w:color w:val="FF0000"/>
          <w:szCs w:val="21"/>
        </w:rPr>
      </w:pPr>
      <w:r>
        <w:rPr>
          <w:rFonts w:hint="eastAsia" w:ascii="宋体" w:hAnsi="宋体"/>
          <w:color w:val="FF0000"/>
          <w:szCs w:val="21"/>
        </w:rPr>
        <w:t>4.当出现“专用条款”和“通用条款”表述不一致或有冲突时，以“专用条款”为准。</w:t>
      </w:r>
    </w:p>
    <w:p>
      <w:pPr>
        <w:spacing w:line="360" w:lineRule="auto"/>
        <w:ind w:firstLine="420" w:firstLineChars="200"/>
        <w:jc w:val="left"/>
        <w:rPr>
          <w:rFonts w:ascii="宋体" w:hAnsi="宋体"/>
          <w:color w:val="FF0000"/>
          <w:szCs w:val="21"/>
        </w:rPr>
      </w:pPr>
      <w:r>
        <w:rPr>
          <w:rFonts w:hint="eastAsia" w:ascii="宋体" w:hAnsi="宋体"/>
          <w:color w:val="FF0000"/>
          <w:szCs w:val="21"/>
        </w:rPr>
        <w:t>5.本项目具体由深圳公共资源交易中心（深圳交易集团有限公司政府采购业务分公司）组织实施。</w:t>
      </w:r>
    </w:p>
    <w:p>
      <w:pPr>
        <w:pStyle w:val="4"/>
        <w:rPr>
          <w:color w:val="FF0000"/>
          <w:sz w:val="24"/>
        </w:rPr>
      </w:pPr>
      <w:r>
        <w:rPr>
          <w:color w:val="FF0000"/>
        </w:rPr>
        <w:br w:type="page"/>
      </w:r>
      <w:bookmarkStart w:id="3" w:name="bt开标一览表"/>
      <w:bookmarkEnd w:id="3"/>
      <w:bookmarkStart w:id="4" w:name="bt其他资料2"/>
      <w:bookmarkEnd w:id="4"/>
      <w:bookmarkStart w:id="5" w:name="bt投标人情况介绍"/>
      <w:bookmarkEnd w:id="5"/>
      <w:bookmarkStart w:id="6" w:name="bt说明"/>
      <w:bookmarkEnd w:id="6"/>
      <w:bookmarkStart w:id="7" w:name="bt本工程承诺书"/>
      <w:bookmarkEnd w:id="7"/>
      <w:bookmarkStart w:id="8" w:name="bt技术标投标文件格式"/>
      <w:bookmarkEnd w:id="8"/>
      <w:bookmarkStart w:id="9" w:name="bt投标报价汇总表"/>
      <w:bookmarkEnd w:id="9"/>
      <w:bookmarkStart w:id="10" w:name="bt项目管理班子配备情况"/>
      <w:bookmarkEnd w:id="10"/>
      <w:bookmarkStart w:id="11" w:name="bt投标文件签署授权委托书"/>
      <w:bookmarkEnd w:id="11"/>
      <w:bookmarkStart w:id="12" w:name="bt合同条款"/>
      <w:bookmarkEnd w:id="12"/>
      <w:bookmarkStart w:id="13" w:name="合同格式"/>
      <w:bookmarkEnd w:id="13"/>
      <w:bookmarkStart w:id="14" w:name="bt投标函"/>
      <w:bookmarkEnd w:id="14"/>
      <w:bookmarkStart w:id="15" w:name="bt合同条款及格式"/>
      <w:bookmarkEnd w:id="15"/>
      <w:bookmarkStart w:id="16" w:name="bt合同格式"/>
      <w:bookmarkEnd w:id="16"/>
      <w:bookmarkStart w:id="17" w:name="bt商务标投标文件格式"/>
      <w:bookmarkEnd w:id="17"/>
      <w:bookmarkStart w:id="18" w:name="bt投标人须知"/>
      <w:bookmarkEnd w:id="18"/>
      <w:bookmarkStart w:id="19" w:name="bt其他资料由投标人自定"/>
      <w:bookmarkEnd w:id="19"/>
      <w:r>
        <w:rPr>
          <w:rFonts w:hint="eastAsia"/>
        </w:rPr>
        <w:t>第一册  专用条款</w:t>
      </w:r>
    </w:p>
    <w:p>
      <w:pPr>
        <w:pStyle w:val="2"/>
      </w:pPr>
      <w:r>
        <w:rPr>
          <w:rFonts w:hint="eastAsia"/>
        </w:rPr>
        <w:t>第一章  招标公告</w:t>
      </w:r>
    </w:p>
    <w:p>
      <w:pPr>
        <w:keepNext/>
        <w:keepLines/>
        <w:spacing w:before="260" w:after="260"/>
        <w:outlineLvl w:val="2"/>
        <w:rPr>
          <w:rFonts w:ascii="宋体" w:hAnsi="宋体"/>
          <w:b/>
          <w:bCs/>
          <w:sz w:val="28"/>
          <w:szCs w:val="32"/>
        </w:rPr>
      </w:pPr>
      <w:r>
        <w:rPr>
          <w:rFonts w:ascii="宋体" w:hAnsi="宋体"/>
          <w:b/>
          <w:bCs/>
          <w:sz w:val="28"/>
          <w:szCs w:val="32"/>
        </w:rPr>
        <w:t>投标人资格要求：</w:t>
      </w:r>
    </w:p>
    <w:p>
      <w:pPr>
        <w:rPr>
          <w:rFonts w:ascii="宋体" w:hAnsi="宋体"/>
          <w:szCs w:val="21"/>
        </w:rPr>
      </w:pPr>
      <w:r>
        <w:rPr>
          <w:rFonts w:hint="eastAsia" w:ascii="宋体" w:hAnsi="宋体"/>
          <w:szCs w:val="21"/>
        </w:rPr>
        <w:t>（1）具有独立法人资格或具有独立承担民事责任的能力的其它组织（提供营业执照或事业单位法人证等法人证明扫描件，原件备查）。</w:t>
      </w:r>
    </w:p>
    <w:p>
      <w:pPr>
        <w:rPr>
          <w:rFonts w:ascii="宋体" w:hAnsi="宋体" w:cs="宋体"/>
          <w:color w:val="FF0000"/>
          <w:kern w:val="0"/>
          <w:szCs w:val="21"/>
        </w:rPr>
      </w:pPr>
      <w:r>
        <w:rPr>
          <w:rFonts w:hint="eastAsia" w:ascii="宋体" w:hAnsi="宋体"/>
          <w:color w:val="FF0000"/>
          <w:szCs w:val="21"/>
        </w:rPr>
        <w:t>（2）</w:t>
      </w:r>
      <w:r>
        <w:rPr>
          <w:rFonts w:hint="eastAsia"/>
          <w:color w:val="FF0000"/>
        </w:rPr>
        <w:t>投标人若为生产企业：所投产品为第二、三类医疗器械的，提供食品药品监督管理部门签发的涵盖所投报医疗器械的《医疗器械生产许可证》(有效期内)扫描件，原件备查</w:t>
      </w:r>
      <w:r>
        <w:rPr>
          <w:rFonts w:hint="eastAsia" w:ascii="宋体" w:hAnsi="宋体"/>
          <w:color w:val="FF0000"/>
          <w:szCs w:val="21"/>
        </w:rPr>
        <w:t>；</w:t>
      </w:r>
      <w:r>
        <w:rPr>
          <w:rFonts w:hint="eastAsia"/>
          <w:color w:val="FF0000"/>
        </w:rPr>
        <w:t>投标人若为经营企业：所投产品为第二类医疗器械的，提供食品药品监督管理部门签发的涵盖所投报医疗器械的《医疗器械经营备案凭证》(有效期内)扫描件，原件备查；所投产品为第三类医疗器械的，提供食品药品监督管理部门签发的涵盖所投报医疗器械的《医疗器械经营许可证》(有效期内)扫描件，原件备查</w:t>
      </w:r>
      <w:r>
        <w:rPr>
          <w:rFonts w:hint="eastAsia" w:ascii="宋体" w:hAnsi="宋体" w:cs="宋体"/>
          <w:color w:val="FF0000"/>
          <w:kern w:val="0"/>
          <w:szCs w:val="21"/>
        </w:rPr>
        <w:t>。</w:t>
      </w:r>
    </w:p>
    <w:p>
      <w:pPr>
        <w:rPr>
          <w:rFonts w:ascii="宋体" w:hAnsi="宋体" w:cs="宋体"/>
          <w:kern w:val="0"/>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cs="宋体"/>
          <w:kern w:val="0"/>
          <w:szCs w:val="21"/>
        </w:rPr>
        <w:t>本项目不接受联合体投标，接受投标人选用进口产品参与投标。</w:t>
      </w:r>
    </w:p>
    <w:p>
      <w:pPr>
        <w:rPr>
          <w:rFonts w:ascii="宋体" w:hAnsi="宋体" w:cs="宋体"/>
          <w:kern w:val="0"/>
          <w:szCs w:val="21"/>
        </w:rPr>
      </w:pPr>
      <w:r>
        <w:rPr>
          <w:rFonts w:hint="eastAsia" w:ascii="宋体" w:hAnsi="宋体" w:cs="宋体"/>
          <w:kern w:val="0"/>
          <w:szCs w:val="21"/>
        </w:rPr>
        <w:t>（</w:t>
      </w:r>
      <w:r>
        <w:rPr>
          <w:rFonts w:ascii="宋体" w:hAnsi="宋体" w:cs="宋体"/>
          <w:kern w:val="0"/>
          <w:szCs w:val="21"/>
        </w:rPr>
        <w:t>4</w:t>
      </w:r>
      <w:r>
        <w:rPr>
          <w:rFonts w:hint="eastAsia" w:ascii="宋体" w:hAnsi="宋体" w:cs="宋体"/>
          <w:kern w:val="0"/>
          <w:szCs w:val="21"/>
        </w:rPr>
        <w:t>）参与本项目投标前三年内，在经营活动中没有重大违法记录（由供应商在《</w:t>
      </w:r>
      <w:r>
        <w:rPr>
          <w:rFonts w:hint="eastAsia"/>
          <w:szCs w:val="21"/>
        </w:rPr>
        <w:t>政府采购投标及履约承诺函</w:t>
      </w:r>
      <w:r>
        <w:rPr>
          <w:rFonts w:hint="eastAsia" w:ascii="宋体" w:hAnsi="宋体" w:cs="宋体"/>
          <w:kern w:val="0"/>
          <w:szCs w:val="21"/>
        </w:rPr>
        <w:t>》中作出声明）。</w:t>
      </w:r>
    </w:p>
    <w:p>
      <w:pPr>
        <w:rPr>
          <w:rFonts w:ascii="宋体" w:hAnsi="宋体" w:cs="宋体"/>
          <w:kern w:val="0"/>
          <w:szCs w:val="21"/>
        </w:rPr>
      </w:pPr>
      <w:r>
        <w:rPr>
          <w:rFonts w:hint="eastAsia" w:ascii="宋体" w:hAnsi="宋体" w:cs="宋体"/>
          <w:kern w:val="0"/>
          <w:szCs w:val="21"/>
        </w:rPr>
        <w:t>（</w:t>
      </w:r>
      <w:r>
        <w:rPr>
          <w:rFonts w:ascii="宋体" w:hAnsi="宋体" w:cs="宋体"/>
          <w:kern w:val="0"/>
          <w:szCs w:val="21"/>
        </w:rPr>
        <w:t>5</w:t>
      </w:r>
      <w:r>
        <w:rPr>
          <w:rFonts w:hint="eastAsia" w:ascii="宋体" w:hAnsi="宋体" w:cs="宋体"/>
          <w:kern w:val="0"/>
          <w:szCs w:val="21"/>
        </w:rPr>
        <w:t>）参与本项目政府采购活动时不存在被有关部门禁止参与政府采购活动且在有效期内的情况（由供应商在《</w:t>
      </w:r>
      <w:r>
        <w:rPr>
          <w:rFonts w:hint="eastAsia"/>
          <w:szCs w:val="21"/>
        </w:rPr>
        <w:t>政府采购投标及履约承诺函</w:t>
      </w:r>
      <w:r>
        <w:rPr>
          <w:rFonts w:hint="eastAsia" w:ascii="宋体" w:hAnsi="宋体" w:cs="宋体"/>
          <w:kern w:val="0"/>
          <w:szCs w:val="21"/>
        </w:rPr>
        <w:t>》中作出声明）；</w:t>
      </w:r>
    </w:p>
    <w:p>
      <w:pPr>
        <w:rPr>
          <w:rFonts w:ascii="宋体" w:hAnsi="宋体" w:cs="宋体"/>
          <w:kern w:val="0"/>
          <w:szCs w:val="21"/>
        </w:rPr>
      </w:pPr>
      <w:r>
        <w:rPr>
          <w:rFonts w:hint="eastAsia" w:ascii="宋体" w:hAnsi="宋体" w:cs="宋体"/>
          <w:kern w:val="0"/>
          <w:szCs w:val="21"/>
        </w:rPr>
        <w:t>（</w:t>
      </w:r>
      <w:r>
        <w:rPr>
          <w:rFonts w:ascii="宋体" w:hAnsi="宋体" w:cs="宋体"/>
          <w:kern w:val="0"/>
          <w:szCs w:val="21"/>
        </w:rPr>
        <w:t>6</w:t>
      </w:r>
      <w:r>
        <w:rPr>
          <w:rFonts w:hint="eastAsia" w:ascii="宋体" w:hAnsi="宋体" w:cs="宋体"/>
          <w:kern w:val="0"/>
          <w:szCs w:val="21"/>
        </w:rPr>
        <w:t>）具备《中华人民共和国政府采购法》第二十二条第一款的条件（由供应商在《政府采购投标及履约承诺函》中作出声明）。</w:t>
      </w:r>
    </w:p>
    <w:p>
      <w:pPr>
        <w:rPr>
          <w:rFonts w:ascii="宋体" w:hAnsi="宋体" w:cs="宋体"/>
          <w:kern w:val="0"/>
          <w:szCs w:val="21"/>
        </w:rPr>
      </w:pPr>
      <w:r>
        <w:rPr>
          <w:rFonts w:hint="eastAsia" w:ascii="宋体" w:hAnsi="宋体" w:cs="宋体"/>
          <w:kern w:val="0"/>
          <w:szCs w:val="21"/>
        </w:rPr>
        <w:t>（</w:t>
      </w:r>
      <w:r>
        <w:rPr>
          <w:rFonts w:ascii="宋体" w:hAnsi="宋体" w:cs="宋体"/>
          <w:kern w:val="0"/>
          <w:szCs w:val="21"/>
        </w:rPr>
        <w:t>7</w:t>
      </w:r>
      <w:r>
        <w:rPr>
          <w:rFonts w:hint="eastAsia" w:ascii="宋体" w:hAnsi="宋体" w:cs="宋体"/>
          <w:kern w:val="0"/>
          <w:szCs w:val="21"/>
        </w:rPr>
        <w:t>）未被列入失信被执行人、重大税收违法案件当事人名单、政府采购严重违法失信行为记录名单（由供应商在《政府采购投标及履约承诺函》中作出声明）。</w:t>
      </w:r>
    </w:p>
    <w:p>
      <w:pPr>
        <w:ind w:firstLine="420" w:firstLineChars="200"/>
        <w:rPr>
          <w:rFonts w:ascii="宋体" w:hAnsi="宋体" w:cs="宋体"/>
          <w:kern w:val="0"/>
          <w:szCs w:val="21"/>
        </w:rPr>
      </w:pPr>
      <w:r>
        <w:rPr>
          <w:rFonts w:hint="eastAsia" w:ascii="宋体" w:hAnsi="宋体" w:cs="宋体"/>
          <w:kern w:val="0"/>
          <w:szCs w:val="21"/>
        </w:rPr>
        <w:t>注：“信用中国”、“中国政府采购网”、“深圳信用网”以及“深圳市政府采购监管网”为供应商信用信息的查询渠道，相关信息以开标当日的查询结果为准。</w:t>
      </w:r>
    </w:p>
    <w:p>
      <w:pPr>
        <w:spacing w:before="60" w:beforeLines="25" w:after="60" w:afterLines="25"/>
        <w:ind w:firstLine="392" w:firstLineChars="187"/>
        <w:rPr>
          <w:szCs w:val="20"/>
        </w:rPr>
      </w:pPr>
    </w:p>
    <w:p>
      <w:pPr>
        <w:spacing w:before="60" w:beforeLines="25" w:after="60" w:afterLines="25"/>
        <w:ind w:firstLine="392" w:firstLineChars="187"/>
        <w:rPr>
          <w:szCs w:val="20"/>
        </w:rPr>
      </w:pPr>
      <w:r>
        <w:rPr>
          <w:rFonts w:hint="eastAsia"/>
          <w:szCs w:val="20"/>
        </w:rPr>
        <w:t>完整公告内容详见：http://www.szzfcg.cn</w:t>
      </w:r>
    </w:p>
    <w:p>
      <w:pPr>
        <w:spacing w:before="60" w:beforeLines="25" w:after="60" w:afterLines="25"/>
        <w:ind w:firstLine="392" w:firstLineChars="187"/>
        <w:rPr>
          <w:szCs w:val="20"/>
        </w:rPr>
      </w:pPr>
    </w:p>
    <w:p>
      <w:pPr>
        <w:pStyle w:val="3"/>
        <w:spacing w:before="60" w:beforeLines="25" w:after="60" w:afterLines="25"/>
        <w:ind w:firstLine="392" w:firstLineChars="187"/>
      </w:pPr>
    </w:p>
    <w:p>
      <w:pPr>
        <w:pStyle w:val="3"/>
        <w:spacing w:before="60" w:beforeLines="25" w:after="60" w:afterLines="25"/>
        <w:ind w:firstLine="392" w:firstLineChars="187"/>
        <w:jc w:val="right"/>
        <w:rPr>
          <w:rFonts w:ascii="宋体" w:hAnsi="宋体"/>
          <w:szCs w:val="21"/>
        </w:rPr>
      </w:pPr>
    </w:p>
    <w:p>
      <w:pPr>
        <w:ind w:firstLine="7200" w:firstLineChars="3000"/>
        <w:rPr>
          <w:sz w:val="24"/>
        </w:rPr>
      </w:pPr>
      <w:r>
        <w:rPr>
          <w:sz w:val="24"/>
        </w:rPr>
        <w:br w:type="page"/>
      </w:r>
    </w:p>
    <w:p>
      <w:pPr>
        <w:pStyle w:val="2"/>
      </w:pPr>
      <w:r>
        <w:rPr>
          <w:rFonts w:hint="eastAsia"/>
        </w:rPr>
        <w:t>第二章  招标项目需求</w:t>
      </w:r>
    </w:p>
    <w:p>
      <w:pPr>
        <w:pStyle w:val="2"/>
        <w:spacing w:before="120" w:beforeLines="50" w:after="120" w:afterLines="50"/>
        <w:rPr>
          <w:sz w:val="28"/>
          <w:szCs w:val="28"/>
        </w:rPr>
      </w:pPr>
      <w:bookmarkStart w:id="20" w:name="_Toc60631620"/>
      <w:bookmarkStart w:id="21" w:name="_Toc100052364"/>
      <w:bookmarkStart w:id="22" w:name="_Toc101074876"/>
      <w:bookmarkStart w:id="23" w:name="_Toc60560625"/>
      <w:bookmarkStart w:id="24" w:name="_Toc73517639"/>
      <w:bookmarkStart w:id="25" w:name="_Toc73518117"/>
      <w:bookmarkStart w:id="26" w:name="_Toc73521635"/>
      <w:bookmarkStart w:id="27" w:name="_Toc73521547"/>
      <w:r>
        <w:rPr>
          <w:rFonts w:hint="eastAsia"/>
          <w:sz w:val="28"/>
          <w:szCs w:val="28"/>
        </w:rPr>
        <w:t>一、对通用条款的补充内容</w:t>
      </w:r>
    </w:p>
    <w:bookmarkEnd w:id="20"/>
    <w:bookmarkEnd w:id="21"/>
    <w:bookmarkEnd w:id="22"/>
    <w:bookmarkEnd w:id="23"/>
    <w:bookmarkEnd w:id="24"/>
    <w:bookmarkEnd w:id="25"/>
    <w:bookmarkEnd w:id="26"/>
    <w:bookmarkEnd w:id="27"/>
    <w:tbl>
      <w:tblPr>
        <w:tblStyle w:val="43"/>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807"/>
        <w:gridCol w:w="2160"/>
        <w:gridCol w:w="540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07" w:type="dxa"/>
            <w:vAlign w:val="center"/>
          </w:tcPr>
          <w:p>
            <w:pPr>
              <w:jc w:val="center"/>
              <w:rPr>
                <w:rFonts w:ascii="宋体" w:hAnsi="宋体"/>
                <w:b/>
                <w:bCs/>
              </w:rPr>
            </w:pPr>
            <w:r>
              <w:rPr>
                <w:rFonts w:hint="eastAsia" w:ascii="宋体" w:hAnsi="宋体"/>
                <w:b/>
                <w:bCs/>
              </w:rPr>
              <w:t>序号</w:t>
            </w:r>
          </w:p>
        </w:tc>
        <w:tc>
          <w:tcPr>
            <w:tcW w:w="2160" w:type="dxa"/>
            <w:vAlign w:val="center"/>
          </w:tcPr>
          <w:p>
            <w:pPr>
              <w:jc w:val="center"/>
              <w:rPr>
                <w:rFonts w:ascii="宋体" w:hAnsi="宋体"/>
                <w:b/>
                <w:bCs/>
              </w:rPr>
            </w:pPr>
            <w:r>
              <w:rPr>
                <w:rFonts w:hint="eastAsia" w:ascii="宋体" w:hAnsi="宋体"/>
                <w:b/>
                <w:bCs/>
              </w:rPr>
              <w:t>内   容</w:t>
            </w:r>
          </w:p>
        </w:tc>
        <w:tc>
          <w:tcPr>
            <w:tcW w:w="5400" w:type="dxa"/>
            <w:vAlign w:val="center"/>
          </w:tcPr>
          <w:p>
            <w:pPr>
              <w:jc w:val="center"/>
              <w:rPr>
                <w:rFonts w:ascii="宋体" w:hAnsi="宋体"/>
                <w:b/>
                <w:bCs/>
              </w:rPr>
            </w:pPr>
            <w:r>
              <w:rPr>
                <w:rFonts w:hint="eastAsia" w:ascii="宋体" w:hAnsi="宋体"/>
                <w:b/>
                <w:bCs/>
              </w:rPr>
              <w:t>规      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07" w:type="dxa"/>
            <w:vAlign w:val="center"/>
          </w:tcPr>
          <w:p>
            <w:pPr>
              <w:jc w:val="center"/>
              <w:rPr>
                <w:rFonts w:ascii="宋体" w:hAnsi="宋体"/>
              </w:rPr>
            </w:pPr>
            <w:r>
              <w:rPr>
                <w:rFonts w:hint="eastAsia" w:ascii="宋体" w:hAnsi="宋体"/>
              </w:rPr>
              <w:t>1</w:t>
            </w:r>
          </w:p>
        </w:tc>
        <w:tc>
          <w:tcPr>
            <w:tcW w:w="2160" w:type="dxa"/>
            <w:vAlign w:val="center"/>
          </w:tcPr>
          <w:p>
            <w:r>
              <w:rPr>
                <w:rFonts w:hint="eastAsia"/>
              </w:rPr>
              <w:t>联合体投标</w:t>
            </w:r>
          </w:p>
        </w:tc>
        <w:tc>
          <w:tcPr>
            <w:tcW w:w="5400" w:type="dxa"/>
            <w:vAlign w:val="center"/>
          </w:tcPr>
          <w:p>
            <w:pPr>
              <w:rPr>
                <w:rFonts w:ascii="宋体" w:hAnsi="宋体"/>
                <w:snapToGrid w:val="0"/>
                <w:kern w:val="0"/>
                <w:szCs w:val="32"/>
                <w:u w:val="single"/>
                <w:lang w:val="zh-CN"/>
              </w:rPr>
            </w:pPr>
            <w:r>
              <w:rPr>
                <w:rFonts w:hint="eastAsia" w:ascii="宋体" w:hAnsi="宋体"/>
                <w:snapToGrid w:val="0"/>
                <w:kern w:val="0"/>
                <w:szCs w:val="32"/>
                <w:u w:val="single"/>
                <w:lang w:val="zh-CN"/>
              </w:rPr>
              <w:t>见《招标公告》中“投标人资格要求”部分的相关内容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07" w:type="dxa"/>
            <w:vAlign w:val="center"/>
          </w:tcPr>
          <w:p>
            <w:pPr>
              <w:jc w:val="center"/>
              <w:rPr>
                <w:rFonts w:ascii="宋体" w:hAnsi="宋体"/>
              </w:rPr>
            </w:pPr>
            <w:r>
              <w:rPr>
                <w:rFonts w:hint="eastAsia" w:ascii="宋体" w:hAnsi="宋体"/>
              </w:rPr>
              <w:t>2</w:t>
            </w:r>
          </w:p>
        </w:tc>
        <w:tc>
          <w:tcPr>
            <w:tcW w:w="2160" w:type="dxa"/>
            <w:vAlign w:val="center"/>
          </w:tcPr>
          <w:p>
            <w:pPr>
              <w:rPr>
                <w:rFonts w:ascii="宋体" w:hAnsi="宋体"/>
              </w:rPr>
            </w:pPr>
            <w:r>
              <w:rPr>
                <w:rFonts w:hint="eastAsia" w:ascii="宋体" w:hAnsi="宋体"/>
              </w:rPr>
              <w:t>投标有效期</w:t>
            </w:r>
          </w:p>
        </w:tc>
        <w:tc>
          <w:tcPr>
            <w:tcW w:w="5400" w:type="dxa"/>
            <w:vAlign w:val="center"/>
          </w:tcPr>
          <w:p>
            <w:pPr>
              <w:rPr>
                <w:rFonts w:ascii="宋体" w:hAnsi="宋体"/>
              </w:rPr>
            </w:pPr>
            <w:r>
              <w:rPr>
                <w:rFonts w:hint="eastAsia" w:ascii="宋体" w:hAnsi="宋体"/>
                <w:u w:val="single"/>
              </w:rPr>
              <w:t>120</w:t>
            </w:r>
            <w:r>
              <w:rPr>
                <w:rFonts w:ascii="宋体" w:hAnsi="宋体"/>
                <w:u w:val="single"/>
              </w:rPr>
              <w:t>日历天</w:t>
            </w:r>
            <w:r>
              <w:rPr>
                <w:rFonts w:ascii="宋体" w:hAnsi="宋体"/>
              </w:rPr>
              <w:t>（从投标截止之日算起）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07" w:type="dxa"/>
            <w:vAlign w:val="center"/>
          </w:tcPr>
          <w:p>
            <w:pPr>
              <w:jc w:val="center"/>
              <w:rPr>
                <w:rFonts w:ascii="宋体" w:hAnsi="宋体"/>
              </w:rPr>
            </w:pPr>
            <w:r>
              <w:rPr>
                <w:rFonts w:hint="eastAsia" w:ascii="宋体" w:hAnsi="宋体"/>
              </w:rPr>
              <w:t>3</w:t>
            </w:r>
          </w:p>
        </w:tc>
        <w:tc>
          <w:tcPr>
            <w:tcW w:w="2160" w:type="dxa"/>
            <w:vAlign w:val="center"/>
          </w:tcPr>
          <w:p>
            <w:pPr>
              <w:rPr>
                <w:rFonts w:ascii="宋体" w:hAnsi="宋体"/>
              </w:rPr>
            </w:pPr>
            <w:r>
              <w:rPr>
                <w:rFonts w:hint="eastAsia" w:ascii="宋体" w:hAnsi="宋体"/>
              </w:rPr>
              <w:t>投标人的替代方案</w:t>
            </w:r>
          </w:p>
        </w:tc>
        <w:tc>
          <w:tcPr>
            <w:tcW w:w="5400" w:type="dxa"/>
            <w:vAlign w:val="center"/>
          </w:tcPr>
          <w:p>
            <w:pPr>
              <w:rPr>
                <w:rFonts w:ascii="宋体" w:hAnsi="宋体"/>
              </w:rPr>
            </w:pPr>
            <w:r>
              <w:rPr>
                <w:rFonts w:hint="eastAsia" w:ascii="宋体" w:hAnsi="宋体"/>
              </w:rPr>
              <w:t>不允许</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07" w:type="dxa"/>
            <w:vAlign w:val="center"/>
          </w:tcPr>
          <w:p>
            <w:pPr>
              <w:jc w:val="center"/>
              <w:rPr>
                <w:rFonts w:ascii="宋体" w:hAnsi="宋体"/>
              </w:rPr>
            </w:pPr>
            <w:r>
              <w:rPr>
                <w:rFonts w:hint="eastAsia" w:ascii="宋体" w:hAnsi="宋体"/>
              </w:rPr>
              <w:t>4</w:t>
            </w:r>
          </w:p>
        </w:tc>
        <w:tc>
          <w:tcPr>
            <w:tcW w:w="2160" w:type="dxa"/>
            <w:vAlign w:val="center"/>
          </w:tcPr>
          <w:p>
            <w:pPr>
              <w:rPr>
                <w:rFonts w:ascii="宋体" w:hAnsi="宋体"/>
              </w:rPr>
            </w:pPr>
            <w:r>
              <w:rPr>
                <w:rFonts w:hint="eastAsia" w:ascii="宋体" w:hAnsi="宋体"/>
              </w:rPr>
              <w:t>投标文件的投递</w:t>
            </w:r>
          </w:p>
        </w:tc>
        <w:tc>
          <w:tcPr>
            <w:tcW w:w="5400" w:type="dxa"/>
            <w:vAlign w:val="center"/>
          </w:tcPr>
          <w:p>
            <w:pPr>
              <w:rPr>
                <w:rFonts w:ascii="宋体" w:hAnsi="宋体"/>
              </w:rPr>
            </w:pPr>
            <w:r>
              <w:rPr>
                <w:rFonts w:hint="eastAsia" w:ascii="宋体" w:hAnsi="宋体"/>
              </w:rPr>
              <w:t>本项目实行网上投标，投标人必须在招标文件规定的投标截止时间前登录“深圳公共资源交易中心（深圳交易集团有限公司政府采购业务分公司）网站”，使用“应标管理</w:t>
            </w:r>
            <w:r>
              <w:rPr>
                <w:rFonts w:ascii="宋体" w:hAnsi="宋体"/>
              </w:rPr>
              <w:t>-&gt;上传投标文件”功能</w:t>
            </w:r>
            <w:r>
              <w:rPr>
                <w:rFonts w:hint="eastAsia" w:ascii="宋体" w:hAnsi="宋体"/>
              </w:rPr>
              <w:t>点，</w:t>
            </w:r>
            <w:r>
              <w:rPr>
                <w:rFonts w:ascii="宋体" w:hAnsi="宋体"/>
              </w:rPr>
              <w:t>将编制好的电子投标文件上传，投标文件大小不得超过</w:t>
            </w:r>
            <w:r>
              <w:rPr>
                <w:rFonts w:hint="eastAsia" w:ascii="宋体" w:hAnsi="宋体"/>
              </w:rPr>
              <w:t>10</w:t>
            </w:r>
            <w:r>
              <w:rPr>
                <w:rFonts w:ascii="宋体" w:hAnsi="宋体"/>
              </w:rPr>
              <w:t>0MB</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807" w:type="dxa"/>
            <w:vAlign w:val="center"/>
          </w:tcPr>
          <w:p>
            <w:pPr>
              <w:jc w:val="center"/>
              <w:rPr>
                <w:rFonts w:ascii="宋体" w:hAnsi="宋体"/>
              </w:rPr>
            </w:pPr>
            <w:r>
              <w:rPr>
                <w:rFonts w:hint="eastAsia" w:ascii="宋体" w:hAnsi="宋体"/>
              </w:rPr>
              <w:t>5</w:t>
            </w:r>
          </w:p>
        </w:tc>
        <w:tc>
          <w:tcPr>
            <w:tcW w:w="2160" w:type="dxa"/>
            <w:vAlign w:val="center"/>
          </w:tcPr>
          <w:p>
            <w:pPr>
              <w:rPr>
                <w:rFonts w:ascii="宋体" w:hAnsi="宋体"/>
              </w:rPr>
            </w:pPr>
            <w:r>
              <w:rPr>
                <w:rFonts w:hint="eastAsia" w:ascii="宋体" w:hAnsi="宋体"/>
              </w:rPr>
              <w:t>履约保证金</w:t>
            </w:r>
          </w:p>
        </w:tc>
        <w:tc>
          <w:tcPr>
            <w:tcW w:w="5400" w:type="dxa"/>
            <w:vAlign w:val="center"/>
          </w:tcPr>
          <w:p>
            <w:pPr>
              <w:rPr>
                <w:rFonts w:ascii="宋体" w:hAnsi="宋体"/>
                <w:color w:val="FF0000"/>
              </w:rPr>
            </w:pPr>
            <w:r>
              <w:rPr>
                <w:rFonts w:hint="eastAsia"/>
                <w:color w:val="000000" w:themeColor="text1"/>
                <w14:textFill>
                  <w14:solidFill>
                    <w14:schemeClr w14:val="tx1"/>
                  </w14:solidFill>
                </w14:textFill>
              </w:rPr>
              <w:t>合同金额的</w:t>
            </w:r>
            <w:r>
              <w:rPr>
                <w:rFonts w:hint="eastAsia"/>
                <w:color w:val="000000" w:themeColor="text1"/>
                <w:u w:val="single"/>
                <w14:textFill>
                  <w14:solidFill>
                    <w14:schemeClr w14:val="tx1"/>
                  </w14:solidFill>
                </w14:textFill>
              </w:rPr>
              <w:t xml:space="preserve">  5  </w:t>
            </w:r>
            <w:r>
              <w:rPr>
                <w:rFonts w:hint="eastAsia"/>
                <w:color w:val="000000" w:themeColor="text1"/>
                <w14:textFill>
                  <w14:solidFill>
                    <w14:schemeClr w14:val="tx1"/>
                  </w14:solidFill>
                </w14:textFill>
              </w:rPr>
              <w:t>%，投标供应商自主选择以支票、汇票、本票、保函等非现金形式缴纳或提交。履约保证金在中标人履行完成合同约定权利义务事项在质保期结束后60日内按原方式退还，不计利息。采购人逾期退还履约保证金的，向中标人每日偿付履约保证金的 0.5‰的利息。因中标人原因而未能达到本项目验收标准或验收不通过的，履约保证金不予退还。</w:t>
            </w:r>
          </w:p>
        </w:tc>
      </w:tr>
    </w:tbl>
    <w:p>
      <w:pPr>
        <w:rPr>
          <w:b/>
        </w:rPr>
      </w:pPr>
      <w:r>
        <w:rPr>
          <w:rFonts w:hint="eastAsia"/>
          <w:szCs w:val="21"/>
        </w:rPr>
        <w:t>备注：本表为通用条款相关内容的补充和明确，如与通用条款相冲突的以本表为准。</w:t>
      </w:r>
    </w:p>
    <w:p>
      <w:pPr>
        <w:rPr>
          <w:b/>
        </w:rPr>
      </w:pPr>
    </w:p>
    <w:p>
      <w:pPr>
        <w:pStyle w:val="2"/>
        <w:spacing w:before="120" w:beforeLines="50" w:after="120" w:afterLines="50"/>
        <w:rPr>
          <w:sz w:val="28"/>
          <w:szCs w:val="28"/>
        </w:rPr>
      </w:pPr>
      <w:r>
        <w:rPr>
          <w:rFonts w:hint="eastAsia"/>
          <w:sz w:val="28"/>
          <w:szCs w:val="28"/>
        </w:rPr>
        <w:t>二、货物清单</w:t>
      </w:r>
    </w:p>
    <w:p>
      <w:r>
        <w:rPr>
          <w:rFonts w:hint="eastAsia" w:ascii="宋体" w:hAnsi="宋体"/>
          <w:b/>
          <w:color w:val="FF0000"/>
          <w:szCs w:val="21"/>
        </w:rPr>
        <w:t>（一）货物总清单</w:t>
      </w:r>
    </w:p>
    <w:tbl>
      <w:tblPr>
        <w:tblStyle w:val="43"/>
        <w:tblpPr w:leftFromText="180" w:rightFromText="180" w:vertAnchor="text" w:horzAnchor="margin" w:tblpY="17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052"/>
        <w:gridCol w:w="2477"/>
        <w:gridCol w:w="777"/>
        <w:gridCol w:w="426"/>
        <w:gridCol w:w="1052"/>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6" w:type="dxa"/>
            <w:vAlign w:val="center"/>
          </w:tcPr>
          <w:p>
            <w:pPr>
              <w:jc w:val="center"/>
              <w:rPr>
                <w:bCs/>
                <w:szCs w:val="21"/>
              </w:rPr>
            </w:pPr>
            <w:r>
              <w:rPr>
                <w:rFonts w:hint="eastAsia"/>
                <w:bCs/>
                <w:szCs w:val="21"/>
              </w:rPr>
              <w:t>序号</w:t>
            </w:r>
          </w:p>
        </w:tc>
        <w:tc>
          <w:tcPr>
            <w:tcW w:w="2052" w:type="dxa"/>
            <w:vAlign w:val="center"/>
          </w:tcPr>
          <w:p>
            <w:pPr>
              <w:jc w:val="center"/>
              <w:rPr>
                <w:bCs/>
                <w:szCs w:val="21"/>
              </w:rPr>
            </w:pPr>
            <w:r>
              <w:rPr>
                <w:rFonts w:hint="eastAsia"/>
                <w:szCs w:val="21"/>
              </w:rPr>
              <w:t>采购计划编号</w:t>
            </w:r>
          </w:p>
        </w:tc>
        <w:tc>
          <w:tcPr>
            <w:tcW w:w="2477" w:type="dxa"/>
            <w:vAlign w:val="center"/>
          </w:tcPr>
          <w:p>
            <w:pPr>
              <w:jc w:val="center"/>
              <w:rPr>
                <w:bCs/>
                <w:szCs w:val="21"/>
              </w:rPr>
            </w:pPr>
            <w:r>
              <w:rPr>
                <w:rFonts w:hint="eastAsia"/>
                <w:bCs/>
                <w:szCs w:val="21"/>
              </w:rPr>
              <w:t>货物名称</w:t>
            </w:r>
          </w:p>
        </w:tc>
        <w:tc>
          <w:tcPr>
            <w:tcW w:w="777" w:type="dxa"/>
            <w:vAlign w:val="center"/>
          </w:tcPr>
          <w:p>
            <w:pPr>
              <w:jc w:val="center"/>
              <w:rPr>
                <w:bCs/>
                <w:szCs w:val="21"/>
              </w:rPr>
            </w:pPr>
            <w:r>
              <w:rPr>
                <w:rFonts w:hint="eastAsia"/>
                <w:bCs/>
                <w:szCs w:val="21"/>
              </w:rPr>
              <w:t>数量</w:t>
            </w:r>
          </w:p>
        </w:tc>
        <w:tc>
          <w:tcPr>
            <w:tcW w:w="426" w:type="dxa"/>
            <w:vAlign w:val="center"/>
          </w:tcPr>
          <w:p>
            <w:pPr>
              <w:jc w:val="center"/>
              <w:rPr>
                <w:bCs/>
                <w:szCs w:val="21"/>
              </w:rPr>
            </w:pPr>
            <w:r>
              <w:rPr>
                <w:rFonts w:hint="eastAsia"/>
                <w:bCs/>
                <w:szCs w:val="21"/>
              </w:rPr>
              <w:t>单位</w:t>
            </w:r>
          </w:p>
        </w:tc>
        <w:tc>
          <w:tcPr>
            <w:tcW w:w="1052" w:type="dxa"/>
            <w:vAlign w:val="center"/>
          </w:tcPr>
          <w:p>
            <w:pPr>
              <w:jc w:val="center"/>
              <w:rPr>
                <w:b/>
                <w:bCs/>
                <w:color w:val="FF0000"/>
                <w:szCs w:val="21"/>
              </w:rPr>
            </w:pPr>
            <w:r>
              <w:rPr>
                <w:rFonts w:hint="eastAsia"/>
                <w:b/>
                <w:bCs/>
                <w:color w:val="FF0000"/>
                <w:szCs w:val="21"/>
              </w:rPr>
              <w:t>备注</w:t>
            </w:r>
          </w:p>
        </w:tc>
        <w:tc>
          <w:tcPr>
            <w:tcW w:w="1319" w:type="dxa"/>
          </w:tcPr>
          <w:p>
            <w:pPr>
              <w:jc w:val="center"/>
              <w:rPr>
                <w:szCs w:val="21"/>
              </w:rPr>
            </w:pPr>
            <w:r>
              <w:rPr>
                <w:rFonts w:hint="eastAsia"/>
                <w:szCs w:val="21"/>
              </w:rPr>
              <w:t>财政预算限额（元）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trPr>
        <w:tc>
          <w:tcPr>
            <w:tcW w:w="426" w:type="dxa"/>
          </w:tcPr>
          <w:p>
            <w:pPr>
              <w:jc w:val="center"/>
            </w:pPr>
            <w:r>
              <w:rPr>
                <w:rFonts w:hint="eastAsia"/>
              </w:rPr>
              <w:t>1</w:t>
            </w:r>
          </w:p>
        </w:tc>
        <w:tc>
          <w:tcPr>
            <w:tcW w:w="2052" w:type="dxa"/>
          </w:tcPr>
          <w:p>
            <w:pPr>
              <w:jc w:val="center"/>
            </w:pPr>
            <w:r>
              <w:rPr>
                <w:rFonts w:hint="eastAsia"/>
              </w:rPr>
              <w:t xml:space="preserve">PLAN-2021-440301-0102018021-01138 </w:t>
            </w:r>
          </w:p>
        </w:tc>
        <w:tc>
          <w:tcPr>
            <w:tcW w:w="2477" w:type="dxa"/>
            <w:vAlign w:val="top"/>
          </w:tcPr>
          <w:p>
            <w:pPr>
              <w:jc w:val="center"/>
            </w:pPr>
            <w:r>
              <w:rPr>
                <w:rFonts w:hint="eastAsia"/>
              </w:rPr>
              <w:t>医用设备提升-裂隙灯显微镜B包20台</w:t>
            </w:r>
          </w:p>
        </w:tc>
        <w:tc>
          <w:tcPr>
            <w:tcW w:w="777" w:type="dxa"/>
          </w:tcPr>
          <w:p>
            <w:pPr>
              <w:jc w:val="center"/>
            </w:pPr>
            <w:r>
              <w:rPr>
                <w:rFonts w:hint="eastAsia"/>
              </w:rPr>
              <w:t>20</w:t>
            </w:r>
          </w:p>
        </w:tc>
        <w:tc>
          <w:tcPr>
            <w:tcW w:w="426" w:type="dxa"/>
          </w:tcPr>
          <w:p>
            <w:pPr>
              <w:jc w:val="center"/>
            </w:pPr>
            <w:r>
              <w:rPr>
                <w:rFonts w:hint="eastAsia"/>
              </w:rPr>
              <w:t>台</w:t>
            </w:r>
          </w:p>
        </w:tc>
        <w:tc>
          <w:tcPr>
            <w:tcW w:w="1052" w:type="dxa"/>
          </w:tcPr>
          <w:p>
            <w:pPr>
              <w:jc w:val="center"/>
            </w:pPr>
            <w:r>
              <w:rPr>
                <w:rFonts w:hint="eastAsia"/>
              </w:rPr>
              <w:t>接受进口</w:t>
            </w:r>
          </w:p>
        </w:tc>
        <w:tc>
          <w:tcPr>
            <w:tcW w:w="1319" w:type="dxa"/>
          </w:tcPr>
          <w:p>
            <w:pPr>
              <w:jc w:val="center"/>
            </w:pPr>
            <w:r>
              <w:rPr>
                <w:rFonts w:hint="eastAsia"/>
              </w:rPr>
              <w:t>2,800,000.00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426" w:type="dxa"/>
          </w:tcPr>
          <w:p>
            <w:pPr>
              <w:jc w:val="center"/>
            </w:pPr>
            <w:r>
              <w:rPr>
                <w:rFonts w:hint="eastAsia"/>
              </w:rPr>
              <w:t>2</w:t>
            </w:r>
          </w:p>
        </w:tc>
        <w:tc>
          <w:tcPr>
            <w:tcW w:w="2052" w:type="dxa"/>
          </w:tcPr>
          <w:p>
            <w:pPr>
              <w:jc w:val="center"/>
            </w:pPr>
            <w:r>
              <w:rPr>
                <w:rFonts w:hint="eastAsia"/>
              </w:rPr>
              <w:t xml:space="preserve">PLAN-2021-440301-0102018021-01110 </w:t>
            </w:r>
          </w:p>
        </w:tc>
        <w:tc>
          <w:tcPr>
            <w:tcW w:w="2477" w:type="dxa"/>
            <w:vAlign w:val="top"/>
          </w:tcPr>
          <w:p>
            <w:pPr>
              <w:jc w:val="center"/>
            </w:pPr>
            <w:r>
              <w:rPr>
                <w:rFonts w:hint="eastAsia"/>
              </w:rPr>
              <w:t>医用设备提升-视野分析仪三台</w:t>
            </w:r>
          </w:p>
        </w:tc>
        <w:tc>
          <w:tcPr>
            <w:tcW w:w="777" w:type="dxa"/>
          </w:tcPr>
          <w:p>
            <w:pPr>
              <w:jc w:val="center"/>
            </w:pPr>
            <w:r>
              <w:rPr>
                <w:rFonts w:hint="eastAsia"/>
              </w:rPr>
              <w:t>3</w:t>
            </w:r>
          </w:p>
        </w:tc>
        <w:tc>
          <w:tcPr>
            <w:tcW w:w="426" w:type="dxa"/>
          </w:tcPr>
          <w:p>
            <w:pPr>
              <w:jc w:val="center"/>
            </w:pPr>
            <w:r>
              <w:rPr>
                <w:rFonts w:hint="eastAsia"/>
              </w:rPr>
              <w:t>台</w:t>
            </w:r>
          </w:p>
        </w:tc>
        <w:tc>
          <w:tcPr>
            <w:tcW w:w="1052" w:type="dxa"/>
          </w:tcPr>
          <w:p>
            <w:pPr>
              <w:jc w:val="center"/>
            </w:pPr>
            <w:r>
              <w:rPr>
                <w:rFonts w:hint="eastAsia"/>
              </w:rPr>
              <w:t>接受进口</w:t>
            </w:r>
          </w:p>
        </w:tc>
        <w:tc>
          <w:tcPr>
            <w:tcW w:w="1319" w:type="dxa"/>
          </w:tcPr>
          <w:p>
            <w:pPr>
              <w:jc w:val="center"/>
              <w:rPr>
                <w:rFonts w:hint="eastAsia"/>
              </w:rPr>
            </w:pPr>
            <w:r>
              <w:rPr>
                <w:rFonts w:hint="eastAsia"/>
              </w:rPr>
              <w:t>2,100,000.00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210" w:type="dxa"/>
            <w:gridSpan w:val="6"/>
          </w:tcPr>
          <w:p>
            <w:pPr>
              <w:jc w:val="center"/>
            </w:pPr>
            <w:r>
              <w:rPr>
                <w:rFonts w:hint="eastAsia"/>
              </w:rPr>
              <w:t>合计</w:t>
            </w:r>
          </w:p>
        </w:tc>
        <w:tc>
          <w:tcPr>
            <w:tcW w:w="1319" w:type="dxa"/>
          </w:tcPr>
          <w:p>
            <w:pPr>
              <w:jc w:val="center"/>
              <w:rPr>
                <w:rFonts w:hint="eastAsia"/>
              </w:rPr>
            </w:pPr>
            <w:r>
              <w:rPr>
                <w:rFonts w:hint="eastAsia"/>
              </w:rPr>
              <w:t>4,900,000.00</w:t>
            </w:r>
          </w:p>
        </w:tc>
      </w:tr>
    </w:tbl>
    <w:p>
      <w:pPr>
        <w:pStyle w:val="3"/>
      </w:pPr>
    </w:p>
    <w:p>
      <w:pPr>
        <w:rPr>
          <w:rFonts w:ascii="宋体" w:hAnsi="宋体"/>
          <w:b/>
          <w:color w:val="FF0000"/>
          <w:szCs w:val="21"/>
        </w:rPr>
      </w:pPr>
      <w:r>
        <w:rPr>
          <w:rFonts w:hint="eastAsia" w:ascii="宋体" w:hAnsi="宋体"/>
          <w:b/>
          <w:color w:val="FF0000"/>
          <w:szCs w:val="21"/>
        </w:rPr>
        <w:t>（二）货物清单明细</w:t>
      </w:r>
    </w:p>
    <w:tbl>
      <w:tblPr>
        <w:tblStyle w:val="43"/>
        <w:tblpPr w:leftFromText="180" w:rightFromText="180" w:vertAnchor="text" w:horzAnchor="margin" w:tblpY="173"/>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172"/>
        <w:gridCol w:w="1866"/>
        <w:gridCol w:w="484"/>
        <w:gridCol w:w="483"/>
        <w:gridCol w:w="1213"/>
        <w:gridCol w:w="1416"/>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71" w:type="dxa"/>
            <w:vAlign w:val="center"/>
          </w:tcPr>
          <w:p>
            <w:pPr>
              <w:jc w:val="center"/>
              <w:rPr>
                <w:bCs/>
                <w:szCs w:val="21"/>
              </w:rPr>
            </w:pPr>
            <w:r>
              <w:rPr>
                <w:rFonts w:hint="eastAsia"/>
                <w:bCs/>
                <w:szCs w:val="21"/>
              </w:rPr>
              <w:t>序号</w:t>
            </w:r>
          </w:p>
        </w:tc>
        <w:tc>
          <w:tcPr>
            <w:tcW w:w="2172" w:type="dxa"/>
            <w:vAlign w:val="center"/>
          </w:tcPr>
          <w:p>
            <w:pPr>
              <w:jc w:val="center"/>
              <w:rPr>
                <w:bCs/>
                <w:szCs w:val="21"/>
              </w:rPr>
            </w:pPr>
            <w:r>
              <w:rPr>
                <w:rFonts w:hint="eastAsia"/>
                <w:szCs w:val="21"/>
              </w:rPr>
              <w:t>采购计划编号</w:t>
            </w:r>
          </w:p>
        </w:tc>
        <w:tc>
          <w:tcPr>
            <w:tcW w:w="1866" w:type="dxa"/>
            <w:vAlign w:val="center"/>
          </w:tcPr>
          <w:p>
            <w:pPr>
              <w:jc w:val="center"/>
              <w:rPr>
                <w:bCs/>
                <w:szCs w:val="21"/>
              </w:rPr>
            </w:pPr>
            <w:r>
              <w:rPr>
                <w:rFonts w:hint="eastAsia"/>
                <w:bCs/>
                <w:szCs w:val="21"/>
              </w:rPr>
              <w:t>货物名称</w:t>
            </w:r>
          </w:p>
        </w:tc>
        <w:tc>
          <w:tcPr>
            <w:tcW w:w="484" w:type="dxa"/>
            <w:vAlign w:val="center"/>
          </w:tcPr>
          <w:p>
            <w:pPr>
              <w:jc w:val="center"/>
              <w:rPr>
                <w:bCs/>
                <w:szCs w:val="21"/>
              </w:rPr>
            </w:pPr>
            <w:r>
              <w:rPr>
                <w:rFonts w:hint="eastAsia"/>
                <w:bCs/>
                <w:szCs w:val="21"/>
              </w:rPr>
              <w:t>数量</w:t>
            </w:r>
          </w:p>
        </w:tc>
        <w:tc>
          <w:tcPr>
            <w:tcW w:w="483" w:type="dxa"/>
            <w:vAlign w:val="center"/>
          </w:tcPr>
          <w:p>
            <w:pPr>
              <w:jc w:val="center"/>
              <w:rPr>
                <w:bCs/>
                <w:szCs w:val="21"/>
              </w:rPr>
            </w:pPr>
            <w:r>
              <w:rPr>
                <w:rFonts w:hint="eastAsia"/>
                <w:bCs/>
                <w:szCs w:val="21"/>
              </w:rPr>
              <w:t>单位</w:t>
            </w:r>
          </w:p>
        </w:tc>
        <w:tc>
          <w:tcPr>
            <w:tcW w:w="1213" w:type="dxa"/>
            <w:vAlign w:val="center"/>
          </w:tcPr>
          <w:p>
            <w:pPr>
              <w:jc w:val="center"/>
              <w:rPr>
                <w:b/>
                <w:bCs/>
                <w:color w:val="FF0000"/>
                <w:szCs w:val="21"/>
              </w:rPr>
            </w:pPr>
            <w:r>
              <w:rPr>
                <w:rFonts w:hint="eastAsia"/>
                <w:b/>
                <w:bCs/>
                <w:color w:val="FF0000"/>
                <w:szCs w:val="21"/>
              </w:rPr>
              <w:t>备注</w:t>
            </w:r>
          </w:p>
        </w:tc>
        <w:tc>
          <w:tcPr>
            <w:tcW w:w="1416" w:type="dxa"/>
            <w:vAlign w:val="top"/>
          </w:tcPr>
          <w:p>
            <w:pPr>
              <w:jc w:val="center"/>
              <w:rPr>
                <w:rFonts w:hint="eastAsia"/>
                <w:b/>
                <w:bCs/>
                <w:color w:val="FF0000"/>
                <w:szCs w:val="21"/>
              </w:rPr>
            </w:pPr>
            <w:r>
              <w:rPr>
                <w:rFonts w:hint="eastAsia"/>
                <w:szCs w:val="21"/>
              </w:rPr>
              <w:t>财政预算限额（元）</w:t>
            </w:r>
          </w:p>
        </w:tc>
        <w:tc>
          <w:tcPr>
            <w:tcW w:w="1034" w:type="dxa"/>
            <w:vAlign w:val="center"/>
          </w:tcPr>
          <w:p>
            <w:pPr>
              <w:jc w:val="center"/>
              <w:rPr>
                <w:bCs/>
                <w:szCs w:val="21"/>
              </w:rPr>
            </w:pPr>
            <w:r>
              <w:rPr>
                <w:rFonts w:hint="eastAsia"/>
                <w:b/>
                <w:bCs/>
                <w:color w:val="FF0000"/>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71" w:type="dxa"/>
          </w:tcPr>
          <w:p>
            <w:pPr>
              <w:jc w:val="center"/>
            </w:pPr>
            <w:r>
              <w:rPr>
                <w:rFonts w:hint="eastAsia"/>
              </w:rPr>
              <w:t>1</w:t>
            </w:r>
          </w:p>
        </w:tc>
        <w:tc>
          <w:tcPr>
            <w:tcW w:w="2172" w:type="dxa"/>
          </w:tcPr>
          <w:p>
            <w:pPr>
              <w:jc w:val="center"/>
            </w:pPr>
            <w:r>
              <w:rPr>
                <w:rFonts w:hint="eastAsia"/>
              </w:rPr>
              <w:t>PLAN-2021-440301-0102018021-01138</w:t>
            </w:r>
          </w:p>
        </w:tc>
        <w:tc>
          <w:tcPr>
            <w:tcW w:w="1866" w:type="dxa"/>
            <w:vAlign w:val="top"/>
          </w:tcPr>
          <w:p>
            <w:pPr>
              <w:jc w:val="center"/>
            </w:pPr>
            <w:r>
              <w:rPr>
                <w:rFonts w:hint="eastAsia"/>
              </w:rPr>
              <w:t>裂隙灯显微镜及配套诊疗台</w:t>
            </w:r>
          </w:p>
        </w:tc>
        <w:tc>
          <w:tcPr>
            <w:tcW w:w="484" w:type="dxa"/>
          </w:tcPr>
          <w:p>
            <w:pPr>
              <w:jc w:val="center"/>
            </w:pPr>
            <w:r>
              <w:rPr>
                <w:rFonts w:hint="eastAsia"/>
              </w:rPr>
              <w:t>20</w:t>
            </w:r>
          </w:p>
        </w:tc>
        <w:tc>
          <w:tcPr>
            <w:tcW w:w="483" w:type="dxa"/>
          </w:tcPr>
          <w:p>
            <w:pPr>
              <w:jc w:val="center"/>
            </w:pPr>
            <w:r>
              <w:rPr>
                <w:rFonts w:hint="eastAsia"/>
              </w:rPr>
              <w:t>套</w:t>
            </w:r>
          </w:p>
        </w:tc>
        <w:tc>
          <w:tcPr>
            <w:tcW w:w="1213" w:type="dxa"/>
          </w:tcPr>
          <w:p>
            <w:pPr>
              <w:jc w:val="center"/>
            </w:pPr>
            <w:r>
              <w:rPr>
                <w:rFonts w:hint="eastAsia"/>
              </w:rPr>
              <w:t>接受进口</w:t>
            </w:r>
          </w:p>
        </w:tc>
        <w:tc>
          <w:tcPr>
            <w:tcW w:w="1416" w:type="dxa"/>
            <w:vAlign w:val="top"/>
          </w:tcPr>
          <w:p>
            <w:pPr>
              <w:jc w:val="center"/>
              <w:rPr>
                <w:rFonts w:hint="eastAsia"/>
              </w:rPr>
            </w:pPr>
            <w:r>
              <w:rPr>
                <w:rFonts w:hint="eastAsia"/>
              </w:rPr>
              <w:t>2,800,000.00</w:t>
            </w:r>
          </w:p>
        </w:tc>
        <w:tc>
          <w:tcPr>
            <w:tcW w:w="1034" w:type="dxa"/>
          </w:tcPr>
          <w:p>
            <w:pPr>
              <w:jc w:val="center"/>
            </w:pPr>
            <w:r>
              <w:rPr>
                <w:rFonts w:hint="eastAsia"/>
              </w:rPr>
              <w:t>零售业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71" w:type="dxa"/>
          </w:tcPr>
          <w:p>
            <w:pPr>
              <w:jc w:val="center"/>
            </w:pPr>
            <w:r>
              <w:rPr>
                <w:rFonts w:hint="eastAsia"/>
              </w:rPr>
              <w:t>2</w:t>
            </w:r>
          </w:p>
        </w:tc>
        <w:tc>
          <w:tcPr>
            <w:tcW w:w="2172" w:type="dxa"/>
          </w:tcPr>
          <w:p>
            <w:pPr>
              <w:jc w:val="center"/>
            </w:pPr>
            <w:r>
              <w:rPr>
                <w:rFonts w:hint="eastAsia"/>
              </w:rPr>
              <w:t>PLAN-2021-440301-0102018021-01110</w:t>
            </w:r>
          </w:p>
        </w:tc>
        <w:tc>
          <w:tcPr>
            <w:tcW w:w="1866" w:type="dxa"/>
            <w:vAlign w:val="top"/>
          </w:tcPr>
          <w:p>
            <w:pPr>
              <w:jc w:val="center"/>
            </w:pPr>
            <w:r>
              <w:rPr>
                <w:rFonts w:hint="eastAsia"/>
              </w:rPr>
              <w:t>视野分析仪</w:t>
            </w:r>
          </w:p>
        </w:tc>
        <w:tc>
          <w:tcPr>
            <w:tcW w:w="484" w:type="dxa"/>
          </w:tcPr>
          <w:p>
            <w:pPr>
              <w:jc w:val="center"/>
            </w:pPr>
            <w:r>
              <w:rPr>
                <w:rFonts w:hint="eastAsia"/>
              </w:rPr>
              <w:t>3</w:t>
            </w:r>
          </w:p>
        </w:tc>
        <w:tc>
          <w:tcPr>
            <w:tcW w:w="483" w:type="dxa"/>
          </w:tcPr>
          <w:p>
            <w:pPr>
              <w:jc w:val="center"/>
            </w:pPr>
            <w:r>
              <w:rPr>
                <w:rFonts w:hint="eastAsia"/>
              </w:rPr>
              <w:t>套</w:t>
            </w:r>
          </w:p>
        </w:tc>
        <w:tc>
          <w:tcPr>
            <w:tcW w:w="1213" w:type="dxa"/>
          </w:tcPr>
          <w:p>
            <w:pPr>
              <w:jc w:val="center"/>
            </w:pPr>
            <w:r>
              <w:rPr>
                <w:rFonts w:hint="eastAsia"/>
              </w:rPr>
              <w:t>接受进口</w:t>
            </w:r>
          </w:p>
        </w:tc>
        <w:tc>
          <w:tcPr>
            <w:tcW w:w="1416" w:type="dxa"/>
            <w:vAlign w:val="top"/>
          </w:tcPr>
          <w:p>
            <w:pPr>
              <w:rPr>
                <w:rFonts w:hint="eastAsia"/>
              </w:rPr>
            </w:pPr>
            <w:r>
              <w:rPr>
                <w:rFonts w:hint="eastAsia"/>
              </w:rPr>
              <w:t>2,100,000.00</w:t>
            </w:r>
          </w:p>
        </w:tc>
        <w:tc>
          <w:tcPr>
            <w:tcW w:w="1034" w:type="dxa"/>
          </w:tcPr>
          <w:p>
            <w:pPr>
              <w:jc w:val="center"/>
            </w:pPr>
            <w:r>
              <w:rPr>
                <w:rFonts w:hint="eastAsia"/>
              </w:rPr>
              <w:t>零售业</w:t>
            </w:r>
          </w:p>
        </w:tc>
      </w:tr>
    </w:tbl>
    <w:p>
      <w:pPr>
        <w:rPr>
          <w:rFonts w:ascii="宋体" w:hAnsi="宋体"/>
          <w:b/>
          <w:color w:val="FF0000"/>
          <w:szCs w:val="21"/>
        </w:rPr>
      </w:pPr>
      <w:r>
        <w:rPr>
          <w:rFonts w:hint="eastAsia" w:ascii="宋体" w:hAnsi="宋体"/>
          <w:b/>
          <w:color w:val="FF0000"/>
          <w:szCs w:val="21"/>
        </w:rPr>
        <w:t xml:space="preserve">备注：1.备注栏注明“拒绝进口”的产品不接受投标人选用进口产品参与投标；注明“接受进口”的产品允许投标人选用进口产品参与投标，但不排斥国内产品。 </w:t>
      </w:r>
    </w:p>
    <w:p>
      <w:pPr>
        <w:rPr>
          <w:rFonts w:ascii="宋体" w:hAnsi="宋体"/>
          <w:b/>
          <w:color w:val="FF0000"/>
          <w:szCs w:val="21"/>
        </w:rPr>
      </w:pPr>
      <w:r>
        <w:rPr>
          <w:rFonts w:hint="eastAsia" w:ascii="宋体" w:hAnsi="宋体"/>
          <w:b/>
          <w:color w:val="FF0000"/>
          <w:szCs w:val="21"/>
        </w:rPr>
        <w:t>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pPr>
        <w:rPr>
          <w:rFonts w:ascii="宋体" w:hAnsi="宋体"/>
          <w:b/>
          <w:color w:val="FF0000"/>
          <w:szCs w:val="21"/>
        </w:rPr>
      </w:pPr>
      <w:r>
        <w:rPr>
          <w:rFonts w:hint="eastAsia" w:ascii="宋体" w:hAnsi="宋体"/>
          <w:b/>
          <w:color w:val="FF0000"/>
          <w:szCs w:val="21"/>
        </w:rPr>
        <w:t>3、本项目核心产品为：</w:t>
      </w:r>
      <w:r>
        <w:rPr>
          <w:rFonts w:hint="eastAsia" w:ascii="宋体" w:hAnsi="宋体"/>
          <w:b/>
          <w:color w:val="FF0000"/>
          <w:szCs w:val="21"/>
          <w:u w:val="single"/>
        </w:rPr>
        <w:t xml:space="preserve"> </w:t>
      </w:r>
      <w:r>
        <w:rPr>
          <w:rFonts w:ascii="宋体" w:hAnsi="宋体"/>
          <w:b/>
          <w:color w:val="FF0000"/>
          <w:szCs w:val="21"/>
          <w:u w:val="single"/>
        </w:rPr>
        <w:t xml:space="preserve"> </w:t>
      </w:r>
      <w:r>
        <w:rPr>
          <w:rFonts w:hint="eastAsia" w:ascii="宋体" w:hAnsi="宋体"/>
          <w:b/>
          <w:color w:val="FF0000"/>
          <w:szCs w:val="21"/>
          <w:u w:val="single"/>
        </w:rPr>
        <w:t>视野分析仪</w:t>
      </w:r>
      <w:r>
        <w:rPr>
          <w:rFonts w:hint="eastAsia" w:ascii="宋体" w:hAnsi="宋体"/>
          <w:b/>
          <w:color w:val="FF0000"/>
          <w:szCs w:val="21"/>
          <w:highlight w:val="yellow"/>
          <w:u w:val="single"/>
        </w:rPr>
        <w:t>（序号2）</w:t>
      </w:r>
      <w:r>
        <w:rPr>
          <w:rFonts w:ascii="宋体" w:hAnsi="宋体"/>
          <w:b/>
          <w:color w:val="FF0000"/>
          <w:szCs w:val="21"/>
          <w:u w:val="single"/>
        </w:rPr>
        <w:t xml:space="preserve">  </w:t>
      </w:r>
      <w:r>
        <w:rPr>
          <w:rFonts w:hint="eastAsia" w:ascii="宋体" w:hAnsi="宋体"/>
          <w:b/>
          <w:color w:val="FF0000"/>
          <w:szCs w:val="21"/>
        </w:rPr>
        <w:t>。</w:t>
      </w:r>
    </w:p>
    <w:p>
      <w:pPr>
        <w:rPr>
          <w:rFonts w:ascii="宋体" w:hAnsi="宋体"/>
          <w:b/>
          <w:color w:val="FF0000"/>
          <w:szCs w:val="21"/>
        </w:rPr>
      </w:pPr>
    </w:p>
    <w:p>
      <w:pPr>
        <w:pStyle w:val="2"/>
        <w:spacing w:before="120" w:beforeLines="50" w:after="120" w:afterLines="50"/>
        <w:rPr>
          <w:sz w:val="28"/>
          <w:szCs w:val="28"/>
        </w:rPr>
      </w:pPr>
      <w:bookmarkStart w:id="28" w:name="_Toc128884461"/>
      <w:r>
        <w:rPr>
          <w:rFonts w:hint="eastAsia"/>
          <w:sz w:val="28"/>
          <w:szCs w:val="28"/>
        </w:rPr>
        <w:t>三、实质性条款</w:t>
      </w:r>
    </w:p>
    <w:tbl>
      <w:tblPr>
        <w:tblStyle w:val="43"/>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5"/>
        <w:gridCol w:w="7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hint="eastAsia" w:ascii="宋体" w:hAnsi="宋体"/>
                <w:kern w:val="0"/>
                <w:szCs w:val="21"/>
              </w:rPr>
              <w:t>序号</w:t>
            </w:r>
          </w:p>
        </w:tc>
        <w:tc>
          <w:tcPr>
            <w:tcW w:w="7483" w:type="dxa"/>
          </w:tcPr>
          <w:p>
            <w:pPr>
              <w:adjustRightInd w:val="0"/>
              <w:snapToGrid w:val="0"/>
              <w:spacing w:line="360" w:lineRule="auto"/>
              <w:rPr>
                <w:rFonts w:ascii="宋体" w:hAnsi="宋体"/>
                <w:kern w:val="0"/>
                <w:szCs w:val="21"/>
              </w:rPr>
            </w:pPr>
            <w:r>
              <w:rPr>
                <w:rFonts w:hint="eastAsia" w:ascii="宋体" w:hAnsi="宋体"/>
                <w:kern w:val="0"/>
                <w:szCs w:val="21"/>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hint="eastAsia" w:ascii="宋体" w:hAnsi="宋体"/>
                <w:kern w:val="0"/>
                <w:szCs w:val="21"/>
              </w:rPr>
              <w:t>1</w:t>
            </w:r>
          </w:p>
        </w:tc>
        <w:tc>
          <w:tcPr>
            <w:tcW w:w="7483" w:type="dxa"/>
          </w:tcPr>
          <w:p>
            <w:pPr>
              <w:adjustRightInd w:val="0"/>
              <w:snapToGrid w:val="0"/>
              <w:spacing w:line="360" w:lineRule="auto"/>
              <w:rPr>
                <w:rFonts w:hAnsi="宋体"/>
                <w:kern w:val="0"/>
                <w:szCs w:val="21"/>
              </w:rPr>
            </w:pPr>
            <w:r>
              <w:rPr>
                <w:rFonts w:hint="eastAsia" w:hAnsi="宋体"/>
                <w:kern w:val="0"/>
                <w:szCs w:val="21"/>
              </w:rPr>
              <w:t>投标文件载明的交货期不超过招标文件规定的期限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hint="eastAsia" w:ascii="宋体" w:hAnsi="宋体"/>
                <w:kern w:val="0"/>
                <w:szCs w:val="21"/>
              </w:rPr>
              <w:t>2</w:t>
            </w:r>
          </w:p>
        </w:tc>
        <w:tc>
          <w:tcPr>
            <w:tcW w:w="7483" w:type="dxa"/>
          </w:tcPr>
          <w:p>
            <w:pPr>
              <w:adjustRightInd w:val="0"/>
              <w:snapToGrid w:val="0"/>
              <w:spacing w:line="360" w:lineRule="auto"/>
              <w:rPr>
                <w:rFonts w:hAnsi="宋体"/>
                <w:kern w:val="0"/>
                <w:szCs w:val="21"/>
              </w:rPr>
            </w:pPr>
            <w:r>
              <w:rPr>
                <w:rFonts w:hint="eastAsia" w:hAnsi="宋体"/>
                <w:kern w:val="0"/>
                <w:szCs w:val="21"/>
              </w:rPr>
              <w:t>投标文件载明的免费保修期不低于招标文件规定的期限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pPr>
              <w:adjustRightInd w:val="0"/>
              <w:snapToGrid w:val="0"/>
              <w:spacing w:line="360" w:lineRule="auto"/>
              <w:rPr>
                <w:rFonts w:ascii="宋体" w:hAnsi="宋体"/>
                <w:kern w:val="0"/>
                <w:szCs w:val="21"/>
              </w:rPr>
            </w:pPr>
            <w:r>
              <w:rPr>
                <w:rFonts w:hint="eastAsia" w:ascii="宋体" w:hAnsi="宋体"/>
                <w:kern w:val="0"/>
                <w:szCs w:val="21"/>
              </w:rPr>
              <w:t>3</w:t>
            </w:r>
          </w:p>
        </w:tc>
        <w:tc>
          <w:tcPr>
            <w:tcW w:w="7483" w:type="dxa"/>
          </w:tcPr>
          <w:p>
            <w:pPr>
              <w:adjustRightInd w:val="0"/>
              <w:snapToGrid w:val="0"/>
              <w:spacing w:line="360" w:lineRule="auto"/>
              <w:rPr>
                <w:rFonts w:hAnsi="宋体"/>
                <w:kern w:val="0"/>
                <w:szCs w:val="21"/>
              </w:rPr>
            </w:pPr>
            <w:r>
              <w:rPr>
                <w:rFonts w:hint="eastAsia" w:hAnsi="宋体"/>
                <w:kern w:val="0"/>
                <w:szCs w:val="21"/>
              </w:rPr>
              <w:t>具体技术要求、商务需求中带“★”要求</w:t>
            </w:r>
          </w:p>
        </w:tc>
      </w:tr>
    </w:tbl>
    <w:p>
      <w:pPr>
        <w:rPr>
          <w:sz w:val="24"/>
          <w:szCs w:val="32"/>
        </w:rPr>
      </w:pPr>
      <w:r>
        <w:rPr>
          <w:rFonts w:hint="eastAsia"/>
          <w:sz w:val="24"/>
          <w:szCs w:val="32"/>
        </w:rPr>
        <w:t>注：上表所列内容为不可负偏离条款</w:t>
      </w:r>
      <w:bookmarkEnd w:id="28"/>
    </w:p>
    <w:p>
      <w:pPr>
        <w:pStyle w:val="2"/>
        <w:spacing w:before="120" w:beforeLines="50" w:after="120" w:afterLines="50"/>
        <w:rPr>
          <w:sz w:val="28"/>
          <w:szCs w:val="28"/>
        </w:rPr>
      </w:pPr>
      <w:r>
        <w:rPr>
          <w:rFonts w:hint="eastAsia"/>
          <w:sz w:val="28"/>
          <w:szCs w:val="28"/>
        </w:rPr>
        <w:t>四、具体技术要求</w:t>
      </w:r>
    </w:p>
    <w:p>
      <w:pPr>
        <w:ind w:firstLine="422" w:firstLineChars="200"/>
        <w:rPr>
          <w:b/>
          <w:szCs w:val="21"/>
        </w:rPr>
      </w:pPr>
      <w:r>
        <w:rPr>
          <w:rFonts w:hint="eastAsia"/>
          <w:b/>
          <w:szCs w:val="21"/>
        </w:rPr>
        <w:t>说明：1、带“</w:t>
      </w:r>
      <w:r>
        <w:rPr>
          <w:rFonts w:hint="eastAsia" w:ascii="宋体" w:hAnsi="宋体" w:cs="宋体"/>
          <w:b/>
          <w:szCs w:val="21"/>
        </w:rPr>
        <w:t>★</w:t>
      </w:r>
      <w:r>
        <w:rPr>
          <w:rFonts w:hint="eastAsia"/>
          <w:b/>
          <w:szCs w:val="21"/>
        </w:rPr>
        <w:t>”指标项为实质性条款，如出现负偏离，将被视为未实质性满足招标文件要求作投标无效处理。带“</w:t>
      </w:r>
      <w:r>
        <w:t>▲</w:t>
      </w:r>
      <w:r>
        <w:rPr>
          <w:rFonts w:hint="eastAsia"/>
          <w:b/>
          <w:szCs w:val="21"/>
        </w:rPr>
        <w:t>”指标项为重要参数，负偏离时依相关评分准则内容作重点扣分处理。</w:t>
      </w:r>
    </w:p>
    <w:p>
      <w:pPr>
        <w:ind w:firstLine="422" w:firstLineChars="200"/>
        <w:rPr>
          <w:b/>
          <w:szCs w:val="21"/>
        </w:rPr>
      </w:pPr>
      <w:r>
        <w:rPr>
          <w:rFonts w:hint="eastAsia"/>
          <w:b/>
          <w:szCs w:val="21"/>
        </w:rPr>
        <w:t>2、招标技术要求中，用红色加粗字体标注的技术条款为要求提供证明资料的条款，共</w:t>
      </w:r>
      <w:r>
        <w:rPr>
          <w:rFonts w:hint="eastAsia"/>
          <w:highlight w:val="yellow"/>
        </w:rPr>
        <w:t>10</w:t>
      </w:r>
      <w:r>
        <w:rPr>
          <w:rFonts w:hint="eastAsia"/>
          <w:b/>
          <w:szCs w:val="21"/>
          <w:highlight w:val="yellow"/>
        </w:rPr>
        <w:t>项，</w:t>
      </w:r>
      <w:r>
        <w:rPr>
          <w:rFonts w:hint="eastAsia"/>
          <w:b/>
          <w:szCs w:val="21"/>
        </w:rPr>
        <w:t>其余为未要求提供证明资料的条款，无需提供相关证明资料。</w:t>
      </w:r>
    </w:p>
    <w:p>
      <w:pPr>
        <w:ind w:firstLine="422" w:firstLineChars="200"/>
        <w:rPr>
          <w:b/>
        </w:rPr>
      </w:pPr>
      <w:r>
        <w:rPr>
          <w:rFonts w:hint="eastAsia"/>
          <w:b/>
        </w:rPr>
        <w:t>3、评分时，如对一项招标技术要求（以划分框为准）中的内容存在两处（或以上）负偏离的，在评分时只作一项负偏离扣分。</w:t>
      </w:r>
    </w:p>
    <w:p>
      <w:pPr>
        <w:ind w:firstLine="422" w:firstLineChars="200"/>
        <w:rPr>
          <w:b/>
          <w:color w:val="FF0000"/>
        </w:rPr>
      </w:pPr>
      <w:r>
        <w:rPr>
          <w:rFonts w:hint="eastAsia"/>
          <w:b/>
          <w:color w:val="FF0000"/>
        </w:rPr>
        <w:t>4</w:t>
      </w:r>
      <w:r>
        <w:rPr>
          <w:b/>
          <w:color w:val="FF0000"/>
        </w:rPr>
        <w:t>、涉及区间的参数，除特别注明以外，</w:t>
      </w:r>
      <w:bookmarkStart w:id="29" w:name="_Hlk75447406"/>
      <w:r>
        <w:rPr>
          <w:b/>
          <w:color w:val="FF0000"/>
        </w:rPr>
        <w:t>产品参数区间与招标要求不一致的均视为负偏离。</w:t>
      </w:r>
      <w:bookmarkEnd w:id="29"/>
      <w:r>
        <w:rPr>
          <w:rFonts w:hint="eastAsia"/>
          <w:b/>
          <w:color w:val="FF0000"/>
        </w:rPr>
        <w:t>例：区间要求为0-20ML,只要响应的不是“0-20ML”，如投标文件响应为 0-15ML 、0-21ML 、1-12ML 、 9-20ML 、6-21ML 、9ML等情形均视为负偏离。</w:t>
      </w:r>
    </w:p>
    <w:tbl>
      <w:tblPr>
        <w:tblStyle w:val="43"/>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1"/>
        <w:gridCol w:w="1250"/>
        <w:gridCol w:w="6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0" w:type="auto"/>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序号</w:t>
            </w:r>
          </w:p>
        </w:tc>
        <w:tc>
          <w:tcPr>
            <w:tcW w:w="0" w:type="auto"/>
            <w:vAlign w:val="center"/>
          </w:tcPr>
          <w:p>
            <w:pPr>
              <w:widowControl/>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货物名称</w:t>
            </w:r>
          </w:p>
        </w:tc>
        <w:tc>
          <w:tcPr>
            <w:tcW w:w="0" w:type="auto"/>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restart"/>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0" w:type="auto"/>
            <w:vMerge w:val="restart"/>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裂隙灯显微镜及配套诊疗台</w:t>
            </w: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1.显微镜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▲1.1类型：伽利略式会聚型双目镜（要求提供产品彩页关键信息或产品制造商官网关键信息截图）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▲1.2放大倍数选择系统：5档旋转卷筒（要求提供产品彩页关键信息或产品制造商官网关键信息截图）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1.3接物镜：f=125mm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1.4目镜：12.5x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▲1.5屈光度调节：±8 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▲1.6放大倍数：5x，8x，12.5x，20x，32x（要求提供产品彩页关键信息或产品制造商官网关键信息截图）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1.7真实视野：46mm，29.5mm，18.4mm，11.5mm，7.5mm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1.8瞳孔间调节：50至75mm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1.9立体角度：6°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1.10是否包括黄色滤光片：是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2.裂隙灯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2.1光源：6v20w卤素灯泡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2.1裂隙投射比例：1.16X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▲2.2裂隙宽度：0至14mm连续可变（要求提供产品彩页关键信息或产品制造商官网关键信息截图）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 xml:space="preserve">2.3裂隙长度：1.8至13mm连续可变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2.4最大裂隙长度：14mm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2.5光圈直径：14mm，9mm，5.5mm，0.2mm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2.6滤光片：蓝光，无赤光，热吸收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2.7裂隙旋转角度：±</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90°按照比例连续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2.8入射角度：0°水平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2.9无障碍工作距离（退出棱镜/患者眼睛距离）：68mm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3.下颚支架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3.1固视点：白色，发光，带接缝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3.2固视点指示灯：LED 12V 60mA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3.3下颚托高度调节：76mm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3.4直角运动底座：侧向或横向运动（x）107mm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前后或深度运动（y）113mm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上下或垂直运动（z）36mm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水平细致运动（x，y）14mm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w:t>
            </w:r>
            <w:r>
              <w:rPr>
                <w:rFonts w:hint="eastAsia" w:asciiTheme="minorEastAsia" w:hAnsiTheme="minorEastAsia" w:eastAsiaTheme="minorEastAsia" w:cstheme="minorEastAsia"/>
                <w:color w:val="000000" w:themeColor="text1"/>
                <w:szCs w:val="21"/>
                <w14:textFill>
                  <w14:solidFill>
                    <w14:schemeClr w14:val="tx1"/>
                  </w14:solidFill>
                </w14:textFill>
              </w:rPr>
              <w:t>4、配置清单：</w:t>
            </w:r>
          </w:p>
          <w:p>
            <w:pP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4.1裂隙灯显微镜1台</w:t>
            </w:r>
          </w:p>
          <w:p>
            <w:pP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4.2电动诊疗台1套</w:t>
            </w:r>
          </w:p>
          <w:p>
            <w:pP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4.3医生办公椅 1张</w:t>
            </w:r>
          </w:p>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4.4病人升降椅 1张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restart"/>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0" w:type="auto"/>
            <w:vMerge w:val="restart"/>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视野分析仪</w:t>
            </w: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▲1、视野计主机与计算机一体化设计，节省空间。（要求提供产品彩页关键信息或产品制造商官网关键信息截）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2、Goldman标准球形投射式设计，检测距离30cm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3、固视监测系统：具多种固视监测系统：包括盲点监测，凝视跟踪（跟踪精度≤10），视频监测、头部跟踪、顶点监视。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4、左/右眼自动判别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5、最大颞侧范围：90度；可做150度水平视野检查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6、光刺激点大小：Goldman 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7、光刺激时间：200ms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8</w:t>
            </w:r>
            <w:r>
              <w:rPr>
                <w:rFonts w:hint="eastAsia" w:asciiTheme="minorEastAsia" w:hAnsiTheme="minorEastAsia" w:eastAsiaTheme="minorEastAsia" w:cstheme="minorEastAsia"/>
                <w:szCs w:val="21"/>
                <w:highlight w:val="none"/>
              </w:rPr>
              <w:t>、光斑亮度:0-10000asb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9、背景光亮度：31.5 asb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10、具有红、蓝刺激光标，蓝黄视野检查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11、具有自动瞳孔测量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12、软件系统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12.1分析软件：STATPAC 2分析软件，包括纵向和横向统计分析软件（正常人群和青光眼人群数据库，均以31.5asb背景光为基础）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12.2具有青光眼半视野分析程序（GHT），能对青光眼进行早期诊断。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▲12.3 FDA批准的青光眼随访分析程序（GPA），能有效的进行视野随访分析，并能预测视野进展。（要求提供产品彩页关键信息或产品制造商官网关键信息截图）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12.4具静态视野检查，中心视野、周边视野；阈值测试、筛选测试，同时具特殊检查程序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12.5有SITA快速检测程序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▲12.6采用触摸屏操作（要求提供产品彩页关键信息或产品制造商官网关键信息截图）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 xml:space="preserve">  12.7激光打印机打印检查结果，具多种打印模式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▲12.8中文操作界面（要求提供产品彩页关键信息或产品制造商官网关键信息截图）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▲12.9实时眼位查看，确认每个视野暗点缺损的真实性。（要求提供产品彩页关键信息或产品制造商官网关键信息截图）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0" w:type="auto"/>
            <w:vMerge w:val="continue"/>
            <w:vAlign w:val="center"/>
          </w:tcPr>
          <w:p>
            <w:pPr>
              <w:jc w:val="center"/>
              <w:rPr>
                <w:rFonts w:asciiTheme="minorEastAsia" w:hAnsiTheme="minorEastAsia" w:eastAsiaTheme="minorEastAsia" w:cstheme="minorEastAsia"/>
                <w:bCs/>
                <w:szCs w:val="21"/>
              </w:rPr>
            </w:pPr>
          </w:p>
        </w:tc>
        <w:tc>
          <w:tcPr>
            <w:tcW w:w="0" w:type="auto"/>
            <w:vMerge w:val="continue"/>
          </w:tcPr>
          <w:p>
            <w:pPr>
              <w:rPr>
                <w:rFonts w:asciiTheme="minorEastAsia" w:hAnsiTheme="minorEastAsia" w:eastAsiaTheme="minorEastAsia" w:cstheme="minorEastAsia"/>
                <w:bCs/>
                <w:szCs w:val="21"/>
              </w:rPr>
            </w:pPr>
          </w:p>
        </w:tc>
        <w:tc>
          <w:tcPr>
            <w:tcW w:w="0" w:type="auto"/>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▲12.10具有自动液态镜片功能（要求提供产品彩页关键信息或产品制造商官网关键信息截图）</w:t>
            </w:r>
          </w:p>
        </w:tc>
      </w:tr>
    </w:tbl>
    <w:p>
      <w:pPr>
        <w:pStyle w:val="2"/>
        <w:spacing w:before="120" w:beforeLines="50" w:after="120" w:afterLines="50"/>
        <w:rPr>
          <w:sz w:val="28"/>
          <w:szCs w:val="28"/>
        </w:rPr>
      </w:pPr>
      <w:r>
        <w:rPr>
          <w:rFonts w:hint="eastAsia"/>
          <w:sz w:val="28"/>
          <w:szCs w:val="28"/>
        </w:rPr>
        <w:t>五、商务需求</w:t>
      </w:r>
    </w:p>
    <w:p>
      <w:pPr>
        <w:ind w:firstLine="422" w:firstLineChars="200"/>
        <w:rPr>
          <w:b/>
          <w:szCs w:val="21"/>
        </w:rPr>
      </w:pPr>
      <w:r>
        <w:rPr>
          <w:rFonts w:hint="eastAsia"/>
          <w:b/>
          <w:szCs w:val="21"/>
        </w:rPr>
        <w:t>说明：1、带“</w:t>
      </w:r>
      <w:r>
        <w:rPr>
          <w:rFonts w:hint="eastAsia" w:ascii="宋体" w:hAnsi="宋体" w:cs="宋体"/>
          <w:b/>
          <w:szCs w:val="21"/>
        </w:rPr>
        <w:t>★</w:t>
      </w:r>
      <w:r>
        <w:rPr>
          <w:rFonts w:hint="eastAsia"/>
          <w:b/>
          <w:szCs w:val="21"/>
        </w:rPr>
        <w:t>”指标项为实质性条款，如出现负偏离，将被视为未实质性满足招标文件要求作投标无效处理。</w:t>
      </w:r>
    </w:p>
    <w:p>
      <w:pPr>
        <w:ind w:firstLine="422" w:firstLineChars="200"/>
        <w:rPr>
          <w:sz w:val="28"/>
          <w:szCs w:val="28"/>
        </w:rPr>
      </w:pPr>
      <w:r>
        <w:rPr>
          <w:rFonts w:hint="eastAsia"/>
          <w:b/>
        </w:rPr>
        <w:t>2、评分时，如对一项招标商务需求（以划分框为准，一个划分框是作为一项招标商务需求）中的内容存在两处（或以上）负偏离的，在评分时只作一项负偏离扣分。</w:t>
      </w:r>
    </w:p>
    <w:tbl>
      <w:tblPr>
        <w:tblStyle w:val="43"/>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1157"/>
        <w:gridCol w:w="7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3" w:type="dxa"/>
            <w:vAlign w:val="center"/>
          </w:tcPr>
          <w:p>
            <w:pPr>
              <w:jc w:val="center"/>
              <w:rPr>
                <w:b/>
              </w:rPr>
            </w:pPr>
            <w:r>
              <w:rPr>
                <w:rFonts w:hint="eastAsia"/>
                <w:b/>
              </w:rPr>
              <w:t>序号</w:t>
            </w:r>
          </w:p>
        </w:tc>
        <w:tc>
          <w:tcPr>
            <w:tcW w:w="1157" w:type="dxa"/>
            <w:vAlign w:val="center"/>
          </w:tcPr>
          <w:p>
            <w:pPr>
              <w:jc w:val="center"/>
              <w:rPr>
                <w:b/>
              </w:rPr>
            </w:pPr>
            <w:r>
              <w:rPr>
                <w:rFonts w:hint="eastAsia"/>
                <w:b/>
              </w:rPr>
              <w:t>目录</w:t>
            </w:r>
          </w:p>
        </w:tc>
        <w:tc>
          <w:tcPr>
            <w:tcW w:w="7220" w:type="dxa"/>
            <w:vAlign w:val="center"/>
          </w:tcPr>
          <w:p>
            <w:pPr>
              <w:jc w:val="center"/>
              <w:rPr>
                <w:b/>
              </w:rPr>
            </w:pPr>
            <w:r>
              <w:rPr>
                <w:rFonts w:hint="eastAsia"/>
                <w:b/>
              </w:rPr>
              <w:t>招标商务需求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820" w:type="dxa"/>
            <w:gridSpan w:val="3"/>
          </w:tcPr>
          <w:p>
            <w:pPr>
              <w:rPr>
                <w:b/>
              </w:rPr>
            </w:pPr>
            <w:r>
              <w:rPr>
                <w:rFonts w:hint="eastAsia"/>
                <w:b/>
              </w:rPr>
              <w:t>（一）免费保修期内售后服务要求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3" w:type="dxa"/>
            <w:vMerge w:val="restart"/>
            <w:vAlign w:val="center"/>
          </w:tcPr>
          <w:p>
            <w:pPr>
              <w:jc w:val="center"/>
              <w:rPr>
                <w:bCs/>
              </w:rPr>
            </w:pPr>
            <w:r>
              <w:rPr>
                <w:rFonts w:hint="eastAsia"/>
                <w:bCs/>
              </w:rPr>
              <w:t>1</w:t>
            </w:r>
          </w:p>
        </w:tc>
        <w:tc>
          <w:tcPr>
            <w:tcW w:w="1157" w:type="dxa"/>
            <w:vMerge w:val="restart"/>
          </w:tcPr>
          <w:p>
            <w:r>
              <w:rPr>
                <w:rFonts w:hint="eastAsia"/>
              </w:rPr>
              <w:t>维修响应及维护服务</w:t>
            </w:r>
          </w:p>
        </w:tc>
        <w:tc>
          <w:tcPr>
            <w:tcW w:w="7220" w:type="dxa"/>
          </w:tcPr>
          <w:p>
            <w:pPr>
              <w:rPr>
                <w:bCs/>
              </w:rPr>
            </w:pPr>
            <w:r>
              <w:rPr>
                <w:rFonts w:hint="eastAsia"/>
                <w:bCs/>
              </w:rPr>
              <w:t>1.1 各投标人应在投标文件中列明各主机、配件和易耗品的保 修期限。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3" w:type="dxa"/>
            <w:vMerge w:val="continue"/>
            <w:vAlign w:val="center"/>
          </w:tcPr>
          <w:p>
            <w:pPr>
              <w:jc w:val="center"/>
              <w:rPr>
                <w:bCs/>
              </w:rPr>
            </w:pPr>
          </w:p>
        </w:tc>
        <w:tc>
          <w:tcPr>
            <w:tcW w:w="1157" w:type="dxa"/>
            <w:vMerge w:val="continue"/>
          </w:tcPr>
          <w:p/>
        </w:tc>
        <w:tc>
          <w:tcPr>
            <w:tcW w:w="7220" w:type="dxa"/>
          </w:tcPr>
          <w:p>
            <w:pPr>
              <w:rPr>
                <w:bCs/>
                <w:szCs w:val="21"/>
              </w:rPr>
            </w:pPr>
            <w:r>
              <w:rPr>
                <w:rFonts w:hint="eastAsia"/>
                <w:bCs/>
                <w:szCs w:val="21"/>
              </w:rPr>
              <w:t>★1.2</w:t>
            </w:r>
            <w:r>
              <w:rPr>
                <w:rFonts w:hint="eastAsia"/>
                <w:bCs/>
              </w:rPr>
              <w:t>承诺提供整机免费保修期不少于</w:t>
            </w:r>
            <w:r>
              <w:rPr>
                <w:rFonts w:hint="eastAsia"/>
                <w:bCs/>
                <w:color w:val="FF0000"/>
                <w:highlight w:val="yellow"/>
                <w:u w:val="single"/>
              </w:rPr>
              <w:t xml:space="preserve"> </w:t>
            </w:r>
            <w:r>
              <w:rPr>
                <w:rFonts w:hint="eastAsia"/>
                <w:bCs/>
                <w:color w:val="FF0000"/>
                <w:highlight w:val="yellow"/>
                <w:u w:val="single"/>
                <w:lang w:val="en-US" w:eastAsia="zh-CN"/>
              </w:rPr>
              <w:t>2</w:t>
            </w:r>
            <w:r>
              <w:rPr>
                <w:rFonts w:hint="eastAsia"/>
                <w:bCs/>
                <w:color w:val="FF0000"/>
                <w:highlight w:val="yellow"/>
              </w:rPr>
              <w:t>年</w:t>
            </w:r>
            <w:r>
              <w:rPr>
                <w:rFonts w:hint="eastAsia"/>
                <w:bCs/>
              </w:rPr>
              <w:t xml:space="preserve">，终身维修，保修期内,年度定期预防性维护保养次数应不少于 3 次。保修期内免费 更换零配件、免工时费。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3" w:type="dxa"/>
            <w:vMerge w:val="continue"/>
            <w:vAlign w:val="center"/>
          </w:tcPr>
          <w:p>
            <w:pPr>
              <w:jc w:val="center"/>
              <w:rPr>
                <w:bCs/>
              </w:rPr>
            </w:pPr>
          </w:p>
        </w:tc>
        <w:tc>
          <w:tcPr>
            <w:tcW w:w="1157" w:type="dxa"/>
            <w:vMerge w:val="continue"/>
          </w:tcPr>
          <w:p/>
        </w:tc>
        <w:tc>
          <w:tcPr>
            <w:tcW w:w="7220" w:type="dxa"/>
          </w:tcPr>
          <w:p>
            <w:pPr>
              <w:rPr>
                <w:bCs/>
              </w:rPr>
            </w:pPr>
            <w:r>
              <w:rPr>
                <w:rFonts w:hint="eastAsia"/>
                <w:bCs/>
              </w:rPr>
              <w:t>1.3 由设备制造商提供售后服务，</w:t>
            </w:r>
            <w:r>
              <w:rPr>
                <w:rFonts w:hint="eastAsia"/>
                <w:bCs/>
                <w:u w:val="single"/>
              </w:rPr>
              <w:t xml:space="preserve">4 </w:t>
            </w:r>
            <w:r>
              <w:rPr>
                <w:rFonts w:hint="eastAsia"/>
                <w:bCs/>
              </w:rPr>
              <w:t>小时内响应，</w:t>
            </w:r>
            <w:r>
              <w:rPr>
                <w:rFonts w:hint="eastAsia"/>
                <w:bCs/>
                <w:u w:val="single"/>
              </w:rPr>
              <w:t xml:space="preserve">24 </w:t>
            </w:r>
            <w:r>
              <w:rPr>
                <w:rFonts w:hint="eastAsia"/>
                <w:bCs/>
              </w:rPr>
              <w:t xml:space="preserve">小时维修到位（不可抗力情况除外）,否则提供备用机,消耗品和零配件供应及时。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3" w:type="dxa"/>
            <w:vMerge w:val="continue"/>
            <w:vAlign w:val="center"/>
          </w:tcPr>
          <w:p>
            <w:pPr>
              <w:jc w:val="center"/>
              <w:rPr>
                <w:bCs/>
              </w:rPr>
            </w:pPr>
          </w:p>
        </w:tc>
        <w:tc>
          <w:tcPr>
            <w:tcW w:w="1157" w:type="dxa"/>
            <w:vMerge w:val="continue"/>
          </w:tcPr>
          <w:p/>
        </w:tc>
        <w:tc>
          <w:tcPr>
            <w:tcW w:w="7220" w:type="dxa"/>
          </w:tcPr>
          <w:p>
            <w:pPr>
              <w:rPr>
                <w:bCs/>
              </w:rPr>
            </w:pPr>
            <w:r>
              <w:rPr>
                <w:rFonts w:hint="eastAsia"/>
                <w:bCs/>
              </w:rPr>
              <w:t>1.4</w:t>
            </w:r>
            <w:r>
              <w:rPr>
                <w:rFonts w:hint="eastAsia" w:ascii="宋体" w:hAnsi="宋体" w:cs="宋体"/>
                <w:color w:val="000000"/>
                <w:kern w:val="0"/>
                <w:szCs w:val="21"/>
              </w:rPr>
              <w:t>投标人负责货物的终身维护</w:t>
            </w:r>
            <w:r>
              <w:rPr>
                <w:rFonts w:hint="eastAsia"/>
                <w:bCs/>
              </w:rPr>
              <w:t>，保证</w:t>
            </w:r>
            <w:r>
              <w:rPr>
                <w:rFonts w:hint="eastAsia"/>
                <w:bCs/>
                <w:u w:val="single"/>
              </w:rPr>
              <w:t xml:space="preserve"> 5 </w:t>
            </w:r>
            <w:r>
              <w:rPr>
                <w:rFonts w:hint="eastAsia"/>
                <w:bCs/>
              </w:rPr>
              <w:t>年以上供应维修配件，终身免费提供软件升级服务。在免费保修期后，维修只收取零配件费用，不收取其他任何费用。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3" w:type="dxa"/>
            <w:vMerge w:val="continue"/>
            <w:vAlign w:val="center"/>
          </w:tcPr>
          <w:p>
            <w:pPr>
              <w:jc w:val="center"/>
              <w:rPr>
                <w:bCs/>
              </w:rPr>
            </w:pPr>
          </w:p>
        </w:tc>
        <w:tc>
          <w:tcPr>
            <w:tcW w:w="1157" w:type="dxa"/>
            <w:vMerge w:val="continue"/>
          </w:tcPr>
          <w:p/>
        </w:tc>
        <w:tc>
          <w:tcPr>
            <w:tcW w:w="7220" w:type="dxa"/>
          </w:tcPr>
          <w:p>
            <w:pPr>
              <w:rPr>
                <w:rFonts w:hint="eastAsia" w:eastAsiaTheme="minorEastAsia"/>
                <w:bCs/>
                <w:highlight w:val="none"/>
                <w:lang w:val="en-US" w:eastAsia="zh-CN"/>
              </w:rPr>
            </w:pPr>
            <w:r>
              <w:rPr>
                <w:rFonts w:hint="eastAsia"/>
                <w:bCs/>
                <w:highlight w:val="none"/>
                <w:lang w:val="en-US" w:eastAsia="zh-CN"/>
              </w:rPr>
              <w:t>1.5</w:t>
            </w:r>
            <w:r>
              <w:rPr>
                <w:rFonts w:hint="eastAsia" w:asciiTheme="minorEastAsia" w:hAnsiTheme="minorEastAsia" w:eastAsiaTheme="minorEastAsia" w:cstheme="minorEastAsia"/>
                <w:szCs w:val="21"/>
                <w:highlight w:val="none"/>
              </w:rPr>
              <w:t>需免费提供标准DICOM格式及开放接口，能畅通运行眼科数字化管理系统，并与医院HIS、PACS系统等进行无缝对接，符合实时数据采集上传和局域网存储功能，产生费用由中标单位自行承担</w:t>
            </w:r>
            <w:r>
              <w:rPr>
                <w:rFonts w:hint="eastAsia" w:asciiTheme="minorEastAsia" w:hAnsiTheme="minorEastAsia" w:eastAsiaTheme="minorEastAsia" w:cstheme="minorEastAsia"/>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43" w:type="dxa"/>
            <w:vAlign w:val="center"/>
          </w:tcPr>
          <w:p>
            <w:pPr>
              <w:jc w:val="center"/>
              <w:rPr>
                <w:b/>
              </w:rPr>
            </w:pPr>
            <w:r>
              <w:rPr>
                <w:rFonts w:hint="eastAsia"/>
                <w:b/>
              </w:rPr>
              <w:t>2</w:t>
            </w:r>
          </w:p>
        </w:tc>
        <w:tc>
          <w:tcPr>
            <w:tcW w:w="1157" w:type="dxa"/>
            <w:vAlign w:val="center"/>
          </w:tcPr>
          <w:p>
            <w:r>
              <w:rPr>
                <w:rFonts w:hint="eastAsia"/>
                <w:szCs w:val="21"/>
              </w:rPr>
              <w:t>质量保证</w:t>
            </w:r>
          </w:p>
        </w:tc>
        <w:tc>
          <w:tcPr>
            <w:tcW w:w="7220" w:type="dxa"/>
            <w:vAlign w:val="center"/>
          </w:tcPr>
          <w:p>
            <w:pPr>
              <w:rPr>
                <w:bCs/>
                <w:szCs w:val="21"/>
              </w:rPr>
            </w:pPr>
            <w:r>
              <w:rPr>
                <w:rFonts w:hint="eastAsia"/>
                <w:bCs/>
              </w:rPr>
              <w:t>2.1在保修期内, 投标人应确保年开机率在95%</w:t>
            </w:r>
            <w:r>
              <w:rPr>
                <w:rFonts w:hint="eastAsia"/>
              </w:rPr>
              <w:t>（含95%）</w:t>
            </w:r>
            <w:r>
              <w:rPr>
                <w:rFonts w:hint="eastAsia"/>
                <w:bCs/>
              </w:rPr>
              <w:t>以上, 若不能达到此开机率，将作以下处理：a. 年开机率在90</w:t>
            </w:r>
            <w:r>
              <w:rPr>
                <w:rFonts w:hint="eastAsia"/>
              </w:rPr>
              <w:t>（含90%）</w:t>
            </w:r>
            <w:r>
              <w:rPr>
                <w:rFonts w:hint="eastAsia"/>
                <w:bCs/>
              </w:rPr>
              <w:t>-95%之间按一赔</w:t>
            </w:r>
            <w:r>
              <w:rPr>
                <w:rFonts w:hint="eastAsia"/>
                <w:bCs/>
                <w:u w:val="single"/>
              </w:rPr>
              <w:t xml:space="preserve">2  </w:t>
            </w:r>
            <w:r>
              <w:rPr>
                <w:rFonts w:hint="eastAsia"/>
                <w:bCs/>
              </w:rPr>
              <w:t>延长保修期；b. 年开机率在85</w:t>
            </w:r>
            <w:r>
              <w:rPr>
                <w:rFonts w:hint="eastAsia"/>
              </w:rPr>
              <w:t>（含85%）</w:t>
            </w:r>
            <w:r>
              <w:rPr>
                <w:rFonts w:hint="eastAsia"/>
                <w:bCs/>
              </w:rPr>
              <w:t>-90%之间按一赔</w:t>
            </w:r>
            <w:r>
              <w:rPr>
                <w:rFonts w:hint="eastAsia"/>
                <w:bCs/>
                <w:u w:val="single"/>
              </w:rPr>
              <w:t xml:space="preserve"> 3</w:t>
            </w:r>
            <w:r>
              <w:rPr>
                <w:rFonts w:hint="eastAsia"/>
                <w:bCs/>
              </w:rPr>
              <w:t>延长保修期；c. 年开机率低于85%，投标人必须无条件更换新机，并重新计算保修期，以及赔偿用户的直接经济损失和间接经济损失。注：年开机率=（365-停机天数）/365）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43" w:type="dxa"/>
            <w:vAlign w:val="center"/>
          </w:tcPr>
          <w:p>
            <w:pPr>
              <w:jc w:val="center"/>
              <w:rPr>
                <w:bCs/>
              </w:rPr>
            </w:pPr>
            <w:r>
              <w:rPr>
                <w:rFonts w:hint="eastAsia"/>
                <w:bCs/>
              </w:rPr>
              <w:t>3</w:t>
            </w:r>
          </w:p>
        </w:tc>
        <w:tc>
          <w:tcPr>
            <w:tcW w:w="1157" w:type="dxa"/>
            <w:vAlign w:val="center"/>
          </w:tcPr>
          <w:p>
            <w:pPr>
              <w:rPr>
                <w:b/>
              </w:rPr>
            </w:pPr>
            <w:r>
              <w:rPr>
                <w:rFonts w:hint="eastAsia"/>
              </w:rPr>
              <w:t>其他</w:t>
            </w:r>
          </w:p>
        </w:tc>
        <w:tc>
          <w:tcPr>
            <w:tcW w:w="7220" w:type="dxa"/>
            <w:vAlign w:val="center"/>
          </w:tcPr>
          <w:p>
            <w:pPr>
              <w:rPr>
                <w:b/>
              </w:rPr>
            </w:pPr>
            <w:r>
              <w:rPr>
                <w:rFonts w:hint="eastAsia"/>
                <w:bCs/>
                <w:szCs w:val="21"/>
              </w:rPr>
              <w:t>投标人应按其投标文件中的承诺，进行其他售后服务工作。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820" w:type="dxa"/>
            <w:gridSpan w:val="3"/>
          </w:tcPr>
          <w:p>
            <w:pPr>
              <w:rPr>
                <w:b/>
              </w:rPr>
            </w:pPr>
            <w:r>
              <w:rPr>
                <w:rFonts w:hint="eastAsia"/>
                <w:b/>
              </w:rPr>
              <w:t>（二）免费保修期外售后服务要求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restart"/>
            <w:vAlign w:val="center"/>
          </w:tcPr>
          <w:p>
            <w:pPr>
              <w:jc w:val="center"/>
              <w:rPr>
                <w:bCs/>
              </w:rPr>
            </w:pPr>
            <w:r>
              <w:rPr>
                <w:rFonts w:hint="eastAsia"/>
                <w:bCs/>
              </w:rPr>
              <w:t>1</w:t>
            </w:r>
          </w:p>
        </w:tc>
        <w:tc>
          <w:tcPr>
            <w:tcW w:w="1157" w:type="dxa"/>
            <w:vMerge w:val="restart"/>
          </w:tcPr>
          <w:p>
            <w:pPr>
              <w:rPr>
                <w:b/>
              </w:rPr>
            </w:pPr>
            <w:r>
              <w:rPr>
                <w:rFonts w:hint="eastAsia" w:ascii="宋体" w:hAnsi="宋体"/>
                <w:b/>
                <w:kern w:val="0"/>
                <w:szCs w:val="21"/>
              </w:rPr>
              <w:t>维修零配件、消耗品和延续保修合同的报价</w:t>
            </w:r>
          </w:p>
        </w:tc>
        <w:tc>
          <w:tcPr>
            <w:tcW w:w="7220" w:type="dxa"/>
          </w:tcPr>
          <w:p>
            <w:pPr>
              <w:spacing w:line="300" w:lineRule="exact"/>
              <w:rPr>
                <w:b/>
              </w:rPr>
            </w:pPr>
            <w:r>
              <w:rPr>
                <w:rFonts w:hint="eastAsia" w:ascii="宋体" w:hAnsi="宋体"/>
                <w:kern w:val="0"/>
                <w:szCs w:val="21"/>
              </w:rPr>
              <w:t>1.1由设备制造商提供售后服务，</w:t>
            </w:r>
            <w:r>
              <w:rPr>
                <w:rFonts w:hint="eastAsia" w:ascii="宋体" w:hAnsi="宋体"/>
                <w:bCs/>
                <w:kern w:val="0"/>
                <w:szCs w:val="21"/>
                <w:u w:val="single"/>
              </w:rPr>
              <w:t xml:space="preserve"> 4 </w:t>
            </w:r>
            <w:r>
              <w:rPr>
                <w:rFonts w:hint="eastAsia" w:ascii="宋体" w:hAnsi="宋体"/>
                <w:kern w:val="0"/>
                <w:szCs w:val="21"/>
              </w:rPr>
              <w:t>小时内响应，</w:t>
            </w:r>
            <w:r>
              <w:rPr>
                <w:rFonts w:hint="eastAsia" w:ascii="宋体" w:hAnsi="宋体"/>
                <w:bCs/>
                <w:kern w:val="0"/>
                <w:szCs w:val="21"/>
                <w:u w:val="single"/>
              </w:rPr>
              <w:t xml:space="preserve">  24  </w:t>
            </w:r>
            <w:r>
              <w:rPr>
                <w:rFonts w:hint="eastAsia" w:ascii="宋体" w:hAnsi="宋体"/>
                <w:kern w:val="0"/>
                <w:szCs w:val="21"/>
              </w:rPr>
              <w:t>小时维修到位（不可抗力情况除外）。消耗品和零配件供应及时，特殊情况下可提供备用机。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tcPr>
          <w:p>
            <w:pPr>
              <w:rPr>
                <w:b/>
              </w:rPr>
            </w:pPr>
          </w:p>
        </w:tc>
        <w:tc>
          <w:tcPr>
            <w:tcW w:w="7220" w:type="dxa"/>
          </w:tcPr>
          <w:p>
            <w:pPr>
              <w:spacing w:line="300" w:lineRule="exact"/>
              <w:rPr>
                <w:b/>
              </w:rPr>
            </w:pPr>
            <w:r>
              <w:rPr>
                <w:rFonts w:hint="eastAsia" w:ascii="宋体" w:hAnsi="宋体"/>
                <w:kern w:val="0"/>
                <w:szCs w:val="21"/>
              </w:rPr>
              <w:t>1.2保修期满后，投标人应以优惠价供应维修零配件、消耗品和延续保修合同。价格最高的前5项零配件、消耗品和延续保修合同的报价明细必须填写于《零配件、消耗品和延续保修合同报价明清单》中。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tcPr>
          <w:p>
            <w:pPr>
              <w:rPr>
                <w:b/>
              </w:rPr>
            </w:pPr>
          </w:p>
        </w:tc>
        <w:tc>
          <w:tcPr>
            <w:tcW w:w="7220" w:type="dxa"/>
          </w:tcPr>
          <w:p>
            <w:pPr>
              <w:spacing w:line="300" w:lineRule="exact"/>
              <w:rPr>
                <w:b/>
              </w:rPr>
            </w:pPr>
            <w:r>
              <w:rPr>
                <w:rFonts w:hint="eastAsia" w:ascii="宋体" w:hAnsi="宋体"/>
                <w:kern w:val="0"/>
                <w:szCs w:val="21"/>
              </w:rPr>
              <w:t>1.3采购人可与投标人就优惠价进行谈判，但优惠价不得高于投标人在投标文件的《零配件、消耗品和延续保修合同报价明清单》中承诺的维修零配件、消耗品和延续保修合同的报价。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3" w:type="dxa"/>
            <w:vMerge w:val="continue"/>
            <w:vAlign w:val="center"/>
          </w:tcPr>
          <w:p>
            <w:pPr>
              <w:jc w:val="center"/>
              <w:rPr>
                <w:bCs/>
              </w:rPr>
            </w:pPr>
          </w:p>
        </w:tc>
        <w:tc>
          <w:tcPr>
            <w:tcW w:w="1157" w:type="dxa"/>
            <w:vMerge w:val="continue"/>
          </w:tcPr>
          <w:p>
            <w:pPr>
              <w:rPr>
                <w:b/>
              </w:rPr>
            </w:pPr>
          </w:p>
        </w:tc>
        <w:tc>
          <w:tcPr>
            <w:tcW w:w="7220" w:type="dxa"/>
          </w:tcPr>
          <w:p>
            <w:pPr>
              <w:rPr>
                <w:b/>
              </w:rPr>
            </w:pPr>
            <w:r>
              <w:rPr>
                <w:rFonts w:hint="eastAsia" w:ascii="宋体" w:hAnsi="宋体"/>
                <w:kern w:val="0"/>
                <w:szCs w:val="21"/>
              </w:rPr>
              <w:t>1.4设备制造商维修的货物经采购人验收合格，且设备制造商提供维修专用发票后，采购人支付维修费用。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tcPr>
          <w:p>
            <w:pPr>
              <w:rPr>
                <w:b/>
              </w:rPr>
            </w:pPr>
          </w:p>
        </w:tc>
        <w:tc>
          <w:tcPr>
            <w:tcW w:w="7220" w:type="dxa"/>
          </w:tcPr>
          <w:p>
            <w:pPr>
              <w:rPr>
                <w:b/>
              </w:rPr>
            </w:pPr>
            <w:r>
              <w:rPr>
                <w:rFonts w:hint="eastAsia" w:ascii="宋体" w:hAnsi="宋体"/>
                <w:kern w:val="0"/>
                <w:szCs w:val="21"/>
              </w:rPr>
              <w:t>1.5投标人及设备制造商不得以任何理由不按时进行维修，不得要求采购人购买所谓“保修服务”（即：不论设备有无故障先买保修服务），不得在设备中嵌设任何不利于采购人使用与维修设备的障碍。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820" w:type="dxa"/>
            <w:gridSpan w:val="3"/>
          </w:tcPr>
          <w:p>
            <w:pPr>
              <w:rPr>
                <w:b/>
              </w:rPr>
            </w:pPr>
            <w:r>
              <w:rPr>
                <w:rFonts w:hint="eastAsia"/>
                <w:b/>
              </w:rPr>
              <w:t>（三）其他商务要求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443" w:type="dxa"/>
            <w:vMerge w:val="restart"/>
            <w:vAlign w:val="center"/>
          </w:tcPr>
          <w:p>
            <w:pPr>
              <w:jc w:val="center"/>
              <w:rPr>
                <w:bCs/>
              </w:rPr>
            </w:pPr>
            <w:r>
              <w:rPr>
                <w:rFonts w:hint="eastAsia"/>
                <w:bCs/>
              </w:rPr>
              <w:t>1</w:t>
            </w:r>
          </w:p>
        </w:tc>
        <w:tc>
          <w:tcPr>
            <w:tcW w:w="1157" w:type="dxa"/>
            <w:vMerge w:val="restart"/>
            <w:vAlign w:val="center"/>
          </w:tcPr>
          <w:p>
            <w:r>
              <w:rPr>
                <w:rFonts w:hint="eastAsia"/>
              </w:rPr>
              <w:t>关于交货</w:t>
            </w:r>
          </w:p>
        </w:tc>
        <w:tc>
          <w:tcPr>
            <w:tcW w:w="7220" w:type="dxa"/>
          </w:tcPr>
          <w:p>
            <w:pPr>
              <w:rPr>
                <w:bCs/>
                <w:szCs w:val="21"/>
              </w:rPr>
            </w:pPr>
            <w:r>
              <w:rPr>
                <w:rFonts w:hint="eastAsia"/>
                <w:bCs/>
                <w:szCs w:val="21"/>
              </w:rPr>
              <w:t>1.1交货地点：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bCs/>
                <w:szCs w:val="21"/>
              </w:rPr>
            </w:pPr>
            <w:r>
              <w:rPr>
                <w:rFonts w:hint="eastAsia"/>
                <w:bCs/>
                <w:szCs w:val="21"/>
              </w:rPr>
              <w:t>1.2</w:t>
            </w:r>
            <w:r>
              <w:rPr>
                <w:rFonts w:hint="eastAsia" w:ascii="宋体" w:hAnsi="宋体"/>
                <w:spacing w:val="-3"/>
                <w:szCs w:val="21"/>
              </w:rPr>
              <w:t>提供的货物必须为全新、经检验合格的产品。产品如需要计量检定的应提供相关计量检定部门出具的合法检定报告。其中，进口设备必须具有</w:t>
            </w:r>
            <w:r>
              <w:rPr>
                <w:rFonts w:hint="eastAsia" w:ascii="宋体" w:hAnsi="宋体"/>
                <w:kern w:val="0"/>
                <w:szCs w:val="21"/>
              </w:rPr>
              <w:t>报关证明</w:t>
            </w:r>
            <w:r>
              <w:rPr>
                <w:rFonts w:hint="eastAsia" w:ascii="宋体" w:hAnsi="宋体"/>
                <w:spacing w:val="-3"/>
                <w:szCs w:val="21"/>
              </w:rPr>
              <w:t>文件、</w:t>
            </w:r>
            <w:r>
              <w:rPr>
                <w:rFonts w:hint="eastAsia" w:ascii="宋体" w:hAnsi="宋体"/>
                <w:kern w:val="0"/>
                <w:szCs w:val="21"/>
              </w:rPr>
              <w:t>原产地证明和</w:t>
            </w:r>
            <w:r>
              <w:rPr>
                <w:rFonts w:hint="eastAsia" w:ascii="宋体" w:hAnsi="宋体"/>
                <w:spacing w:val="-3"/>
                <w:szCs w:val="21"/>
              </w:rPr>
              <w:t>商检合格证明文件。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443" w:type="dxa"/>
            <w:vMerge w:val="continue"/>
            <w:vAlign w:val="center"/>
          </w:tcPr>
          <w:p>
            <w:pPr>
              <w:jc w:val="center"/>
              <w:rPr>
                <w:bCs/>
              </w:rPr>
            </w:pPr>
            <w:r>
              <w:rPr>
                <w:rFonts w:hint="eastAsia"/>
                <w:bCs/>
              </w:rPr>
              <w:t>+</w:t>
            </w:r>
          </w:p>
        </w:tc>
        <w:tc>
          <w:tcPr>
            <w:tcW w:w="1157" w:type="dxa"/>
            <w:vMerge w:val="continue"/>
            <w:vAlign w:val="center"/>
          </w:tcPr>
          <w:p>
            <w:pPr>
              <w:jc w:val="center"/>
            </w:pPr>
          </w:p>
        </w:tc>
        <w:tc>
          <w:tcPr>
            <w:tcW w:w="7220" w:type="dxa"/>
          </w:tcPr>
          <w:p>
            <w:pPr>
              <w:rPr>
                <w:bCs/>
                <w:szCs w:val="21"/>
              </w:rPr>
            </w:pPr>
            <w:r>
              <w:rPr>
                <w:rFonts w:hint="eastAsia"/>
                <w:bCs/>
                <w:szCs w:val="21"/>
              </w:rPr>
              <w:t>★1.3签订合同后</w:t>
            </w:r>
            <w:r>
              <w:rPr>
                <w:rFonts w:hint="eastAsia"/>
                <w:bCs/>
                <w:szCs w:val="21"/>
                <w:u w:val="single"/>
              </w:rPr>
              <w:t xml:space="preserve"> 45  </w:t>
            </w:r>
            <w:r>
              <w:rPr>
                <w:rFonts w:hint="eastAsia"/>
                <w:bCs/>
                <w:szCs w:val="21"/>
              </w:rPr>
              <w:t>天（日历日）内交货。交货地址：</w:t>
            </w:r>
            <w:r>
              <w:rPr>
                <w:rFonts w:hint="eastAsia"/>
              </w:rPr>
              <w:t>深圳市眼科医院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restart"/>
            <w:vAlign w:val="center"/>
          </w:tcPr>
          <w:p>
            <w:pPr>
              <w:jc w:val="center"/>
              <w:rPr>
                <w:bCs/>
              </w:rPr>
            </w:pPr>
            <w:r>
              <w:rPr>
                <w:rFonts w:hint="eastAsia"/>
                <w:bCs/>
              </w:rPr>
              <w:t>2</w:t>
            </w:r>
          </w:p>
        </w:tc>
        <w:tc>
          <w:tcPr>
            <w:tcW w:w="1157" w:type="dxa"/>
            <w:vMerge w:val="restart"/>
            <w:vAlign w:val="center"/>
          </w:tcPr>
          <w:p>
            <w:r>
              <w:rPr>
                <w:rFonts w:hint="eastAsia"/>
              </w:rPr>
              <w:t>运输、安装调试及验收</w:t>
            </w:r>
          </w:p>
        </w:tc>
        <w:tc>
          <w:tcPr>
            <w:tcW w:w="7220" w:type="dxa"/>
          </w:tcPr>
          <w:p>
            <w:pPr>
              <w:spacing w:line="340" w:lineRule="exact"/>
              <w:rPr>
                <w:bCs/>
                <w:szCs w:val="21"/>
              </w:rPr>
            </w:pPr>
            <w:r>
              <w:rPr>
                <w:rFonts w:hint="eastAsia"/>
                <w:bCs/>
                <w:szCs w:val="21"/>
              </w:rPr>
              <w:t>2</w:t>
            </w:r>
            <w:r>
              <w:rPr>
                <w:bCs/>
                <w:szCs w:val="21"/>
              </w:rPr>
              <w:t>.1</w:t>
            </w:r>
            <w:r>
              <w:rPr>
                <w:rFonts w:hint="eastAsia"/>
                <w:bCs/>
                <w:szCs w:val="21"/>
              </w:rPr>
              <w:t>投标人负责将货物安全无损运抵采购人指定地点,并承担设备的包装、运输、保险、装卸、安装调试、培训、商检及计量检测、关税、增值税和进口代理等费用。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
              </w:rPr>
            </w:pPr>
          </w:p>
        </w:tc>
        <w:tc>
          <w:tcPr>
            <w:tcW w:w="1157" w:type="dxa"/>
            <w:vMerge w:val="continue"/>
          </w:tcPr>
          <w:p>
            <w:pPr>
              <w:rPr>
                <w:b/>
              </w:rPr>
            </w:pPr>
          </w:p>
        </w:tc>
        <w:tc>
          <w:tcPr>
            <w:tcW w:w="7220" w:type="dxa"/>
          </w:tcPr>
          <w:p>
            <w:pPr>
              <w:spacing w:line="340" w:lineRule="exact"/>
              <w:rPr>
                <w:bCs/>
                <w:szCs w:val="21"/>
              </w:rPr>
            </w:pPr>
            <w:r>
              <w:rPr>
                <w:rFonts w:hint="eastAsia"/>
                <w:bCs/>
                <w:szCs w:val="21"/>
              </w:rPr>
              <w:t>2</w:t>
            </w:r>
            <w:r>
              <w:rPr>
                <w:bCs/>
                <w:szCs w:val="21"/>
              </w:rPr>
              <w:t>.2</w:t>
            </w:r>
            <w:r>
              <w:rPr>
                <w:rFonts w:hint="eastAsia"/>
                <w:bCs/>
                <w:szCs w:val="21"/>
              </w:rPr>
              <w:t>由采购人按合同和招标、投标文件约定的要求和标准及中华人民共和国现行的验收规范和评定标准进行交货验收。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
              </w:rPr>
            </w:pPr>
          </w:p>
        </w:tc>
        <w:tc>
          <w:tcPr>
            <w:tcW w:w="1157" w:type="dxa"/>
            <w:vMerge w:val="continue"/>
          </w:tcPr>
          <w:p>
            <w:pPr>
              <w:rPr>
                <w:b/>
              </w:rPr>
            </w:pPr>
          </w:p>
        </w:tc>
        <w:tc>
          <w:tcPr>
            <w:tcW w:w="7220" w:type="dxa"/>
          </w:tcPr>
          <w:p>
            <w:pPr>
              <w:spacing w:line="340" w:lineRule="exact"/>
              <w:rPr>
                <w:bCs/>
                <w:szCs w:val="21"/>
              </w:rPr>
            </w:pPr>
            <w:r>
              <w:rPr>
                <w:rFonts w:hint="eastAsia"/>
                <w:bCs/>
                <w:szCs w:val="21"/>
              </w:rPr>
              <w:t>2.</w:t>
            </w:r>
            <w:r>
              <w:rPr>
                <w:bCs/>
                <w:szCs w:val="21"/>
              </w:rPr>
              <w:t xml:space="preserve">3 </w:t>
            </w:r>
            <w:r>
              <w:rPr>
                <w:rFonts w:hint="eastAsia"/>
                <w:bCs/>
                <w:szCs w:val="21"/>
              </w:rPr>
              <w:t>投标人货物经过双方检验认可后，签署验收报告，产品保修期自验收合格之日起算，由投标人提供产品保修文件。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
              </w:rPr>
            </w:pPr>
          </w:p>
        </w:tc>
        <w:tc>
          <w:tcPr>
            <w:tcW w:w="1157" w:type="dxa"/>
            <w:vMerge w:val="continue"/>
          </w:tcPr>
          <w:p>
            <w:pPr>
              <w:rPr>
                <w:b/>
              </w:rPr>
            </w:pPr>
          </w:p>
        </w:tc>
        <w:tc>
          <w:tcPr>
            <w:tcW w:w="7220" w:type="dxa"/>
          </w:tcPr>
          <w:p>
            <w:pPr>
              <w:spacing w:line="340" w:lineRule="exact"/>
              <w:rPr>
                <w:bCs/>
                <w:szCs w:val="21"/>
              </w:rPr>
            </w:pPr>
            <w:r>
              <w:rPr>
                <w:rFonts w:hint="eastAsia"/>
                <w:bCs/>
                <w:szCs w:val="21"/>
              </w:rPr>
              <w:t>2.</w:t>
            </w:r>
            <w:r>
              <w:rPr>
                <w:bCs/>
                <w:szCs w:val="21"/>
              </w:rPr>
              <w:t>4</w:t>
            </w:r>
            <w:r>
              <w:rPr>
                <w:rFonts w:hint="eastAsia"/>
                <w:bCs/>
                <w:szCs w:val="21"/>
              </w:rPr>
              <w:t>当满足以下条件时，采购人才向中标人签发货物验收报告：</w:t>
            </w:r>
          </w:p>
          <w:p>
            <w:pPr>
              <w:rPr>
                <w:bCs/>
                <w:szCs w:val="21"/>
              </w:rPr>
            </w:pPr>
            <w:r>
              <w:rPr>
                <w:rFonts w:hint="eastAsia"/>
                <w:bCs/>
                <w:szCs w:val="21"/>
              </w:rPr>
              <w:t>（1）设备全新,外观无伤痕变形或明显修饰痕迹。</w:t>
            </w:r>
          </w:p>
          <w:p>
            <w:pPr>
              <w:rPr>
                <w:bCs/>
                <w:szCs w:val="21"/>
              </w:rPr>
            </w:pPr>
            <w:r>
              <w:rPr>
                <w:rFonts w:hint="eastAsia"/>
                <w:bCs/>
                <w:szCs w:val="21"/>
              </w:rPr>
              <w:t>（2）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pPr>
              <w:rPr>
                <w:bCs/>
                <w:szCs w:val="21"/>
              </w:rPr>
            </w:pPr>
            <w:r>
              <w:rPr>
                <w:rFonts w:hint="eastAsia"/>
                <w:bCs/>
                <w:szCs w:val="21"/>
              </w:rPr>
              <w:t>（3）技术文件资料、备件等已按规定数量移交完毕。</w:t>
            </w:r>
          </w:p>
          <w:p>
            <w:pPr>
              <w:rPr>
                <w:bCs/>
                <w:szCs w:val="21"/>
              </w:rPr>
            </w:pPr>
            <w:r>
              <w:rPr>
                <w:rFonts w:hint="eastAsia"/>
                <w:bCs/>
                <w:szCs w:val="21"/>
              </w:rPr>
              <w:t>（4）按照招标书要求及投标文件提供的技术要求验收必须合格。</w:t>
            </w:r>
          </w:p>
          <w:p>
            <w:pPr>
              <w:spacing w:line="340" w:lineRule="exact"/>
              <w:rPr>
                <w:bCs/>
                <w:szCs w:val="21"/>
              </w:rPr>
            </w:pPr>
            <w:r>
              <w:rPr>
                <w:rFonts w:hint="eastAsia"/>
                <w:bCs/>
                <w:szCs w:val="21"/>
              </w:rPr>
              <w:t>（5）投标人提供的各种文件载明的内容必须真实，其技术数据采购人有权要求投标人无偿提供采购人认可的第三方按照双方同意的试验方法进行检测。检测结果必须证明投标人提供的技术数据是真实的，否则视为不合格。</w:t>
            </w:r>
          </w:p>
          <w:p>
            <w:pPr>
              <w:spacing w:line="340" w:lineRule="exact"/>
              <w:rPr>
                <w:bCs/>
                <w:szCs w:val="21"/>
              </w:rPr>
            </w:pPr>
            <w:r>
              <w:rPr>
                <w:rFonts w:hint="eastAsia"/>
                <w:bCs/>
                <w:szCs w:val="21"/>
              </w:rPr>
              <w:t>（6）货物具备产品合格证。</w:t>
            </w:r>
          </w:p>
          <w:p>
            <w:pPr>
              <w:spacing w:line="340" w:lineRule="exact"/>
              <w:rPr>
                <w:bCs/>
                <w:szCs w:val="21"/>
              </w:rPr>
            </w:pPr>
            <w:r>
              <w:rPr>
                <w:rFonts w:hint="eastAsia"/>
                <w:bCs/>
                <w:szCs w:val="21"/>
              </w:rPr>
              <w:t>（7）在货物安装调试合格后，所有技术指标达到技术规范书要求，经验收合格后，双方共同签署验收报告。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restart"/>
            <w:vAlign w:val="center"/>
          </w:tcPr>
          <w:p>
            <w:pPr>
              <w:jc w:val="center"/>
              <w:rPr>
                <w:bCs/>
              </w:rPr>
            </w:pPr>
            <w:r>
              <w:rPr>
                <w:rFonts w:hint="eastAsia"/>
                <w:bCs/>
              </w:rPr>
              <w:t>3</w:t>
            </w:r>
          </w:p>
        </w:tc>
        <w:tc>
          <w:tcPr>
            <w:tcW w:w="1157" w:type="dxa"/>
            <w:vMerge w:val="restart"/>
            <w:vAlign w:val="center"/>
          </w:tcPr>
          <w:p>
            <w:pPr>
              <w:jc w:val="center"/>
            </w:pPr>
            <w:r>
              <w:rPr>
                <w:rFonts w:hint="eastAsia"/>
              </w:rPr>
              <w:t>关于违约</w:t>
            </w:r>
          </w:p>
        </w:tc>
        <w:tc>
          <w:tcPr>
            <w:tcW w:w="7220" w:type="dxa"/>
          </w:tcPr>
          <w:p>
            <w:pPr>
              <w:rPr>
                <w:b/>
              </w:rPr>
            </w:pPr>
            <w:r>
              <w:rPr>
                <w:rFonts w:hint="eastAsia"/>
                <w:b/>
              </w:rPr>
              <w:t>3.1</w:t>
            </w:r>
            <w:r>
              <w:rPr>
                <w:rFonts w:hint="eastAsia" w:ascii="宋体" w:hAnsi="宋体"/>
                <w:bCs/>
                <w:kern w:val="0"/>
                <w:szCs w:val="21"/>
              </w:rPr>
              <w:t>如投标人未按照投标文件中承诺的时间交货或提供服务，投标人应承担延期交货和延期服务的违约责任，并赔偿采购人因此造成的实际经济损失。实际经济损失超出履约保证金额，采购人有权终止合同。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b/>
                <w:color w:val="FF0000"/>
              </w:rPr>
            </w:pPr>
            <w:r>
              <w:rPr>
                <w:rFonts w:hint="eastAsia"/>
                <w:b/>
              </w:rPr>
              <w:t>3.2</w:t>
            </w:r>
            <w:r>
              <w:rPr>
                <w:rFonts w:hint="eastAsia" w:ascii="宋体" w:hAnsi="宋体"/>
                <w:bCs/>
                <w:kern w:val="0"/>
                <w:szCs w:val="21"/>
              </w:rPr>
              <w:t>投标人所交设备的品种、型号、规格、质量、功能、技术参数等方面不能实质性满足招标文件要约的，采购人有权拒绝收货，投标人向采购人偿付项目采购金额千分之</w:t>
            </w:r>
            <w:r>
              <w:rPr>
                <w:rFonts w:hint="eastAsia" w:ascii="宋体" w:hAnsi="宋体"/>
                <w:bCs/>
                <w:kern w:val="0"/>
                <w:szCs w:val="21"/>
                <w:u w:val="single"/>
              </w:rPr>
              <w:t xml:space="preserve">  十</w:t>
            </w:r>
            <w:r>
              <w:rPr>
                <w:rFonts w:hint="eastAsia" w:ascii="宋体" w:hAnsi="宋体"/>
                <w:bCs/>
                <w:kern w:val="0"/>
                <w:szCs w:val="21"/>
              </w:rPr>
              <w:t>（千分之十以上千分之二十以下）的违约金；造成严重后果的，根据《</w:t>
            </w:r>
            <w:r>
              <w:rPr>
                <w:rFonts w:ascii="宋体" w:hAnsi="宋体"/>
                <w:bCs/>
                <w:kern w:val="0"/>
                <w:szCs w:val="21"/>
              </w:rPr>
              <w:t>深圳经济特区政府采购条例</w:t>
            </w:r>
            <w:r>
              <w:rPr>
                <w:rFonts w:hint="eastAsia" w:ascii="宋体" w:hAnsi="宋体"/>
                <w:bCs/>
                <w:kern w:val="0"/>
                <w:szCs w:val="21"/>
              </w:rPr>
              <w:t>》第五十七条第（二）款规定，由主管部门对中标人进行处罚。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bCs/>
              </w:rPr>
            </w:pPr>
            <w:r>
              <w:rPr>
                <w:rFonts w:hint="eastAsia"/>
                <w:bCs/>
              </w:rPr>
              <w:t>3.3</w:t>
            </w:r>
            <w:r>
              <w:rPr>
                <w:rFonts w:hint="eastAsia" w:ascii="宋体" w:hAnsi="宋体"/>
                <w:bCs/>
                <w:kern w:val="0"/>
                <w:szCs w:val="21"/>
              </w:rPr>
              <w:t>投标人不能交付设备的，投标人向采购人偿付项目采购金额千分之</w:t>
            </w:r>
            <w:r>
              <w:rPr>
                <w:rFonts w:hint="eastAsia" w:ascii="宋体" w:hAnsi="宋体"/>
                <w:bCs/>
                <w:kern w:val="0"/>
                <w:szCs w:val="21"/>
                <w:u w:val="single"/>
              </w:rPr>
              <w:t xml:space="preserve">  十  </w:t>
            </w:r>
            <w:r>
              <w:rPr>
                <w:rFonts w:hint="eastAsia" w:ascii="宋体" w:hAnsi="宋体"/>
                <w:bCs/>
                <w:kern w:val="0"/>
                <w:szCs w:val="21"/>
              </w:rPr>
              <w:t>（千分之十以上千分之二十以下）的违约金；造成严重后果的，根据《</w:t>
            </w:r>
            <w:r>
              <w:rPr>
                <w:rFonts w:ascii="宋体" w:hAnsi="宋体"/>
                <w:bCs/>
                <w:kern w:val="0"/>
                <w:szCs w:val="21"/>
              </w:rPr>
              <w:t>深圳经济特区政府采购条例</w:t>
            </w:r>
            <w:r>
              <w:rPr>
                <w:rFonts w:hint="eastAsia" w:ascii="宋体" w:hAnsi="宋体"/>
                <w:bCs/>
                <w:kern w:val="0"/>
                <w:szCs w:val="21"/>
              </w:rPr>
              <w:t>》第五十七条第（二）款规定，由主管部门对中标人进行处罚。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bCs/>
              </w:rPr>
            </w:pPr>
            <w:r>
              <w:rPr>
                <w:rFonts w:hint="eastAsia"/>
                <w:bCs/>
              </w:rPr>
              <w:t>3.4</w:t>
            </w:r>
            <w:r>
              <w:rPr>
                <w:rFonts w:hint="eastAsia" w:ascii="宋体" w:hAnsi="宋体"/>
                <w:bCs/>
                <w:kern w:val="0"/>
                <w:szCs w:val="21"/>
              </w:rPr>
              <w:t>投标人逾期未交设备的，投标人向采购人每日偿付设备款千分之</w:t>
            </w:r>
            <w:r>
              <w:rPr>
                <w:rFonts w:hint="eastAsia" w:ascii="宋体" w:hAnsi="宋体"/>
                <w:bCs/>
                <w:kern w:val="0"/>
                <w:szCs w:val="21"/>
                <w:u w:val="single"/>
              </w:rPr>
              <w:t xml:space="preserve"> 十  </w:t>
            </w:r>
            <w:r>
              <w:rPr>
                <w:rFonts w:hint="eastAsia" w:ascii="宋体" w:hAnsi="宋体"/>
                <w:bCs/>
                <w:kern w:val="0"/>
                <w:szCs w:val="21"/>
              </w:rPr>
              <w:t>（千分之十以上千分之二十以下）的违约金。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rFonts w:ascii="宋体" w:hAnsi="宋体"/>
                <w:bCs/>
                <w:kern w:val="0"/>
                <w:szCs w:val="21"/>
              </w:rPr>
            </w:pPr>
            <w:r>
              <w:rPr>
                <w:rFonts w:hint="eastAsia" w:ascii="宋体" w:hAnsi="宋体"/>
                <w:bCs/>
                <w:kern w:val="0"/>
                <w:szCs w:val="21"/>
              </w:rPr>
              <w:t>3.5违约金先从由投标人履约保证金中扣除，若有不足部分则由中标人补齐。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bCs/>
              </w:rPr>
            </w:pPr>
            <w:r>
              <w:rPr>
                <w:rFonts w:hint="eastAsia"/>
                <w:bCs/>
              </w:rPr>
              <w:t>3.6中标人逾期交货的，将被没收履约保证金并按主管部门相关规定处理。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jc w:val="center"/>
              <w:rPr>
                <w:bCs/>
              </w:rPr>
            </w:pPr>
          </w:p>
        </w:tc>
        <w:tc>
          <w:tcPr>
            <w:tcW w:w="1157" w:type="dxa"/>
            <w:vMerge w:val="continue"/>
            <w:vAlign w:val="center"/>
          </w:tcPr>
          <w:p>
            <w:pPr>
              <w:jc w:val="center"/>
            </w:pPr>
          </w:p>
        </w:tc>
        <w:tc>
          <w:tcPr>
            <w:tcW w:w="7220" w:type="dxa"/>
          </w:tcPr>
          <w:p>
            <w:pPr>
              <w:rPr>
                <w:bCs/>
              </w:rPr>
            </w:pPr>
            <w:r>
              <w:rPr>
                <w:rFonts w:hint="eastAsia"/>
                <w:bCs/>
              </w:rPr>
              <w:t>3.7中标人所交付产品、工程或服务不符合其投标承诺的，或在投标阶段为了中标而盲目虚假承诺、低价恶性竞争，在履约阶段则通过偷工减料、以次充好而获取利润的，将被没收履约保证金，并被履约评价工作实施机构评为履约等级“差”并按主管部门相关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Align w:val="center"/>
          </w:tcPr>
          <w:p>
            <w:pPr>
              <w:jc w:val="center"/>
              <w:rPr>
                <w:bCs/>
              </w:rPr>
            </w:pPr>
            <w:r>
              <w:rPr>
                <w:rFonts w:hint="eastAsia"/>
                <w:bCs/>
              </w:rPr>
              <w:t>4</w:t>
            </w:r>
          </w:p>
        </w:tc>
        <w:tc>
          <w:tcPr>
            <w:tcW w:w="1157" w:type="dxa"/>
            <w:vAlign w:val="center"/>
          </w:tcPr>
          <w:p>
            <w:pPr>
              <w:jc w:val="center"/>
            </w:pPr>
            <w:r>
              <w:rPr>
                <w:rFonts w:hint="eastAsia"/>
              </w:rPr>
              <w:t>关于付款</w:t>
            </w:r>
          </w:p>
        </w:tc>
        <w:tc>
          <w:tcPr>
            <w:tcW w:w="7220" w:type="dxa"/>
          </w:tcPr>
          <w:p>
            <w:pPr>
              <w:rPr>
                <w:b/>
              </w:rPr>
            </w:pPr>
            <w:r>
              <w:rPr>
                <w:rFonts w:hint="eastAsia"/>
                <w:bCs/>
                <w:szCs w:val="21"/>
              </w:rPr>
              <w:t>合同签订后，在设备安装完成经采购人验收合格后，中标人提供全额合法有效发票后，采购人在</w:t>
            </w:r>
            <w:r>
              <w:rPr>
                <w:rFonts w:hint="eastAsia"/>
                <w:bCs/>
                <w:szCs w:val="21"/>
                <w:u w:val="single"/>
              </w:rPr>
              <w:t>30</w:t>
            </w:r>
            <w:r>
              <w:rPr>
                <w:rFonts w:hint="eastAsia"/>
                <w:bCs/>
                <w:szCs w:val="21"/>
              </w:rPr>
              <w:t>工作日内付中标人全额货款，采购人因财政审批导致迟延付款的，不视为甲方违约，中标人仍应按照本合同约定履行义务。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Align w:val="center"/>
          </w:tcPr>
          <w:p>
            <w:pPr>
              <w:jc w:val="center"/>
              <w:rPr>
                <w:bCs/>
              </w:rPr>
            </w:pPr>
            <w:r>
              <w:rPr>
                <w:rFonts w:hint="eastAsia"/>
                <w:bCs/>
              </w:rPr>
              <w:t>5</w:t>
            </w:r>
          </w:p>
        </w:tc>
        <w:tc>
          <w:tcPr>
            <w:tcW w:w="1157" w:type="dxa"/>
            <w:vAlign w:val="center"/>
          </w:tcPr>
          <w:p>
            <w:pPr>
              <w:jc w:val="center"/>
            </w:pPr>
            <w:r>
              <w:rPr>
                <w:rFonts w:hint="eastAsia"/>
              </w:rPr>
              <w:t>报价要求</w:t>
            </w:r>
          </w:p>
        </w:tc>
        <w:tc>
          <w:tcPr>
            <w:tcW w:w="7220" w:type="dxa"/>
          </w:tcPr>
          <w:p>
            <w:pPr>
              <w:ind w:firstLine="420" w:firstLineChars="200"/>
              <w:rPr>
                <w:bCs/>
                <w:szCs w:val="21"/>
              </w:rPr>
            </w:pPr>
            <w:r>
              <w:rPr>
                <w:rFonts w:hint="eastAsia"/>
                <w:bCs/>
                <w:szCs w:val="21"/>
              </w:rPr>
              <w:t xml:space="preserve">投标总价必须是完成该项目的一切费用总和，包括设备费、运输费、装卸费、保险费、技术培训费、设备安装费、调试费、售后服务费、国家规定的各项税费等全部费用；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restart"/>
            <w:vAlign w:val="center"/>
          </w:tcPr>
          <w:p>
            <w:pPr>
              <w:jc w:val="center"/>
              <w:rPr>
                <w:b/>
                <w:color w:val="FF0000"/>
              </w:rPr>
            </w:pPr>
            <w:r>
              <w:rPr>
                <w:b/>
                <w:color w:val="FF0000"/>
              </w:rPr>
              <w:t>6</w:t>
            </w:r>
          </w:p>
        </w:tc>
        <w:tc>
          <w:tcPr>
            <w:tcW w:w="1157" w:type="dxa"/>
            <w:vMerge w:val="restart"/>
            <w:vAlign w:val="center"/>
          </w:tcPr>
          <w:p>
            <w:pPr>
              <w:jc w:val="center"/>
              <w:rPr>
                <w:b/>
                <w:color w:val="FF0000"/>
              </w:rPr>
            </w:pPr>
            <w:r>
              <w:rPr>
                <w:rFonts w:hint="eastAsia"/>
                <w:b/>
                <w:color w:val="FF0000"/>
              </w:rPr>
              <w:t>项目（产品）要求</w:t>
            </w:r>
          </w:p>
        </w:tc>
        <w:tc>
          <w:tcPr>
            <w:tcW w:w="7220" w:type="dxa"/>
          </w:tcPr>
          <w:p>
            <w:pPr>
              <w:rPr>
                <w:b/>
                <w:color w:val="FF0000"/>
              </w:rPr>
            </w:pPr>
            <w:r>
              <w:rPr>
                <w:rFonts w:hint="eastAsia"/>
                <w:b/>
                <w:color w:val="FF0000"/>
              </w:rPr>
              <w:t>★</w:t>
            </w:r>
            <w:r>
              <w:rPr>
                <w:b/>
                <w:color w:val="FF0000"/>
              </w:rPr>
              <w:t>6</w:t>
            </w:r>
            <w:r>
              <w:rPr>
                <w:rFonts w:hint="eastAsia"/>
                <w:b/>
                <w:color w:val="FF0000"/>
              </w:rPr>
              <w:t>.1若所投产品为进口，则投标人必须提供由设备制造商或授权的中国总代理签署的合法有效的保修、维修承诺函（免费保修期满足招标文件要求）扫描件，原件备查；若所投产品为国产产品，则无需提供。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443" w:type="dxa"/>
            <w:vMerge w:val="continue"/>
            <w:vAlign w:val="center"/>
          </w:tcPr>
          <w:p>
            <w:pPr>
              <w:rPr>
                <w:b/>
                <w:color w:val="FF0000"/>
              </w:rPr>
            </w:pPr>
          </w:p>
        </w:tc>
        <w:tc>
          <w:tcPr>
            <w:tcW w:w="1157" w:type="dxa"/>
            <w:vMerge w:val="continue"/>
          </w:tcPr>
          <w:p>
            <w:pPr>
              <w:rPr>
                <w:b/>
                <w:color w:val="FF0000"/>
              </w:rPr>
            </w:pPr>
          </w:p>
        </w:tc>
        <w:tc>
          <w:tcPr>
            <w:tcW w:w="7220" w:type="dxa"/>
          </w:tcPr>
          <w:p>
            <w:pPr>
              <w:rPr>
                <w:b/>
                <w:color w:val="FF0000"/>
              </w:rPr>
            </w:pPr>
            <w:r>
              <w:rPr>
                <w:rFonts w:hint="eastAsia"/>
                <w:b/>
                <w:color w:val="FF0000"/>
              </w:rPr>
              <w:t>★</w:t>
            </w:r>
            <w:r>
              <w:rPr>
                <w:b/>
                <w:color w:val="FF0000"/>
              </w:rPr>
              <w:t>6.2</w:t>
            </w:r>
            <w:r>
              <w:rPr>
                <w:rFonts w:hint="eastAsia"/>
                <w:b/>
                <w:color w:val="FF0000"/>
              </w:rPr>
              <w:t>投标人所投产品具备相关主管部门要求的认证资料：所投产品为第一类医疗器械的，提供食品药品监督管理部门签发的有效的《医疗器械备案凭证》扫描件，原件备查；所投产品为第二、三类医疗器械的，提供食品药品监督管理部门签发的涵盖所投产品的《医疗器械注册证》(有效期内)扫描件，原件备查。</w:t>
            </w:r>
          </w:p>
        </w:tc>
      </w:tr>
    </w:tbl>
    <w:p>
      <w:pPr>
        <w:pStyle w:val="2"/>
        <w:spacing w:before="120" w:beforeLines="50" w:after="120" w:afterLines="50"/>
        <w:rPr>
          <w:sz w:val="28"/>
          <w:szCs w:val="28"/>
        </w:rPr>
      </w:pPr>
      <w:r>
        <w:rPr>
          <w:rFonts w:hint="eastAsia"/>
          <w:sz w:val="28"/>
          <w:szCs w:val="28"/>
        </w:rPr>
        <w:t>六、政策导向</w:t>
      </w:r>
    </w:p>
    <w:p>
      <w:pPr>
        <w:spacing w:line="400" w:lineRule="exact"/>
        <w:ind w:firstLine="315" w:firstLineChars="150"/>
        <w:rPr>
          <w:bCs/>
          <w:szCs w:val="21"/>
        </w:rPr>
      </w:pPr>
      <w:r>
        <w:rPr>
          <w:rFonts w:hint="eastAsia"/>
          <w:bCs/>
          <w:szCs w:val="21"/>
        </w:rPr>
        <w:t>1、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pPr>
        <w:ind w:firstLine="405"/>
        <w:rPr>
          <w:rFonts w:ascii="宋体" w:hAnsi="宋体"/>
        </w:rPr>
      </w:pPr>
      <w:r>
        <w:rPr>
          <w:rFonts w:hint="eastAsia"/>
          <w:color w:val="000000"/>
          <w:shd w:val="clear" w:color="auto" w:fill="FFFFFF"/>
        </w:rPr>
        <w:t>2、</w:t>
      </w:r>
      <w:r>
        <w:rPr>
          <w:rFonts w:hint="eastAsia" w:ascii="宋体" w:hAnsi="宋体"/>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pPr>
        <w:ind w:firstLine="405"/>
        <w:rPr>
          <w:rFonts w:ascii="宋体" w:hAnsi="宋体"/>
        </w:rPr>
      </w:pPr>
      <w:r>
        <w:rPr>
          <w:rFonts w:hint="eastAsia" w:ascii="宋体" w:hAnsi="宋体"/>
        </w:rPr>
        <w:t>3、“信用中国”、“中国政府采购网”、“深圳信用网”以及“深圳市政府采购监管网”为供应商信用信息的查询渠道，相关信息以开标当日的查询结果为准。</w:t>
      </w:r>
    </w:p>
    <w:p>
      <w:pPr>
        <w:ind w:firstLine="405"/>
        <w:rPr>
          <w:rFonts w:ascii="宋体" w:hAnsi="宋体"/>
        </w:rPr>
      </w:pPr>
    </w:p>
    <w:p>
      <w:pPr>
        <w:pStyle w:val="2"/>
        <w:spacing w:before="120" w:beforeLines="50" w:after="120" w:afterLines="50"/>
        <w:rPr>
          <w:sz w:val="28"/>
          <w:szCs w:val="28"/>
        </w:rPr>
      </w:pPr>
      <w:r>
        <w:rPr>
          <w:rFonts w:hint="eastAsia"/>
          <w:sz w:val="28"/>
          <w:szCs w:val="28"/>
        </w:rPr>
        <w:t>七、暗标要求</w:t>
      </w:r>
    </w:p>
    <w:p>
      <w:pPr>
        <w:ind w:firstLine="420" w:firstLineChars="200"/>
        <w:rPr>
          <w:szCs w:val="21"/>
        </w:rPr>
      </w:pPr>
      <w:r>
        <w:rPr>
          <w:rFonts w:hint="eastAsia"/>
        </w:rPr>
        <w:t>根据《深圳市财政委员会深圳市政府采购中心关于启用暗标评审系统的通知》，本项目采用暗标评审。供应商采用投标书编制软件（暗标版本）编制暗标评审项目的投标文件。编制时，应当制作两份内容一致的投标文件，其中一份为不作任何屏蔽处理的、有供应商名称等完整投标信息的明标投标文件；另一份为根据招标文件相关要求屏蔽供应商名称等标记符号的暗标投标文件。</w:t>
      </w:r>
    </w:p>
    <w:p>
      <w:pPr>
        <w:ind w:firstLine="410"/>
        <w:rPr>
          <w:b/>
        </w:rPr>
      </w:pPr>
      <w:r>
        <w:rPr>
          <w:rFonts w:hint="eastAsia"/>
          <w:b/>
        </w:rPr>
        <w:t>信息屏蔽要求：（</w:t>
      </w:r>
      <w:r>
        <w:rPr>
          <w:b/>
        </w:rPr>
        <w:t>1</w:t>
      </w:r>
      <w:r>
        <w:rPr>
          <w:rFonts w:hint="eastAsia"/>
          <w:b/>
        </w:rPr>
        <w:t>）屏蔽的信息：投标人单位名称、人员姓名和投标人特有的标志及图案，具体包括投标人单位全称、简称、外文名称、特有</w:t>
      </w:r>
      <w:r>
        <w:rPr>
          <w:b/>
        </w:rPr>
        <w:t>logo</w:t>
      </w:r>
      <w:r>
        <w:rPr>
          <w:rFonts w:hint="eastAsia"/>
          <w:b/>
        </w:rPr>
        <w:t>及人员姓名。（</w:t>
      </w:r>
      <w:r>
        <w:rPr>
          <w:b/>
        </w:rPr>
        <w:t>2</w:t>
      </w:r>
      <w:r>
        <w:rPr>
          <w:rFonts w:hint="eastAsia"/>
          <w:b/>
        </w:rPr>
        <w:t>）投标人上传的暗标投标文件非扫描文件部分用“</w:t>
      </w:r>
      <w:r>
        <w:rPr>
          <w:b/>
        </w:rPr>
        <w:t>*</w:t>
      </w:r>
      <w:r>
        <w:rPr>
          <w:rFonts w:hint="eastAsia"/>
          <w:b/>
        </w:rPr>
        <w:t>”代替屏蔽的信息，扫描文件部分采用遮盖形式屏蔽要求屏蔽的信息。</w:t>
      </w:r>
    </w:p>
    <w:p>
      <w:pPr>
        <w:rPr>
          <w:b/>
        </w:rPr>
      </w:pPr>
    </w:p>
    <w:p>
      <w:pPr>
        <w:pStyle w:val="3"/>
        <w:spacing w:before="60" w:beforeLines="25" w:after="60" w:afterLines="25"/>
        <w:ind w:firstLine="394" w:firstLineChars="187"/>
        <w:rPr>
          <w:rFonts w:ascii="宋体" w:hAnsi="宋体"/>
          <w:szCs w:val="21"/>
        </w:rPr>
      </w:pPr>
      <w:r>
        <w:rPr>
          <w:rFonts w:hint="eastAsia"/>
          <w:b/>
        </w:rPr>
        <w:t>暗标评审系统操作中如有疑问可拨打深圳公共资源交易中心（深圳交易集团有限公司政府采购业务分公司）技术支持服务电话咨询，联系方式：0755-83938599，83948100，83938584，也可上深圳公共资源交易中心（深圳交易集团有限公司政府采购业务分公司）网站首页</w:t>
      </w:r>
      <w:r>
        <w:rPr>
          <w:b/>
        </w:rPr>
        <w:t>QQ</w:t>
      </w:r>
      <w:r>
        <w:rPr>
          <w:rFonts w:hint="eastAsia"/>
          <w:b/>
        </w:rPr>
        <w:t>联系。</w:t>
      </w:r>
    </w:p>
    <w:p>
      <w:pPr>
        <w:ind w:firstLine="405"/>
        <w:rPr>
          <w:rFonts w:ascii="宋体" w:hAnsi="宋体"/>
        </w:rPr>
      </w:pPr>
    </w:p>
    <w:p>
      <w:pPr>
        <w:pStyle w:val="2"/>
        <w:rPr>
          <w:kern w:val="2"/>
        </w:rPr>
      </w:pPr>
      <w:r>
        <w:rPr>
          <w:rFonts w:hint="eastAsia"/>
          <w:kern w:val="2"/>
        </w:rPr>
        <w:t>第三章 投标文件格式、附件</w:t>
      </w:r>
    </w:p>
    <w:p>
      <w:pPr>
        <w:rPr>
          <w:rStyle w:val="58"/>
          <w:sz w:val="24"/>
        </w:rPr>
      </w:pPr>
      <w:r>
        <w:rPr>
          <w:rStyle w:val="58"/>
          <w:rFonts w:hint="eastAsia"/>
          <w:sz w:val="24"/>
        </w:rPr>
        <w:t>特别提醒：</w:t>
      </w:r>
    </w:p>
    <w:p>
      <w:pPr>
        <w:ind w:firstLine="480" w:firstLineChars="200"/>
        <w:rPr>
          <w:rFonts w:ascii="仿宋_GB2312" w:eastAsia="仿宋_GB2312"/>
          <w:sz w:val="24"/>
        </w:rPr>
      </w:pPr>
      <w:r>
        <w:rPr>
          <w:rFonts w:hint="eastAsia" w:ascii="仿宋_GB2312" w:eastAsia="仿宋_GB2312"/>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rPr>
          <w:rFonts w:ascii="仿宋_GB2312" w:eastAsia="仿宋_GB2312"/>
          <w:sz w:val="24"/>
        </w:rPr>
      </w:pPr>
      <w:r>
        <w:rPr>
          <w:rFonts w:hint="eastAsia" w:ascii="仿宋_GB2312" w:eastAsia="仿宋_GB2312"/>
          <w:sz w:val="24"/>
        </w:rPr>
        <w:t xml:space="preserve">    投标文件正文（信息公开部分）必须编制于“投标书目录”部分，投标文件附件（非信息公开部分）必须编制于“投标书附件”部分，如下图所示。</w:t>
      </w:r>
    </w:p>
    <w:p>
      <w:pPr>
        <w:widowControl/>
        <w:jc w:val="left"/>
        <w:rPr>
          <w:rFonts w:ascii="宋体" w:hAnsi="宋体" w:cs="宋体"/>
          <w:kern w:val="0"/>
          <w:sz w:val="24"/>
        </w:rPr>
      </w:pPr>
      <w:r>
        <w:rPr>
          <w:rFonts w:ascii="宋体" w:hAnsi="宋体" w:cs="宋体"/>
          <w:kern w:val="0"/>
          <w:sz w:val="24"/>
        </w:rPr>
        <w:drawing>
          <wp:inline distT="0" distB="0" distL="0" distR="0">
            <wp:extent cx="4933950" cy="5172075"/>
            <wp:effectExtent l="19050" t="0" r="0" b="0"/>
            <wp:docPr id="11" name="图片 11" descr="C:\Users\Administrator\Documents\Tencent Files\9571728\Image\C2C\F9)3IDR8GS@SBU}%$MKJ18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Documents\Tencent Files\9571728\Image\C2C\F9)3IDR8GS@SBU}%$MKJ18W.jpg"/>
                    <pic:cNvPicPr>
                      <a:picLocks noChangeAspect="1" noChangeArrowheads="1"/>
                    </pic:cNvPicPr>
                  </pic:nvPicPr>
                  <pic:blipFill>
                    <a:blip r:embed="rId7" cstate="print"/>
                    <a:srcRect/>
                    <a:stretch>
                      <a:fillRect/>
                    </a:stretch>
                  </pic:blipFill>
                  <pic:spPr>
                    <a:xfrm>
                      <a:off x="0" y="0"/>
                      <a:ext cx="4933950" cy="5172075"/>
                    </a:xfrm>
                    <a:prstGeom prst="rect">
                      <a:avLst/>
                    </a:prstGeom>
                    <a:noFill/>
                    <a:ln w="9525">
                      <a:noFill/>
                      <a:miter lim="800000"/>
                      <a:headEnd/>
                      <a:tailEnd/>
                    </a:ln>
                  </pic:spPr>
                </pic:pic>
              </a:graphicData>
            </a:graphic>
          </wp:inline>
        </w:drawing>
      </w:r>
    </w:p>
    <w:p>
      <w:pPr>
        <w:rPr>
          <w:rFonts w:ascii="仿宋_GB2312" w:eastAsia="仿宋_GB2312"/>
          <w:sz w:val="24"/>
        </w:rPr>
      </w:pPr>
    </w:p>
    <w:p>
      <w:pPr>
        <w:jc w:val="center"/>
        <w:rPr>
          <w:rFonts w:ascii="仿宋_GB2312" w:eastAsia="仿宋_GB2312"/>
          <w:sz w:val="24"/>
        </w:rPr>
      </w:pPr>
    </w:p>
    <w:p>
      <w:pPr>
        <w:ind w:firstLine="480" w:firstLineChars="200"/>
        <w:rPr>
          <w:rFonts w:ascii="仿宋_GB2312" w:eastAsia="仿宋_GB2312"/>
          <w:sz w:val="24"/>
        </w:rPr>
      </w:pPr>
      <w:r>
        <w:rPr>
          <w:rFonts w:hint="eastAsia" w:ascii="仿宋_GB2312" w:eastAsia="仿宋_GB2312"/>
          <w:sz w:val="24"/>
        </w:rPr>
        <w:t>我司公布投标文件正文（信息公开部分）时为计算机截取信息自动公布，如投标人误将涉及个人隐私的信息放入投标文件正文，相关后果由投标人自负；</w:t>
      </w:r>
      <w:r>
        <w:rPr>
          <w:rFonts w:hint="eastAsia" w:ascii="仿宋_GB2312" w:eastAsia="仿宋_GB2312"/>
          <w:sz w:val="24"/>
          <w:highlight w:val="yellow"/>
        </w:rPr>
        <w:t>如投标人将必须放于投标文件正文（信息公开部分）的内容放入投标文件附件（非信息公开部分），将作投标无效处理。</w:t>
      </w:r>
    </w:p>
    <w:p>
      <w:pPr>
        <w:ind w:firstLine="482" w:firstLineChars="200"/>
        <w:rPr>
          <w:rFonts w:ascii="宋体" w:hAnsi="宋体"/>
          <w:b/>
          <w:sz w:val="24"/>
        </w:rPr>
      </w:pPr>
    </w:p>
    <w:p>
      <w:pPr>
        <w:rPr>
          <w:rFonts w:ascii="仿宋_GB2312" w:eastAsia="仿宋_GB2312"/>
          <w:sz w:val="24"/>
        </w:rPr>
      </w:pPr>
    </w:p>
    <w:p>
      <w:pPr>
        <w:rPr>
          <w:rFonts w:ascii="黑体" w:eastAsia="黑体"/>
          <w:bCs/>
          <w:sz w:val="28"/>
          <w:szCs w:val="28"/>
        </w:rPr>
      </w:pPr>
      <w:r>
        <w:rPr>
          <w:rStyle w:val="58"/>
          <w:rFonts w:hint="eastAsia"/>
          <w:sz w:val="28"/>
          <w:szCs w:val="28"/>
        </w:rPr>
        <w:t>投标文件组成：</w:t>
      </w:r>
    </w:p>
    <w:p>
      <w:pPr>
        <w:ind w:firstLine="1200" w:firstLineChars="500"/>
        <w:outlineLvl w:val="0"/>
        <w:rPr>
          <w:rFonts w:ascii="宋体" w:hAnsi="宋体"/>
          <w:sz w:val="24"/>
        </w:rPr>
      </w:pPr>
      <w:bookmarkStart w:id="30" w:name="_Hlk72257253"/>
      <w:r>
        <w:rPr>
          <w:rFonts w:hint="eastAsia" w:ascii="宋体" w:hAnsi="宋体"/>
          <w:sz w:val="24"/>
        </w:rPr>
        <w:t>1.投标文件正文</w:t>
      </w:r>
      <w:r>
        <w:rPr>
          <w:rFonts w:hint="eastAsia" w:ascii="宋体" w:hAnsi="宋体"/>
          <w:b/>
          <w:color w:val="FF0000"/>
          <w:sz w:val="24"/>
        </w:rPr>
        <w:t>（信息公开部分）</w:t>
      </w:r>
      <w:r>
        <w:rPr>
          <w:rFonts w:hint="eastAsia" w:ascii="宋体" w:hAnsi="宋体"/>
          <w:sz w:val="24"/>
        </w:rPr>
        <w:t>，主要包括以下内容：</w:t>
      </w:r>
    </w:p>
    <w:p>
      <w:pPr>
        <w:ind w:left="718" w:leftChars="342" w:firstLine="1417" w:firstLineChars="675"/>
        <w:rPr>
          <w:szCs w:val="21"/>
        </w:rPr>
      </w:pPr>
      <w:r>
        <w:rPr>
          <w:rFonts w:hint="eastAsia"/>
          <w:szCs w:val="21"/>
        </w:rPr>
        <w:t>（1）</w:t>
      </w:r>
      <w:bookmarkStart w:id="31" w:name="_Hlk72070784"/>
      <w:r>
        <w:rPr>
          <w:rFonts w:hint="eastAsia"/>
          <w:szCs w:val="21"/>
        </w:rPr>
        <w:t>投标函</w:t>
      </w:r>
      <w:bookmarkEnd w:id="31"/>
    </w:p>
    <w:p>
      <w:pPr>
        <w:ind w:left="718" w:leftChars="342" w:firstLine="1417" w:firstLineChars="675"/>
        <w:rPr>
          <w:szCs w:val="21"/>
        </w:rPr>
      </w:pPr>
      <w:r>
        <w:rPr>
          <w:rFonts w:hint="eastAsia"/>
          <w:szCs w:val="21"/>
        </w:rPr>
        <w:t>（2）</w:t>
      </w:r>
      <w:bookmarkStart w:id="32" w:name="_Hlk72062521"/>
      <w:r>
        <w:rPr>
          <w:rFonts w:hint="eastAsia"/>
          <w:szCs w:val="21"/>
        </w:rPr>
        <w:t>政府采购投标及履约承诺函</w:t>
      </w:r>
      <w:bookmarkEnd w:id="32"/>
    </w:p>
    <w:p>
      <w:pPr>
        <w:ind w:left="718" w:leftChars="342" w:firstLine="1417" w:firstLineChars="675"/>
        <w:rPr>
          <w:szCs w:val="21"/>
        </w:rPr>
      </w:pPr>
      <w:r>
        <w:rPr>
          <w:rFonts w:hint="eastAsia"/>
          <w:szCs w:val="21"/>
        </w:rPr>
        <w:t>（</w:t>
      </w:r>
      <w:r>
        <w:rPr>
          <w:szCs w:val="21"/>
        </w:rPr>
        <w:t>3</w:t>
      </w:r>
      <w:r>
        <w:rPr>
          <w:rFonts w:hint="eastAsia"/>
          <w:szCs w:val="21"/>
        </w:rPr>
        <w:t>）投标人情况及资格证明文件</w:t>
      </w:r>
    </w:p>
    <w:p>
      <w:pPr>
        <w:ind w:left="718" w:leftChars="342" w:firstLine="1417" w:firstLineChars="675"/>
        <w:rPr>
          <w:szCs w:val="21"/>
        </w:rPr>
      </w:pPr>
      <w:bookmarkStart w:id="33" w:name="_Hlk72257201"/>
      <w:r>
        <w:rPr>
          <w:rFonts w:hint="eastAsia"/>
          <w:szCs w:val="21"/>
        </w:rPr>
        <w:t>（</w:t>
      </w:r>
      <w:r>
        <w:rPr>
          <w:szCs w:val="21"/>
        </w:rPr>
        <w:t>4</w:t>
      </w:r>
      <w:r>
        <w:rPr>
          <w:rFonts w:hint="eastAsia"/>
          <w:szCs w:val="21"/>
        </w:rPr>
        <w:t>）项目详细报价</w:t>
      </w:r>
      <w:bookmarkEnd w:id="33"/>
    </w:p>
    <w:p>
      <w:pPr>
        <w:ind w:left="718" w:leftChars="342" w:firstLine="1417" w:firstLineChars="675"/>
        <w:rPr>
          <w:szCs w:val="21"/>
        </w:rPr>
      </w:pPr>
    </w:p>
    <w:p>
      <w:pPr>
        <w:ind w:firstLine="1200" w:firstLineChars="500"/>
        <w:outlineLvl w:val="0"/>
        <w:rPr>
          <w:rFonts w:ascii="宋体" w:hAnsi="宋体"/>
          <w:sz w:val="24"/>
        </w:rPr>
      </w:pPr>
      <w:r>
        <w:rPr>
          <w:rFonts w:hint="eastAsia" w:ascii="宋体" w:hAnsi="宋体"/>
          <w:sz w:val="24"/>
        </w:rPr>
        <w:t>2.投标文件附件</w:t>
      </w:r>
      <w:r>
        <w:rPr>
          <w:rFonts w:hint="eastAsia" w:ascii="宋体" w:hAnsi="宋体"/>
          <w:b/>
          <w:color w:val="FF0000"/>
          <w:sz w:val="24"/>
        </w:rPr>
        <w:t>（信息不公开部分）</w:t>
      </w:r>
      <w:r>
        <w:rPr>
          <w:rFonts w:hint="eastAsia" w:ascii="宋体" w:hAnsi="宋体"/>
          <w:sz w:val="24"/>
        </w:rPr>
        <w:t>：主要包括以下内容：</w:t>
      </w:r>
    </w:p>
    <w:p>
      <w:pPr>
        <w:ind w:firstLine="2100" w:firstLineChars="1000"/>
        <w:rPr>
          <w:szCs w:val="21"/>
        </w:rPr>
      </w:pPr>
      <w:r>
        <w:rPr>
          <w:rFonts w:hint="eastAsia"/>
          <w:szCs w:val="21"/>
        </w:rPr>
        <w:t>（1）法定代表人（负责人）证明书</w:t>
      </w:r>
    </w:p>
    <w:p>
      <w:pPr>
        <w:ind w:left="718" w:leftChars="342" w:firstLine="1417" w:firstLineChars="675"/>
        <w:rPr>
          <w:szCs w:val="21"/>
        </w:rPr>
      </w:pPr>
      <w:r>
        <w:rPr>
          <w:rFonts w:hint="eastAsia"/>
          <w:szCs w:val="21"/>
        </w:rPr>
        <w:t>（2）投标文件签署授权委托书</w:t>
      </w:r>
    </w:p>
    <w:p>
      <w:pPr>
        <w:ind w:left="718" w:leftChars="342" w:firstLine="1417" w:firstLineChars="675"/>
        <w:rPr>
          <w:szCs w:val="21"/>
        </w:rPr>
      </w:pPr>
      <w:r>
        <w:rPr>
          <w:rFonts w:hint="eastAsia"/>
          <w:szCs w:val="21"/>
        </w:rPr>
        <w:t>（3）实质性条款响应情况表</w:t>
      </w:r>
    </w:p>
    <w:p>
      <w:pPr>
        <w:ind w:left="718" w:leftChars="342" w:firstLine="1417" w:firstLineChars="675"/>
        <w:rPr>
          <w:szCs w:val="21"/>
        </w:rPr>
      </w:pPr>
      <w:r>
        <w:rPr>
          <w:rFonts w:hint="eastAsia"/>
          <w:szCs w:val="21"/>
        </w:rPr>
        <w:t>（</w:t>
      </w:r>
      <w:r>
        <w:rPr>
          <w:szCs w:val="21"/>
        </w:rPr>
        <w:t>4</w:t>
      </w:r>
      <w:r>
        <w:rPr>
          <w:rFonts w:hint="eastAsia"/>
          <w:szCs w:val="21"/>
        </w:rPr>
        <w:t>）技术要求偏离表</w:t>
      </w:r>
    </w:p>
    <w:p>
      <w:pPr>
        <w:ind w:left="718" w:leftChars="342" w:firstLine="1417" w:firstLineChars="675"/>
        <w:rPr>
          <w:szCs w:val="21"/>
        </w:rPr>
      </w:pPr>
      <w:r>
        <w:rPr>
          <w:rFonts w:hint="eastAsia"/>
          <w:szCs w:val="21"/>
        </w:rPr>
        <w:t>（</w:t>
      </w:r>
      <w:r>
        <w:rPr>
          <w:szCs w:val="21"/>
        </w:rPr>
        <w:t>5</w:t>
      </w:r>
      <w:r>
        <w:rPr>
          <w:rFonts w:hint="eastAsia"/>
          <w:szCs w:val="21"/>
        </w:rPr>
        <w:t>）商务要求偏离表</w:t>
      </w:r>
    </w:p>
    <w:p>
      <w:pPr>
        <w:ind w:left="718" w:leftChars="342" w:firstLine="1417" w:firstLineChars="675"/>
        <w:rPr>
          <w:szCs w:val="21"/>
        </w:rPr>
      </w:pPr>
      <w:r>
        <w:rPr>
          <w:rFonts w:hint="eastAsia"/>
          <w:szCs w:val="21"/>
        </w:rPr>
        <w:t>（</w:t>
      </w:r>
      <w:r>
        <w:rPr>
          <w:szCs w:val="21"/>
        </w:rPr>
        <w:t>6</w:t>
      </w:r>
      <w:r>
        <w:rPr>
          <w:rFonts w:hint="eastAsia"/>
          <w:szCs w:val="21"/>
        </w:rPr>
        <w:t>）项目实施方案</w:t>
      </w:r>
    </w:p>
    <w:p>
      <w:pPr>
        <w:ind w:left="718" w:leftChars="342" w:firstLine="1417" w:firstLineChars="675"/>
        <w:rPr>
          <w:szCs w:val="21"/>
        </w:rPr>
      </w:pPr>
      <w:r>
        <w:rPr>
          <w:rFonts w:hint="eastAsia"/>
          <w:szCs w:val="21"/>
        </w:rPr>
        <w:t>（7）投标人认为需要加以说明的其他内容</w:t>
      </w:r>
    </w:p>
    <w:bookmarkEnd w:id="30"/>
    <w:p>
      <w:pPr>
        <w:ind w:firstLine="426" w:firstLineChars="202"/>
        <w:rPr>
          <w:rFonts w:ascii="宋体" w:hAnsi="宋体"/>
          <w:b/>
          <w:szCs w:val="21"/>
        </w:rPr>
      </w:pPr>
      <w:bookmarkStart w:id="34" w:name="_Hlk72257771"/>
      <w:r>
        <w:rPr>
          <w:rFonts w:hint="eastAsia" w:ascii="宋体" w:hAnsi="宋体"/>
          <w:b/>
          <w:szCs w:val="21"/>
        </w:rPr>
        <w:t>备注：</w:t>
      </w:r>
    </w:p>
    <w:p>
      <w:pPr>
        <w:ind w:firstLine="426" w:firstLineChars="202"/>
        <w:rPr>
          <w:rFonts w:ascii="宋体" w:hAnsi="宋体"/>
          <w:b/>
          <w:color w:val="FF0000"/>
          <w:szCs w:val="21"/>
        </w:rPr>
      </w:pPr>
      <w:r>
        <w:rPr>
          <w:rFonts w:hint="eastAsia" w:ascii="宋体" w:hAnsi="宋体"/>
          <w:b/>
          <w:color w:val="FF0000"/>
          <w:szCs w:val="21"/>
        </w:rPr>
        <w:t>1.本项目为网上电子投标项目，投标文件不需法人或授权委托人另行签字，无需加盖单位公章，招标文件专用条款另有规定的除外。</w:t>
      </w:r>
    </w:p>
    <w:p>
      <w:pPr>
        <w:ind w:firstLine="422" w:firstLineChars="200"/>
        <w:rPr>
          <w:rFonts w:ascii="宋体" w:hAnsi="宋体"/>
          <w:color w:val="FF0000"/>
          <w:sz w:val="24"/>
        </w:rPr>
      </w:pPr>
      <w:bookmarkStart w:id="35" w:name="_Hlk72263559"/>
      <w:r>
        <w:rPr>
          <w:rFonts w:hint="eastAsia" w:ascii="宋体" w:hAnsi="宋体"/>
          <w:b/>
          <w:szCs w:val="21"/>
        </w:rPr>
        <w:t>2.关于填写“开标一览表”的说明：“开标一览表”中除“投标总价”外，其他信息不作评审依据。</w:t>
      </w:r>
      <w:bookmarkEnd w:id="34"/>
      <w:bookmarkEnd w:id="35"/>
    </w:p>
    <w:p>
      <w:pPr>
        <w:rPr>
          <w:rFonts w:ascii="宋体" w:hAnsi="宋体"/>
          <w:color w:val="FF0000"/>
          <w:sz w:val="24"/>
        </w:rPr>
      </w:pPr>
    </w:p>
    <w:p>
      <w:pPr>
        <w:outlineLvl w:val="1"/>
        <w:rPr>
          <w:rFonts w:ascii="宋体" w:hAnsi="宋体"/>
          <w:b/>
          <w:color w:val="FF0000"/>
          <w:sz w:val="28"/>
          <w:szCs w:val="28"/>
        </w:rPr>
      </w:pPr>
      <w:r>
        <w:rPr>
          <w:rFonts w:hint="eastAsia" w:ascii="宋体" w:hAnsi="宋体"/>
          <w:b/>
          <w:color w:val="FF0000"/>
          <w:sz w:val="28"/>
          <w:szCs w:val="28"/>
        </w:rPr>
        <w:t>投标文件正文（信息公开部分）</w:t>
      </w:r>
    </w:p>
    <w:p>
      <w:pPr>
        <w:keepNext/>
        <w:keepLines/>
        <w:spacing w:before="260" w:after="260"/>
        <w:jc w:val="center"/>
        <w:outlineLvl w:val="2"/>
        <w:rPr>
          <w:rFonts w:ascii="黑体" w:hAnsi="宋体" w:eastAsia="黑体"/>
          <w:bCs/>
          <w:sz w:val="24"/>
          <w:szCs w:val="32"/>
        </w:rPr>
      </w:pPr>
      <w:r>
        <w:rPr>
          <w:rFonts w:hint="eastAsia" w:ascii="黑体" w:hAnsi="宋体" w:eastAsia="黑体"/>
          <w:bCs/>
          <w:sz w:val="24"/>
          <w:szCs w:val="32"/>
        </w:rPr>
        <w:t>一、投标函</w:t>
      </w:r>
    </w:p>
    <w:p>
      <w:pPr>
        <w:spacing w:line="360" w:lineRule="auto"/>
        <w:rPr>
          <w:rFonts w:ascii="宋体" w:hAnsi="宋体"/>
          <w:szCs w:val="21"/>
        </w:rPr>
      </w:pPr>
      <w:bookmarkStart w:id="36" w:name="_Hlk72257506"/>
      <w:r>
        <w:rPr>
          <w:rFonts w:hint="eastAsia" w:ascii="宋体" w:hAnsi="宋体"/>
          <w:szCs w:val="21"/>
        </w:rPr>
        <w:t>致：</w:t>
      </w:r>
      <w:r>
        <w:rPr>
          <w:rFonts w:hint="eastAsia" w:ascii="宋体" w:hAnsi="宋体"/>
          <w:color w:val="FF0000"/>
          <w:szCs w:val="21"/>
          <w:u w:val="single"/>
        </w:rPr>
        <w:t>深圳公共资源交易中心</w:t>
      </w:r>
    </w:p>
    <w:p>
      <w:pPr>
        <w:ind w:firstLine="420" w:firstLineChars="200"/>
        <w:rPr>
          <w:rFonts w:ascii="宋体" w:hAnsi="宋体"/>
          <w:szCs w:val="21"/>
        </w:rPr>
      </w:pPr>
      <w:bookmarkStart w:id="37" w:name="_Hlk73818812"/>
      <w:r>
        <w:rPr>
          <w:rFonts w:hint="eastAsia"/>
          <w:szCs w:val="21"/>
        </w:rPr>
        <w:t>1、根据已收到贵单位的项目编号为</w:t>
      </w:r>
      <w:r>
        <w:rPr>
          <w:rFonts w:hint="eastAsia"/>
          <w:szCs w:val="21"/>
          <w:u w:val="single"/>
        </w:rPr>
        <w:t xml:space="preserve">             </w:t>
      </w:r>
      <w:r>
        <w:rPr>
          <w:rFonts w:hint="eastAsia"/>
          <w:szCs w:val="21"/>
        </w:rPr>
        <w:t>的</w:t>
      </w:r>
      <w:r>
        <w:rPr>
          <w:rFonts w:hint="eastAsia"/>
          <w:szCs w:val="21"/>
          <w:u w:val="single"/>
        </w:rPr>
        <w:t xml:space="preserve">              </w:t>
      </w:r>
      <w:r>
        <w:rPr>
          <w:rFonts w:hint="eastAsia"/>
          <w:szCs w:val="21"/>
        </w:rPr>
        <w:t>项目的招标文件，遵照《深圳经济特区政府采购条例》和《深圳网上政府采购管理暂行办法》等有关规定，我单位经研究上述招标文件的专用条款及通用条款后，</w:t>
      </w:r>
      <w:bookmarkStart w:id="38" w:name="_Hlk72263588"/>
      <w:r>
        <w:rPr>
          <w:rFonts w:hint="eastAsia"/>
          <w:szCs w:val="21"/>
        </w:rPr>
        <w:t>愿意按照招标文件要求承包上述项目并修补其任何缺陷。</w:t>
      </w:r>
      <w:bookmarkEnd w:id="38"/>
    </w:p>
    <w:p>
      <w:pPr>
        <w:ind w:firstLine="420" w:firstLineChars="200"/>
        <w:rPr>
          <w:rFonts w:ascii="宋体" w:hAnsi="宋体"/>
          <w:szCs w:val="21"/>
        </w:rPr>
      </w:pPr>
      <w:r>
        <w:rPr>
          <w:rFonts w:ascii="宋体" w:hAnsi="宋体"/>
          <w:szCs w:val="21"/>
        </w:rPr>
        <w:t>2</w:t>
      </w:r>
      <w:r>
        <w:rPr>
          <w:rFonts w:hint="eastAsia" w:ascii="宋体" w:hAnsi="宋体"/>
          <w:szCs w:val="21"/>
        </w:rPr>
        <w:t>、</w:t>
      </w:r>
      <w:bookmarkStart w:id="39" w:name="_Hlk73819847"/>
      <w:r>
        <w:rPr>
          <w:rFonts w:hint="eastAsia" w:ascii="宋体" w:hAnsi="宋体"/>
          <w:szCs w:val="21"/>
        </w:rPr>
        <w:t>投标价格见</w:t>
      </w:r>
      <w:r>
        <w:rPr>
          <w:rFonts w:hint="eastAsia"/>
          <w:szCs w:val="21"/>
        </w:rPr>
        <w:t>投标书编制软件中《开标一览表》中填写的投标总价。</w:t>
      </w:r>
      <w:bookmarkEnd w:id="39"/>
    </w:p>
    <w:p>
      <w:pPr>
        <w:ind w:firstLine="420" w:firstLineChars="200"/>
        <w:rPr>
          <w:rFonts w:ascii="宋体" w:hAnsi="宋体"/>
          <w:szCs w:val="21"/>
        </w:rPr>
      </w:pPr>
      <w:r>
        <w:rPr>
          <w:rFonts w:hint="eastAsia" w:ascii="宋体" w:hAnsi="宋体"/>
          <w:szCs w:val="21"/>
        </w:rPr>
        <w:t>3、如果我单位中标，我单位将按照招标文件的要求足额提交履约担保。</w:t>
      </w:r>
    </w:p>
    <w:p>
      <w:pPr>
        <w:ind w:firstLine="420" w:firstLineChars="200"/>
        <w:rPr>
          <w:rFonts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pPr>
        <w:ind w:firstLine="420" w:firstLineChars="200"/>
        <w:rPr>
          <w:rFonts w:ascii="宋体" w:hAnsi="宋体"/>
          <w:szCs w:val="21"/>
        </w:rPr>
      </w:pPr>
      <w:r>
        <w:rPr>
          <w:rFonts w:hint="eastAsia" w:ascii="宋体" w:hAnsi="宋体"/>
          <w:szCs w:val="21"/>
        </w:rPr>
        <w:t>5、除非另外达成协议并生效，贵单位的中标通知书和本投标文件将构成合同的重要内容。</w:t>
      </w:r>
    </w:p>
    <w:p>
      <w:pPr>
        <w:ind w:firstLine="420" w:firstLineChars="200"/>
        <w:rPr>
          <w:rFonts w:ascii="宋体" w:hAnsi="宋体"/>
          <w:szCs w:val="21"/>
        </w:rPr>
      </w:pPr>
      <w:r>
        <w:rPr>
          <w:rFonts w:hint="eastAsia" w:ascii="宋体" w:hAnsi="宋体"/>
          <w:szCs w:val="21"/>
        </w:rPr>
        <w:t>6、我单位理解贵单位将不受必须接受所收到的最低报价或其它任何投标文件的约束。</w:t>
      </w:r>
      <w:bookmarkEnd w:id="37"/>
    </w:p>
    <w:p>
      <w:pPr>
        <w:ind w:left="540" w:leftChars="257"/>
        <w:rPr>
          <w:szCs w:val="21"/>
          <w:u w:val="single"/>
        </w:rPr>
      </w:pPr>
      <w:r>
        <w:rPr>
          <w:rFonts w:hint="eastAsia"/>
          <w:szCs w:val="21"/>
        </w:rPr>
        <w:t>投标人：</w:t>
      </w:r>
      <w:r>
        <w:rPr>
          <w:rFonts w:hint="eastAsia"/>
          <w:szCs w:val="21"/>
          <w:u w:val="single"/>
        </w:rPr>
        <w:t xml:space="preserve">                    </w:t>
      </w:r>
      <w:r>
        <w:rPr>
          <w:rFonts w:hint="eastAsia"/>
          <w:szCs w:val="21"/>
        </w:rPr>
        <w:t xml:space="preserve"> 单位地址：</w:t>
      </w:r>
      <w:r>
        <w:rPr>
          <w:rFonts w:hint="eastAsia"/>
          <w:szCs w:val="21"/>
          <w:u w:val="single"/>
        </w:rPr>
        <w:t xml:space="preserve">                   </w:t>
      </w:r>
    </w:p>
    <w:p>
      <w:pPr>
        <w:ind w:left="540" w:leftChars="257"/>
        <w:rPr>
          <w:szCs w:val="21"/>
          <w:u w:val="single"/>
        </w:rPr>
      </w:pPr>
      <w:r>
        <w:rPr>
          <w:rFonts w:hint="eastAsia"/>
          <w:szCs w:val="21"/>
        </w:rPr>
        <w:t>法定代表人（负责人）或其委托代理人：</w:t>
      </w:r>
      <w:r>
        <w:rPr>
          <w:rFonts w:hint="eastAsia"/>
          <w:szCs w:val="21"/>
          <w:u w:val="single"/>
        </w:rPr>
        <w:t xml:space="preserve">               </w:t>
      </w:r>
    </w:p>
    <w:p>
      <w:pPr>
        <w:ind w:left="540" w:leftChars="257"/>
        <w:rPr>
          <w:szCs w:val="21"/>
          <w:u w:val="single"/>
        </w:rPr>
      </w:pPr>
      <w:r>
        <w:rPr>
          <w:rFonts w:hint="eastAsia"/>
          <w:szCs w:val="21"/>
        </w:rPr>
        <w:t>邮政编码：</w:t>
      </w:r>
      <w:r>
        <w:rPr>
          <w:rFonts w:hint="eastAsia"/>
          <w:szCs w:val="21"/>
          <w:u w:val="single"/>
        </w:rPr>
        <w:t xml:space="preserve">                </w:t>
      </w:r>
      <w:r>
        <w:rPr>
          <w:rFonts w:hint="eastAsia"/>
          <w:szCs w:val="21"/>
        </w:rPr>
        <w:t>电话：</w:t>
      </w:r>
      <w:r>
        <w:rPr>
          <w:rFonts w:hint="eastAsia"/>
          <w:szCs w:val="21"/>
          <w:u w:val="single"/>
        </w:rPr>
        <w:t xml:space="preserve">            </w:t>
      </w:r>
      <w:r>
        <w:rPr>
          <w:rFonts w:hint="eastAsia"/>
          <w:szCs w:val="21"/>
        </w:rPr>
        <w:t>传真：</w:t>
      </w:r>
      <w:r>
        <w:rPr>
          <w:rFonts w:hint="eastAsia"/>
          <w:szCs w:val="21"/>
          <w:u w:val="single"/>
        </w:rPr>
        <w:t xml:space="preserve">              </w:t>
      </w:r>
    </w:p>
    <w:p>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开户银行账号：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539" w:firstLineChars="257"/>
        <w:rPr>
          <w:sz w:val="24"/>
        </w:rPr>
      </w:pPr>
      <w:r>
        <w:rPr>
          <w:rFonts w:hint="eastAsia" w:ascii="宋体" w:hAnsi="宋体"/>
          <w:szCs w:val="21"/>
        </w:rPr>
        <w:t>日期：      年   月   日</w:t>
      </w:r>
    </w:p>
    <w:p>
      <w:pPr>
        <w:rPr>
          <w:rFonts w:ascii="黑体" w:hAnsi="宋体" w:eastAsia="黑体"/>
        </w:rPr>
      </w:pPr>
    </w:p>
    <w:bookmarkEnd w:id="36"/>
    <w:p>
      <w:pPr>
        <w:keepNext/>
        <w:keepLines/>
        <w:spacing w:before="260" w:after="260"/>
        <w:jc w:val="center"/>
        <w:outlineLvl w:val="2"/>
        <w:rPr>
          <w:rFonts w:ascii="黑体" w:hAnsi="宋体" w:eastAsia="黑体"/>
          <w:bCs/>
          <w:sz w:val="24"/>
          <w:szCs w:val="32"/>
        </w:rPr>
      </w:pPr>
      <w:r>
        <w:rPr>
          <w:rFonts w:hint="eastAsia" w:ascii="黑体" w:hAnsi="宋体" w:eastAsia="黑体"/>
          <w:bCs/>
          <w:sz w:val="24"/>
          <w:szCs w:val="32"/>
        </w:rPr>
        <w:t>二、政府采购投标及履约承诺函</w:t>
      </w:r>
    </w:p>
    <w:p>
      <w:pPr>
        <w:rPr>
          <w:rFonts w:ascii="宋体" w:hAnsi="宋体"/>
          <w:color w:val="FF0000"/>
          <w:szCs w:val="21"/>
        </w:rPr>
      </w:pPr>
      <w:bookmarkStart w:id="40" w:name="_Hlk72257530"/>
      <w:r>
        <w:rPr>
          <w:rFonts w:hint="eastAsia" w:ascii="宋体" w:hAnsi="宋体"/>
          <w:color w:val="FF0000"/>
          <w:szCs w:val="21"/>
        </w:rPr>
        <w:t>致：</w:t>
      </w:r>
      <w:r>
        <w:rPr>
          <w:rFonts w:hint="eastAsia" w:ascii="宋体" w:hAnsi="宋体"/>
          <w:color w:val="FF0000"/>
          <w:szCs w:val="21"/>
          <w:u w:val="single"/>
        </w:rPr>
        <w:t>深圳公共资源交易中心</w:t>
      </w:r>
    </w:p>
    <w:p>
      <w:pPr>
        <w:ind w:right="-815" w:firstLine="420" w:firstLineChars="200"/>
        <w:rPr>
          <w:rFonts w:ascii="宋体" w:hAnsi="宋体"/>
          <w:szCs w:val="21"/>
        </w:rPr>
      </w:pPr>
      <w:r>
        <w:rPr>
          <w:rFonts w:hint="eastAsia" w:ascii="宋体" w:hAnsi="宋体"/>
          <w:szCs w:val="21"/>
        </w:rPr>
        <w:t>我单位承诺：</w:t>
      </w:r>
    </w:p>
    <w:p>
      <w:pPr>
        <w:ind w:firstLine="420" w:firstLineChars="200"/>
        <w:rPr>
          <w:rFonts w:ascii="宋体" w:hAnsi="宋体"/>
          <w:szCs w:val="21"/>
        </w:rPr>
      </w:pPr>
      <w:r>
        <w:rPr>
          <w:rFonts w:hint="eastAsia" w:ascii="宋体" w:hAnsi="宋体"/>
          <w:szCs w:val="21"/>
        </w:rPr>
        <w:t>1.我单位本招标项目所提供的货物或服务未侵犯知识产权。</w:t>
      </w:r>
    </w:p>
    <w:p>
      <w:pPr>
        <w:ind w:firstLine="420" w:firstLineChars="200"/>
        <w:rPr>
          <w:rFonts w:ascii="宋体" w:hAnsi="宋体"/>
          <w:szCs w:val="21"/>
        </w:rPr>
      </w:pPr>
      <w:r>
        <w:rPr>
          <w:rFonts w:hint="eastAsia" w:ascii="宋体" w:hAnsi="宋体"/>
          <w:szCs w:val="21"/>
        </w:rPr>
        <w:t>2.我单位参与本项目投标前三年内，在经营活动中没有重大违法记录。</w:t>
      </w:r>
    </w:p>
    <w:p>
      <w:pPr>
        <w:ind w:firstLine="420" w:firstLineChars="200"/>
        <w:rPr>
          <w:rFonts w:ascii="宋体" w:hAnsi="宋体"/>
          <w:szCs w:val="21"/>
        </w:rPr>
      </w:pPr>
      <w:r>
        <w:rPr>
          <w:rFonts w:hint="eastAsia" w:ascii="宋体" w:hAnsi="宋体"/>
          <w:szCs w:val="21"/>
        </w:rPr>
        <w:t>3.我单位参与本项目</w:t>
      </w:r>
      <w:r>
        <w:rPr>
          <w:rFonts w:hint="eastAsia"/>
        </w:rPr>
        <w:t>政府采购活动时不存在被有关部门禁止参与政府采购活动且在有效期内的情况。</w:t>
      </w:r>
    </w:p>
    <w:p>
      <w:pPr>
        <w:ind w:firstLine="420" w:firstLineChars="200"/>
        <w:rPr>
          <w:rFonts w:ascii="宋体" w:hAnsi="宋体"/>
          <w:szCs w:val="21"/>
        </w:rPr>
      </w:pPr>
      <w:r>
        <w:rPr>
          <w:rFonts w:hint="eastAsia" w:ascii="宋体" w:hAnsi="宋体"/>
          <w:szCs w:val="21"/>
        </w:rPr>
        <w:t>4.我单位具备《中华人民共和国政府采购法》第二十二条第一款规定的六项条件。</w:t>
      </w:r>
    </w:p>
    <w:p>
      <w:pPr>
        <w:ind w:firstLine="420" w:firstLineChars="200"/>
        <w:rPr>
          <w:rFonts w:ascii="宋体" w:hAnsi="宋体"/>
          <w:szCs w:val="21"/>
        </w:rPr>
      </w:pPr>
      <w:r>
        <w:rPr>
          <w:rFonts w:hint="eastAsia" w:ascii="宋体" w:hAnsi="宋体"/>
          <w:szCs w:val="21"/>
        </w:rPr>
        <w:t>5.我单位</w:t>
      </w:r>
      <w:r>
        <w:rPr>
          <w:rFonts w:hint="eastAsia"/>
        </w:rPr>
        <w:t>未被列入失信被执行人、重大税收违法案件当事人名单、政府采购严重违法失信行为记录名单。</w:t>
      </w:r>
    </w:p>
    <w:p>
      <w:pPr>
        <w:ind w:firstLine="420" w:firstLineChars="200"/>
        <w:rPr>
          <w:rFonts w:ascii="宋体" w:hAnsi="宋体"/>
          <w:szCs w:val="21"/>
        </w:rPr>
      </w:pPr>
      <w:r>
        <w:rPr>
          <w:rFonts w:hint="eastAsia" w:ascii="宋体" w:hAnsi="宋体"/>
          <w:szCs w:val="21"/>
        </w:rPr>
        <w:t>6.</w:t>
      </w:r>
      <w:bookmarkStart w:id="41" w:name="_Hlk72587269"/>
      <w:bookmarkStart w:id="42" w:name="_Hlk72587299"/>
      <w:r>
        <w:rPr>
          <w:rFonts w:hint="eastAsia" w:ascii="宋体" w:hAnsi="宋体"/>
          <w:szCs w:val="2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bookmarkEnd w:id="41"/>
      <w:r>
        <w:rPr>
          <w:rFonts w:hint="eastAsia" w:ascii="宋体" w:hAnsi="宋体"/>
          <w:szCs w:val="21"/>
        </w:rPr>
        <w:t>。</w:t>
      </w:r>
    </w:p>
    <w:bookmarkEnd w:id="42"/>
    <w:p>
      <w:pPr>
        <w:ind w:firstLine="420" w:firstLineChars="200"/>
        <w:rPr>
          <w:rFonts w:ascii="宋体" w:hAnsi="宋体"/>
          <w:szCs w:val="21"/>
        </w:rPr>
      </w:pPr>
      <w:r>
        <w:rPr>
          <w:rFonts w:hint="eastAsia" w:ascii="宋体" w:hAnsi="宋体"/>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pPr>
        <w:ind w:firstLine="420" w:firstLineChars="200"/>
        <w:rPr>
          <w:rFonts w:ascii="宋体" w:hAnsi="宋体"/>
          <w:szCs w:val="21"/>
        </w:rPr>
      </w:pPr>
      <w:r>
        <w:rPr>
          <w:rFonts w:ascii="宋体" w:hAnsi="宋体"/>
          <w:szCs w:val="21"/>
        </w:rPr>
        <w:t>8</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20" w:firstLineChars="200"/>
        <w:rPr>
          <w:rFonts w:ascii="宋体" w:hAnsi="宋体"/>
          <w:szCs w:val="21"/>
        </w:rPr>
      </w:pPr>
      <w:r>
        <w:rPr>
          <w:rFonts w:ascii="宋体" w:hAnsi="宋体"/>
          <w:szCs w:val="21"/>
        </w:rPr>
        <w:t>9</w:t>
      </w:r>
      <w:r>
        <w:rPr>
          <w:rFonts w:hint="eastAsia" w:ascii="宋体" w:hAnsi="宋体"/>
          <w:szCs w:val="21"/>
        </w:rPr>
        <w:t>.我单位承诺中标后项目不转包，未经采购人同意不进行分包。</w:t>
      </w:r>
    </w:p>
    <w:p>
      <w:pPr>
        <w:ind w:firstLine="420" w:firstLineChars="200"/>
        <w:rPr>
          <w:rFonts w:ascii="宋体" w:hAnsi="宋体"/>
        </w:rPr>
      </w:pPr>
      <w:r>
        <w:rPr>
          <w:rFonts w:hint="eastAsia" w:ascii="宋体" w:hAnsi="宋体"/>
          <w:szCs w:val="21"/>
        </w:rPr>
        <w:t>1</w:t>
      </w:r>
      <w:r>
        <w:rPr>
          <w:rFonts w:ascii="宋体" w:hAnsi="宋体"/>
          <w:szCs w:val="21"/>
        </w:rPr>
        <w:t>0.</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22" w:firstLineChars="200"/>
        <w:rPr>
          <w:rFonts w:ascii="宋体" w:hAnsi="宋体"/>
          <w:b/>
          <w:bCs/>
          <w:color w:val="FF0000"/>
        </w:rPr>
      </w:pPr>
      <w:r>
        <w:rPr>
          <w:rFonts w:ascii="宋体" w:hAnsi="宋体"/>
          <w:b/>
          <w:bCs/>
          <w:color w:val="FF0000"/>
        </w:rPr>
        <w:t>11.</w:t>
      </w:r>
      <w:r>
        <w:rPr>
          <w:rFonts w:hint="eastAsia" w:ascii="宋体" w:hAnsi="宋体"/>
          <w:b/>
          <w:bCs/>
          <w:color w:val="FF0000"/>
        </w:rPr>
        <w:t>我单位保证，若所投货物涉及</w:t>
      </w:r>
      <w:r>
        <w:rPr>
          <w:rFonts w:ascii="宋体" w:hAnsi="宋体"/>
          <w:b/>
          <w:bCs/>
          <w:color w:val="FF0000"/>
        </w:rPr>
        <w:t>《</w:t>
      </w:r>
      <w:r>
        <w:rPr>
          <w:rFonts w:hint="eastAsia" w:ascii="宋体" w:hAnsi="宋体"/>
          <w:b/>
          <w:bCs/>
          <w:color w:val="FF0000"/>
        </w:rPr>
        <w:t>财政部生态环境部关于印发节能产品政府采购品目清单的通知》（财库〔20</w:t>
      </w:r>
      <w:r>
        <w:rPr>
          <w:rFonts w:ascii="宋体" w:hAnsi="宋体"/>
          <w:b/>
          <w:bCs/>
          <w:color w:val="FF0000"/>
        </w:rPr>
        <w:t>19</w:t>
      </w:r>
      <w:r>
        <w:rPr>
          <w:rFonts w:hint="eastAsia" w:ascii="宋体" w:hAnsi="宋体"/>
          <w:b/>
          <w:bCs/>
          <w:color w:val="FF0000"/>
        </w:rPr>
        <w:t>〕</w:t>
      </w:r>
      <w:r>
        <w:rPr>
          <w:rFonts w:ascii="宋体" w:hAnsi="宋体"/>
          <w:b/>
          <w:bCs/>
          <w:color w:val="FF0000"/>
        </w:rPr>
        <w:t>19</w:t>
      </w:r>
      <w:r>
        <w:rPr>
          <w:rFonts w:hint="eastAsia" w:ascii="宋体" w:hAnsi="宋体"/>
          <w:b/>
          <w:bCs/>
          <w:color w:val="FF0000"/>
        </w:rPr>
        <w:t>号）列明的政府采购强制产品，则所投该产品符合节能产品的认证要求。</w:t>
      </w:r>
    </w:p>
    <w:p>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p>
      <w:pPr>
        <w:spacing w:before="60" w:beforeLines="25" w:after="60" w:afterLines="25"/>
        <w:ind w:firstLine="5460" w:firstLineChars="2600"/>
        <w:rPr>
          <w:rFonts w:ascii="宋体" w:hAnsi="宋体"/>
          <w:szCs w:val="21"/>
        </w:rPr>
      </w:pPr>
    </w:p>
    <w:p>
      <w:pPr>
        <w:spacing w:before="60" w:beforeLines="25" w:after="60" w:afterLines="25"/>
        <w:ind w:firstLine="5460" w:firstLineChars="2600"/>
        <w:rPr>
          <w:color w:val="FF0000"/>
        </w:rPr>
      </w:pPr>
      <w:r>
        <w:rPr>
          <w:rFonts w:hint="eastAsia"/>
          <w:color w:val="FF0000"/>
          <w:szCs w:val="21"/>
        </w:rPr>
        <w:t>投标人：</w:t>
      </w:r>
    </w:p>
    <w:p>
      <w:pPr>
        <w:ind w:firstLine="645"/>
        <w:rPr>
          <w:rFonts w:ascii="宋体" w:hAnsi="宋体"/>
          <w:color w:val="FF0000"/>
          <w:szCs w:val="21"/>
        </w:rPr>
      </w:pPr>
      <w:r>
        <w:rPr>
          <w:rFonts w:hint="eastAsia" w:ascii="宋体" w:hAnsi="宋体"/>
          <w:color w:val="FF0000"/>
          <w:szCs w:val="21"/>
        </w:rPr>
        <w:t xml:space="preserve">                                              日期：     年   月   日</w:t>
      </w:r>
    </w:p>
    <w:bookmarkEnd w:id="40"/>
    <w:p>
      <w:pPr>
        <w:ind w:firstLine="645"/>
        <w:rPr>
          <w:rFonts w:ascii="宋体" w:hAnsi="宋体"/>
          <w:szCs w:val="21"/>
        </w:rPr>
      </w:pPr>
    </w:p>
    <w:p>
      <w:pPr>
        <w:rPr>
          <w:rFonts w:ascii="宋体"/>
          <w:b/>
          <w:szCs w:val="21"/>
        </w:rPr>
      </w:pPr>
    </w:p>
    <w:p>
      <w:pPr>
        <w:ind w:firstLine="482" w:firstLineChars="200"/>
        <w:jc w:val="center"/>
        <w:rPr>
          <w:rFonts w:hAnsi="宋体"/>
          <w:b/>
          <w:bCs/>
          <w:sz w:val="24"/>
        </w:rPr>
      </w:pPr>
    </w:p>
    <w:p>
      <w:pPr>
        <w:keepNext/>
        <w:keepLines/>
        <w:spacing w:before="260" w:after="260"/>
        <w:jc w:val="center"/>
        <w:outlineLvl w:val="2"/>
        <w:rPr>
          <w:rFonts w:ascii="黑体" w:hAnsi="宋体" w:eastAsia="黑体"/>
          <w:bCs/>
          <w:sz w:val="24"/>
        </w:rPr>
      </w:pPr>
      <w:r>
        <w:rPr>
          <w:rFonts w:hint="eastAsia" w:ascii="黑体" w:hAnsi="宋体" w:eastAsia="黑体"/>
          <w:bCs/>
          <w:sz w:val="24"/>
        </w:rPr>
        <w:t>三、投标人情况及资格证明文件</w:t>
      </w:r>
    </w:p>
    <w:p>
      <w:pPr>
        <w:rPr>
          <w:b/>
          <w:bCs/>
          <w:sz w:val="24"/>
        </w:rPr>
      </w:pPr>
    </w:p>
    <w:p>
      <w:pPr>
        <w:ind w:firstLine="2640" w:firstLineChars="1100"/>
        <w:outlineLvl w:val="3"/>
        <w:rPr>
          <w:rFonts w:ascii="黑体" w:hAnsi="宋体" w:eastAsia="黑体"/>
          <w:bCs/>
          <w:kern w:val="0"/>
          <w:sz w:val="24"/>
          <w:szCs w:val="32"/>
        </w:rPr>
      </w:pPr>
      <w:bookmarkStart w:id="43" w:name="_Hlk72257590"/>
      <w:bookmarkStart w:id="44" w:name="_Hlk72257908"/>
      <w:r>
        <w:rPr>
          <w:rFonts w:hint="eastAsia" w:ascii="黑体" w:hAnsi="宋体" w:eastAsia="黑体"/>
          <w:bCs/>
          <w:kern w:val="0"/>
          <w:sz w:val="24"/>
          <w:szCs w:val="32"/>
        </w:rPr>
        <w:t>（一）投标人资格证明文件</w:t>
      </w:r>
    </w:p>
    <w:p>
      <w:pPr>
        <w:spacing w:before="120"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w:t>
      </w:r>
    </w:p>
    <w:bookmarkEnd w:id="43"/>
    <w:p>
      <w:pPr>
        <w:spacing w:before="120" w:beforeLines="50"/>
        <w:ind w:firstLine="422" w:firstLineChars="200"/>
        <w:rPr>
          <w:b/>
          <w:bCs/>
          <w:color w:val="FF0000"/>
        </w:rPr>
      </w:pPr>
    </w:p>
    <w:p>
      <w:pPr>
        <w:outlineLvl w:val="3"/>
        <w:rPr>
          <w:rFonts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（二）中小企业声明函、残疾人福利性单位声明函及监狱企业声明函（可选）</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填写指引：</w:t>
      </w:r>
    </w:p>
    <w:p>
      <w:pPr>
        <w:ind w:firstLine="420" w:firstLineChars="200"/>
        <w:outlineLvl w:val="3"/>
        <w:rPr>
          <w:rFonts w:ascii="黑体" w:hAnsi="黑体" w:eastAsia="黑体"/>
          <w:color w:val="FF0000"/>
          <w:szCs w:val="21"/>
        </w:rPr>
      </w:pPr>
      <w:r>
        <w:rPr>
          <w:rFonts w:hint="eastAsia" w:ascii="黑体" w:hAnsi="宋体" w:eastAsia="黑体"/>
          <w:bCs/>
          <w:color w:val="FF0000"/>
          <w:kern w:val="0"/>
          <w:szCs w:val="21"/>
        </w:rPr>
        <w:t>1、该部分内容由投标人根据自身实际情况填写，不符合要求的投标人可以不填写或直接删除相应的声明函。</w:t>
      </w:r>
      <w:r>
        <w:rPr>
          <w:rFonts w:hint="eastAsia" w:ascii="黑体" w:hAnsi="黑体" w:eastAsia="黑体"/>
          <w:color w:val="FF0000"/>
          <w:szCs w:val="21"/>
        </w:rPr>
        <w:t>投标人提供的声明函不属实的，属于提供虚假资料谋取中标，依照《中华人民共和国政府采购法》等国家有关规定追究相应责任。</w:t>
      </w:r>
    </w:p>
    <w:p>
      <w:pPr>
        <w:ind w:firstLine="420" w:firstLineChars="200"/>
        <w:outlineLvl w:val="3"/>
        <w:rPr>
          <w:rFonts w:ascii="黑体" w:hAnsi="黑体" w:eastAsia="黑体"/>
          <w:color w:val="FF0000"/>
          <w:szCs w:val="21"/>
        </w:rPr>
      </w:pPr>
      <w:r>
        <w:rPr>
          <w:rFonts w:hint="eastAsia" w:ascii="黑体" w:hAnsi="黑体" w:eastAsia="黑体"/>
          <w:color w:val="FF0000"/>
          <w:szCs w:val="21"/>
        </w:rPr>
        <w:t>2、该部分内容填写需要参考的相关文件：(</w:t>
      </w:r>
      <w:r>
        <w:rPr>
          <w:rFonts w:ascii="黑体" w:hAnsi="黑体" w:eastAsia="黑体"/>
          <w:color w:val="FF0000"/>
          <w:szCs w:val="21"/>
        </w:rPr>
        <w:t>1</w:t>
      </w:r>
      <w:r>
        <w:rPr>
          <w:rFonts w:hint="eastAsia" w:ascii="黑体" w:hAnsi="黑体" w:eastAsia="黑体"/>
          <w:color w:val="FF0000"/>
          <w:szCs w:val="21"/>
        </w:rPr>
        <w:t>)财政部《政府采购促进中小企业发展管理办法》（财库〔2020〕46号）；(</w:t>
      </w:r>
      <w:r>
        <w:rPr>
          <w:rFonts w:ascii="黑体" w:hAnsi="黑体" w:eastAsia="黑体"/>
          <w:color w:val="FF0000"/>
          <w:szCs w:val="21"/>
        </w:rPr>
        <w:t>2</w:t>
      </w:r>
      <w:r>
        <w:rPr>
          <w:rFonts w:hint="eastAsia" w:ascii="黑体" w:hAnsi="黑体" w:eastAsia="黑体"/>
          <w:color w:val="FF0000"/>
          <w:szCs w:val="21"/>
        </w:rPr>
        <w:t>)</w:t>
      </w:r>
      <w:bookmarkStart w:id="45" w:name="_Hlk71925120"/>
      <w:r>
        <w:rPr>
          <w:rFonts w:hint="eastAsia" w:ascii="黑体" w:hAnsi="黑体" w:eastAsia="黑体"/>
          <w:color w:val="FF0000"/>
          <w:szCs w:val="21"/>
        </w:rPr>
        <w:t>《工业和信息化部、国家统计局、国家发展和改革委员会、财政部关于印发中小企业划型标准规定的通知》（工信部联企业〔2011〕300 号</w:t>
      </w:r>
      <w:bookmarkEnd w:id="45"/>
      <w:r>
        <w:rPr>
          <w:rFonts w:hint="eastAsia" w:ascii="黑体" w:hAnsi="黑体" w:eastAsia="黑体"/>
          <w:color w:val="FF0000"/>
          <w:szCs w:val="21"/>
        </w:rPr>
        <w:t>，以下简称3</w:t>
      </w:r>
      <w:r>
        <w:rPr>
          <w:rFonts w:ascii="黑体" w:hAnsi="黑体" w:eastAsia="黑体"/>
          <w:color w:val="FF0000"/>
          <w:szCs w:val="21"/>
        </w:rPr>
        <w:t>00</w:t>
      </w:r>
      <w:r>
        <w:rPr>
          <w:rFonts w:hint="eastAsia" w:ascii="黑体" w:hAnsi="黑体" w:eastAsia="黑体"/>
          <w:color w:val="FF0000"/>
          <w:szCs w:val="21"/>
        </w:rPr>
        <w:t>号文）。</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3、请依照提供的格式和内容填写声明函，不要随意变更格式；声明函不需要盖章或签字；</w:t>
      </w:r>
      <w:r>
        <w:rPr>
          <w:rFonts w:hint="eastAsia" w:ascii="黑体" w:hAnsi="黑体" w:eastAsia="黑体"/>
          <w:color w:val="FF0000"/>
          <w:szCs w:val="21"/>
        </w:rPr>
        <w:t>满足多项优惠政策的投标人，不重复享受多项价格扣除政策。</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4、声明函具体填写要求：</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（1）声明是中小企业须填写《中小企业声明函》的以下内容：</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第一处，在“单位名称”下划线处如实填写采购人名称（深圳公共资源交易中心不是本项目的采购人，而是组织实施机构）；</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第二处，在“项目名称”下划线处如实填写采购项目名称；</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三处，在“标的名称”下划线处填写所采购货物（标的）的具体名称（以招标文件第一册第三章用户需求书“货物清单明细”的“货物名称”一栏为准）；如果涉及多项货物（标的）为同一企业制造，“标的名称”下划线处可以如实填写多项货物；</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第四处，在“招标文件中明确的所属行业”下划线处填写采购标的对应的中小企业划分标准所属行业（所属行业可在招标文件第一册第二章“对通用条款的补充内容及其他关键信息”章节查看）；</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五处，在“企业名称”下划线处如实填写制造商名称；在“从业人员”、“营业收入”、“资产总额”下划线处如实填写从业人员、营业收入、资产总额；在“中型企业、小型企业、微型企业”下划线处如实依照300号文填写相应的企业类型；从业人员、营业收入、资产总额填报上一年度数据，无上一年度数据的新成立企业可以不填报。</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（2）声明是残疾人福利性单位须填写《残疾人福利性单位声明函》的相关内容，具体参照以上《中小企业声明函》填写要求执行。</w:t>
      </w:r>
    </w:p>
    <w:p>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（3）声明是监狱企业须填写《监狱企业声明函》的三项内容（填写位置的字体已加粗），具体参照以上《中小企业声明函》填写要求执行。</w:t>
      </w:r>
    </w:p>
    <w:p>
      <w:pPr>
        <w:ind w:firstLine="420" w:firstLineChars="200"/>
      </w:pPr>
      <w:r>
        <w:rPr>
          <w:rFonts w:hint="eastAsia" w:ascii="黑体" w:hAnsi="宋体" w:eastAsia="黑体"/>
          <w:bCs/>
          <w:color w:val="FF0000"/>
          <w:kern w:val="0"/>
          <w:szCs w:val="21"/>
        </w:rPr>
        <w:t>5、声明函的有效性最终由评审委员会判定；如评审委员会判定声明函无效，相关供应商不享受</w:t>
      </w:r>
      <w:r>
        <w:rPr>
          <w:rFonts w:hint="eastAsia" w:ascii="黑体" w:hAnsi="黑体" w:eastAsia="黑体"/>
          <w:color w:val="FF0000"/>
          <w:szCs w:val="21"/>
        </w:rPr>
        <w:t>价格扣除</w:t>
      </w:r>
      <w:r>
        <w:rPr>
          <w:rFonts w:hint="eastAsia" w:ascii="黑体" w:hAnsi="宋体" w:eastAsia="黑体"/>
          <w:bCs/>
          <w:color w:val="FF0000"/>
          <w:kern w:val="0"/>
          <w:szCs w:val="21"/>
        </w:rPr>
        <w:t>（但不作投标无效处理）。</w:t>
      </w:r>
    </w:p>
    <w:p>
      <w:pPr>
        <w:ind w:firstLine="420" w:firstLineChars="200"/>
      </w:pPr>
    </w:p>
    <w:p>
      <w:pPr>
        <w:jc w:val="center"/>
        <w:outlineLvl w:val="3"/>
        <w:rPr>
          <w:b/>
          <w:sz w:val="24"/>
        </w:rPr>
      </w:pPr>
      <w:r>
        <w:rPr>
          <w:rFonts w:hint="eastAsia"/>
          <w:b/>
          <w:sz w:val="24"/>
        </w:rPr>
        <w:t>1、</w:t>
      </w:r>
      <w:r>
        <w:rPr>
          <w:b/>
          <w:sz w:val="24"/>
        </w:rPr>
        <w:t xml:space="preserve">中小企业声明函（货物） </w:t>
      </w:r>
    </w:p>
    <w:p>
      <w:pPr>
        <w:ind w:firstLine="420" w:firstLineChars="200"/>
        <w:outlineLvl w:val="3"/>
        <w:rPr>
          <w:rFonts w:ascii="宋体" w:hAnsi="宋体"/>
          <w:szCs w:val="21"/>
        </w:rPr>
      </w:pPr>
      <w:r>
        <w:rPr>
          <w:rFonts w:ascii="宋体" w:hAnsi="宋体" w:cstheme="minorBidi"/>
          <w:szCs w:val="21"/>
        </w:rPr>
        <w:t>本</w:t>
      </w:r>
      <w:r>
        <w:rPr>
          <w:rFonts w:hint="eastAsia" w:ascii="宋体" w:hAnsi="宋体" w:cstheme="minorBidi"/>
          <w:szCs w:val="21"/>
        </w:rPr>
        <w:t>投标人</w:t>
      </w:r>
      <w:r>
        <w:rPr>
          <w:rFonts w:ascii="宋体" w:hAnsi="宋体" w:cstheme="minorBidi"/>
          <w:szCs w:val="21"/>
        </w:rPr>
        <w:t>郑重声明，根据《政府采购促进中小企业发展管理办法》（财库</w:t>
      </w:r>
      <w:r>
        <w:rPr>
          <w:rFonts w:hint="eastAsia" w:ascii="宋体" w:hAnsi="宋体" w:cs="微软雅黑"/>
          <w:szCs w:val="21"/>
        </w:rPr>
        <w:t>﹝</w:t>
      </w:r>
      <w:r>
        <w:rPr>
          <w:rFonts w:ascii="宋体" w:hAnsi="宋体" w:cstheme="minorBidi"/>
          <w:szCs w:val="21"/>
        </w:rPr>
        <w:t>2020</w:t>
      </w:r>
      <w:r>
        <w:rPr>
          <w:rFonts w:hint="eastAsia" w:ascii="宋体" w:hAnsi="宋体" w:cs="微软雅黑"/>
          <w:szCs w:val="21"/>
        </w:rPr>
        <w:t>﹞</w:t>
      </w:r>
      <w:r>
        <w:rPr>
          <w:rFonts w:ascii="宋体" w:hAnsi="宋体" w:cstheme="minorBidi"/>
          <w:szCs w:val="21"/>
        </w:rPr>
        <w:t>46 号）的规定，本</w:t>
      </w:r>
      <w:r>
        <w:rPr>
          <w:rFonts w:hint="eastAsia" w:ascii="宋体" w:hAnsi="宋体" w:cstheme="minorBidi"/>
          <w:szCs w:val="21"/>
        </w:rPr>
        <w:t>投标人</w:t>
      </w:r>
      <w:r>
        <w:rPr>
          <w:rFonts w:ascii="宋体" w:hAnsi="宋体" w:cstheme="minorBidi"/>
          <w:szCs w:val="21"/>
        </w:rPr>
        <w:t>参加</w:t>
      </w:r>
      <w:r>
        <w:rPr>
          <w:rFonts w:ascii="宋体" w:hAnsi="宋体"/>
          <w:b/>
          <w:bCs/>
          <w:szCs w:val="21"/>
          <w:u w:val="single"/>
        </w:rPr>
        <w:t>（</w:t>
      </w:r>
      <w:r>
        <w:rPr>
          <w:rFonts w:hint="eastAsia" w:ascii="宋体" w:hAnsi="宋体"/>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采购活动，提供的货物全部由符合政策要求的中小企业制造。相关企业的具体情况如下：</w:t>
      </w:r>
    </w:p>
    <w:p>
      <w:pPr>
        <w:ind w:firstLine="420" w:firstLineChars="200"/>
        <w:outlineLvl w:val="3"/>
        <w:rPr>
          <w:rFonts w:ascii="宋体" w:hAnsi="宋体"/>
          <w:szCs w:val="21"/>
        </w:rPr>
      </w:pPr>
      <w:r>
        <w:rPr>
          <w:rFonts w:ascii="宋体" w:hAnsi="宋体"/>
          <w:szCs w:val="21"/>
        </w:rPr>
        <w:t>1.</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hint="eastAsia" w:ascii="宋体" w:hAnsi="宋体"/>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ascii="宋体" w:hAnsi="宋体"/>
          <w:szCs w:val="21"/>
        </w:rPr>
        <w:t xml:space="preserve">； </w:t>
      </w:r>
    </w:p>
    <w:p>
      <w:pPr>
        <w:ind w:firstLine="420" w:firstLineChars="200"/>
        <w:outlineLvl w:val="3"/>
        <w:rPr>
          <w:rFonts w:ascii="宋体" w:hAnsi="宋体"/>
          <w:szCs w:val="21"/>
          <w:u w:val="single"/>
        </w:rPr>
      </w:pPr>
      <w:r>
        <w:rPr>
          <w:rFonts w:ascii="宋体" w:hAnsi="宋体"/>
          <w:szCs w:val="21"/>
        </w:rPr>
        <w:t>2.</w:t>
      </w:r>
      <w:r>
        <w:rPr>
          <w:rFonts w:ascii="宋体" w:hAnsi="宋体"/>
          <w:b/>
          <w:bCs/>
          <w:szCs w:val="21"/>
          <w:u w:val="single"/>
        </w:rPr>
        <w:t xml:space="preserve"> （标的名称）</w:t>
      </w:r>
      <w:r>
        <w:rPr>
          <w:rFonts w:ascii="宋体" w:hAnsi="宋体"/>
          <w:szCs w:val="21"/>
        </w:rPr>
        <w:t xml:space="preserve"> ，属于</w:t>
      </w:r>
      <w:r>
        <w:rPr>
          <w:rFonts w:ascii="宋体" w:hAnsi="宋体"/>
          <w:b/>
          <w:bCs/>
          <w:szCs w:val="21"/>
          <w:u w:val="single"/>
        </w:rPr>
        <w:t>（</w:t>
      </w:r>
      <w:r>
        <w:rPr>
          <w:rFonts w:hint="eastAsia" w:ascii="宋体" w:hAnsi="宋体"/>
          <w:b/>
          <w:bCs/>
          <w:szCs w:val="21"/>
          <w:u w:val="single"/>
        </w:rPr>
        <w:t>招标</w:t>
      </w:r>
      <w:r>
        <w:rPr>
          <w:rFonts w:ascii="宋体" w:hAnsi="宋体"/>
          <w:b/>
          <w:bCs/>
          <w:szCs w:val="21"/>
          <w:u w:val="single"/>
        </w:rPr>
        <w:t xml:space="preserve">文件中明确的所属行业） </w:t>
      </w:r>
      <w:r>
        <w:rPr>
          <w:rFonts w:ascii="宋体" w:hAnsi="宋体"/>
          <w:szCs w:val="21"/>
        </w:rPr>
        <w:t>行业；制造商为</w:t>
      </w:r>
      <w:r>
        <w:rPr>
          <w:rFonts w:ascii="宋体" w:hAnsi="宋体"/>
          <w:b/>
          <w:bCs/>
          <w:szCs w:val="21"/>
          <w:u w:val="single"/>
        </w:rPr>
        <w:t>（企业名称）</w:t>
      </w:r>
      <w:r>
        <w:rPr>
          <w:rFonts w:ascii="宋体" w:hAnsi="宋体"/>
          <w:szCs w:val="21"/>
        </w:rPr>
        <w:t>，从业人员人，营业收入为万元，资产总额为万元 ，属于</w:t>
      </w:r>
      <w:r>
        <w:rPr>
          <w:rFonts w:ascii="宋体" w:hAnsi="宋体"/>
          <w:b/>
          <w:bCs/>
          <w:szCs w:val="21"/>
          <w:u w:val="single"/>
        </w:rPr>
        <w:t>（中型企业、小型企业、微型企业）</w:t>
      </w:r>
      <w:r>
        <w:rPr>
          <w:rFonts w:hint="eastAsia" w:ascii="宋体" w:hAnsi="宋体"/>
          <w:szCs w:val="21"/>
        </w:rPr>
        <w:t>；</w:t>
      </w:r>
    </w:p>
    <w:p>
      <w:pPr>
        <w:ind w:firstLine="420" w:firstLineChars="200"/>
        <w:outlineLvl w:val="3"/>
        <w:rPr>
          <w:rFonts w:ascii="宋体" w:hAnsi="宋体"/>
          <w:szCs w:val="21"/>
        </w:rPr>
      </w:pPr>
      <w:r>
        <w:rPr>
          <w:rFonts w:ascii="宋体" w:hAnsi="宋体"/>
          <w:szCs w:val="21"/>
        </w:rPr>
        <w:t xml:space="preserve">…… </w:t>
      </w:r>
    </w:p>
    <w:p>
      <w:pPr>
        <w:ind w:firstLine="420" w:firstLineChars="200"/>
        <w:outlineLvl w:val="3"/>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pPr>
        <w:ind w:firstLine="420" w:firstLineChars="200"/>
      </w:pPr>
      <w:bookmarkStart w:id="46" w:name="_Hlk73562203"/>
      <w:r>
        <w:rPr>
          <w:rFonts w:hint="eastAsia"/>
        </w:rPr>
        <w:t>本</w:t>
      </w:r>
      <w:r>
        <w:t>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w:t>
      </w:r>
      <w:r>
        <w:rPr>
          <w:rFonts w:hint="eastAsia"/>
        </w:rPr>
        <w:t>投标人</w:t>
      </w:r>
      <w:r>
        <w:t>按照本办法规定提供声明函内容不实的，属于提供虚假材料谋取中标，依照《政府采购法》等政府采购有关法律法规规定追究相应责任</w:t>
      </w:r>
      <w:r>
        <w:rPr>
          <w:rFonts w:hint="eastAsia"/>
        </w:rPr>
        <w:t>。</w:t>
      </w:r>
      <w:bookmarkEnd w:id="46"/>
    </w:p>
    <w:p>
      <w:pPr>
        <w:jc w:val="center"/>
        <w:outlineLvl w:val="3"/>
        <w:rPr>
          <w:b/>
          <w:sz w:val="24"/>
        </w:rPr>
      </w:pPr>
    </w:p>
    <w:p>
      <w:pPr>
        <w:jc w:val="center"/>
        <w:outlineLvl w:val="3"/>
        <w:rPr>
          <w:b/>
          <w:sz w:val="24"/>
        </w:rPr>
      </w:pPr>
      <w:r>
        <w:rPr>
          <w:rFonts w:hint="eastAsia"/>
          <w:b/>
          <w:sz w:val="24"/>
        </w:rPr>
        <w:t>2、残疾人福利性单位声明函（货物类）</w:t>
      </w:r>
    </w:p>
    <w:p>
      <w:pPr>
        <w:rPr>
          <w:b/>
          <w:bCs/>
        </w:rPr>
      </w:pPr>
    </w:p>
    <w:p>
      <w:pPr>
        <w:ind w:firstLine="420" w:firstLineChars="200"/>
        <w:rPr>
          <w:rFonts w:ascii="宋体" w:hAnsi="宋体"/>
          <w:szCs w:val="21"/>
        </w:rPr>
      </w:pPr>
      <w:r>
        <w:rPr>
          <w:rFonts w:ascii="宋体" w:hAnsi="宋体" w:cstheme="minorBidi"/>
          <w:szCs w:val="21"/>
        </w:rPr>
        <w:t>本</w:t>
      </w:r>
      <w:r>
        <w:rPr>
          <w:rFonts w:hint="eastAsia" w:ascii="宋体" w:hAnsi="宋体" w:cstheme="minorBidi"/>
          <w:szCs w:val="21"/>
        </w:rPr>
        <w:t>投标人</w:t>
      </w:r>
      <w:r>
        <w:rPr>
          <w:rFonts w:hint="eastAsia" w:ascii="宋体" w:hAnsi="宋体"/>
          <w:szCs w:val="21"/>
        </w:rPr>
        <w:t>郑重声明，根据《财政部民政部中国残疾人联合会关于促进残疾人就业政府采购政策的通知》（财库〔</w:t>
      </w:r>
      <w:r>
        <w:rPr>
          <w:rFonts w:ascii="宋体" w:hAnsi="宋体"/>
          <w:szCs w:val="21"/>
        </w:rPr>
        <w:t>2017</w:t>
      </w:r>
      <w:r>
        <w:rPr>
          <w:rFonts w:hint="eastAsia" w:ascii="宋体" w:hAnsi="宋体"/>
          <w:szCs w:val="21"/>
        </w:rPr>
        <w:t>〕</w:t>
      </w:r>
      <w:r>
        <w:rPr>
          <w:rFonts w:ascii="宋体" w:hAnsi="宋体"/>
          <w:szCs w:val="21"/>
        </w:rPr>
        <w:t xml:space="preserve">141 </w:t>
      </w:r>
      <w:r>
        <w:rPr>
          <w:rFonts w:hint="eastAsia" w:ascii="宋体" w:hAnsi="宋体"/>
          <w:szCs w:val="21"/>
        </w:rPr>
        <w:t>号）的规定，本投标人</w:t>
      </w:r>
      <w:r>
        <w:rPr>
          <w:rFonts w:ascii="宋体" w:hAnsi="宋体" w:cstheme="minorBidi"/>
          <w:szCs w:val="21"/>
        </w:rPr>
        <w:t>参加</w:t>
      </w:r>
      <w:r>
        <w:rPr>
          <w:rFonts w:ascii="宋体" w:hAnsi="宋体"/>
          <w:b/>
          <w:bCs/>
          <w:szCs w:val="21"/>
          <w:u w:val="single"/>
        </w:rPr>
        <w:t>（</w:t>
      </w:r>
      <w:r>
        <w:rPr>
          <w:rFonts w:hint="eastAsia" w:ascii="宋体" w:hAnsi="宋体"/>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w:t>
      </w:r>
      <w:r>
        <w:rPr>
          <w:rFonts w:hint="eastAsia" w:ascii="宋体" w:hAnsi="宋体"/>
          <w:szCs w:val="21"/>
        </w:rPr>
        <w:t>残疾人福利性单位</w:t>
      </w:r>
      <w:r>
        <w:rPr>
          <w:rFonts w:ascii="宋体" w:hAnsi="宋体"/>
          <w:szCs w:val="21"/>
        </w:rPr>
        <w:t>制造。相关</w:t>
      </w:r>
      <w:r>
        <w:rPr>
          <w:rFonts w:hint="eastAsia" w:ascii="宋体" w:hAnsi="宋体"/>
          <w:szCs w:val="21"/>
        </w:rPr>
        <w:t>残疾人福利性单位</w:t>
      </w:r>
      <w:r>
        <w:rPr>
          <w:rFonts w:ascii="宋体" w:hAnsi="宋体"/>
          <w:szCs w:val="21"/>
        </w:rPr>
        <w:t>的具体情况如下：</w:t>
      </w:r>
    </w:p>
    <w:p>
      <w:pPr>
        <w:ind w:firstLine="42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hint="eastAsia" w:ascii="宋体" w:hAnsi="宋体"/>
          <w:szCs w:val="21"/>
        </w:rPr>
        <w:t>，</w:t>
      </w:r>
      <w:r>
        <w:rPr>
          <w:rFonts w:ascii="宋体" w:hAnsi="宋体"/>
          <w:szCs w:val="21"/>
        </w:rPr>
        <w:t>制造商为</w:t>
      </w:r>
      <w:r>
        <w:rPr>
          <w:rFonts w:ascii="宋体" w:hAnsi="宋体"/>
          <w:b/>
          <w:bCs/>
          <w:szCs w:val="21"/>
          <w:u w:val="single"/>
        </w:rPr>
        <w:t>（</w:t>
      </w:r>
      <w:r>
        <w:rPr>
          <w:rFonts w:hint="eastAsia" w:ascii="宋体" w:hAnsi="宋体"/>
          <w:b/>
          <w:bCs/>
          <w:szCs w:val="21"/>
          <w:u w:val="single"/>
        </w:rPr>
        <w:t>单位</w:t>
      </w:r>
      <w:r>
        <w:rPr>
          <w:rFonts w:ascii="宋体" w:hAnsi="宋体"/>
          <w:b/>
          <w:bCs/>
          <w:szCs w:val="21"/>
          <w:u w:val="single"/>
        </w:rPr>
        <w:t>名称）</w:t>
      </w:r>
      <w:r>
        <w:rPr>
          <w:rFonts w:ascii="宋体" w:hAnsi="宋体"/>
          <w:szCs w:val="21"/>
        </w:rPr>
        <w:t>，属于</w:t>
      </w:r>
      <w:r>
        <w:rPr>
          <w:rFonts w:hint="eastAsia" w:ascii="宋体" w:hAnsi="宋体"/>
          <w:b/>
          <w:bCs/>
          <w:szCs w:val="21"/>
          <w:u w:val="single"/>
        </w:rPr>
        <w:t>残疾人福利性单位</w:t>
      </w:r>
      <w:r>
        <w:rPr>
          <w:rFonts w:ascii="宋体" w:hAnsi="宋体"/>
          <w:szCs w:val="21"/>
        </w:rPr>
        <w:t>；</w:t>
      </w:r>
    </w:p>
    <w:p>
      <w:pPr>
        <w:ind w:firstLine="42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hint="eastAsia" w:ascii="宋体" w:hAnsi="宋体"/>
          <w:szCs w:val="21"/>
        </w:rPr>
        <w:t>，</w:t>
      </w:r>
      <w:r>
        <w:rPr>
          <w:rFonts w:ascii="宋体" w:hAnsi="宋体"/>
          <w:szCs w:val="21"/>
        </w:rPr>
        <w:t>制造商为</w:t>
      </w:r>
      <w:r>
        <w:rPr>
          <w:rFonts w:ascii="宋体" w:hAnsi="宋体"/>
          <w:b/>
          <w:bCs/>
          <w:szCs w:val="21"/>
          <w:u w:val="single"/>
        </w:rPr>
        <w:t>（</w:t>
      </w:r>
      <w:r>
        <w:rPr>
          <w:rFonts w:hint="eastAsia" w:ascii="宋体" w:hAnsi="宋体"/>
          <w:b/>
          <w:bCs/>
          <w:szCs w:val="21"/>
          <w:u w:val="single"/>
        </w:rPr>
        <w:t>单位</w:t>
      </w:r>
      <w:r>
        <w:rPr>
          <w:rFonts w:ascii="宋体" w:hAnsi="宋体"/>
          <w:b/>
          <w:bCs/>
          <w:szCs w:val="21"/>
          <w:u w:val="single"/>
        </w:rPr>
        <w:t>名称）</w:t>
      </w:r>
      <w:r>
        <w:rPr>
          <w:rFonts w:ascii="宋体" w:hAnsi="宋体"/>
          <w:szCs w:val="21"/>
        </w:rPr>
        <w:t>，属于</w:t>
      </w:r>
      <w:r>
        <w:rPr>
          <w:rFonts w:hint="eastAsia" w:ascii="宋体" w:hAnsi="宋体"/>
          <w:b/>
          <w:bCs/>
          <w:szCs w:val="21"/>
          <w:u w:val="single"/>
        </w:rPr>
        <w:t>残疾人福利性单位</w:t>
      </w:r>
      <w:r>
        <w:rPr>
          <w:rFonts w:hint="eastAsia" w:ascii="宋体" w:hAnsi="宋体"/>
          <w:szCs w:val="21"/>
        </w:rPr>
        <w:t>。</w:t>
      </w:r>
    </w:p>
    <w:p>
      <w:pPr>
        <w:ind w:firstLine="420" w:firstLineChars="200"/>
        <w:outlineLvl w:val="3"/>
        <w:rPr>
          <w:rFonts w:ascii="宋体" w:hAnsi="宋体"/>
          <w:szCs w:val="21"/>
        </w:rPr>
      </w:pPr>
      <w:r>
        <w:rPr>
          <w:rFonts w:ascii="宋体" w:hAnsi="宋体"/>
          <w:szCs w:val="21"/>
        </w:rPr>
        <w:t xml:space="preserve">…… </w:t>
      </w:r>
    </w:p>
    <w:p>
      <w:pPr>
        <w:ind w:firstLine="420" w:firstLineChars="200"/>
        <w:rPr>
          <w:rFonts w:ascii="宋体" w:hAnsi="宋体"/>
          <w:szCs w:val="21"/>
        </w:rPr>
      </w:pPr>
      <w:bookmarkStart w:id="47" w:name="_Hlk73562331"/>
      <w:bookmarkStart w:id="48" w:name="_Hlk73562245"/>
      <w:r>
        <w:rPr>
          <w:rFonts w:hint="eastAsia"/>
        </w:rPr>
        <w:t>本</w:t>
      </w:r>
      <w:r>
        <w:t>投标人</w:t>
      </w:r>
      <w:r>
        <w:rPr>
          <w:rFonts w:hint="eastAsia"/>
        </w:rPr>
        <w:t>已</w:t>
      </w:r>
      <w:r>
        <w:t>知悉</w:t>
      </w:r>
      <w:r>
        <w:rPr>
          <w:rFonts w:hint="eastAsia"/>
        </w:rPr>
        <w:t>《财政部民政部中国残疾人联合会关于促进残疾人就业政府采购政策的通知》（财库〔2017〕141 号）</w:t>
      </w:r>
      <w:r>
        <w:t>的规定，承诺提供的声明函内容是真实的，如提供声明函内容不实，则依法追究相关法律责任</w:t>
      </w:r>
      <w:r>
        <w:rPr>
          <w:rFonts w:hint="eastAsia"/>
        </w:rPr>
        <w:t>。</w:t>
      </w:r>
      <w:bookmarkEnd w:id="47"/>
    </w:p>
    <w:bookmarkEnd w:id="48"/>
    <w:p>
      <w:pPr>
        <w:ind w:firstLine="420" w:firstLineChars="200"/>
        <w:rPr>
          <w:rFonts w:ascii="宋体" w:hAnsi="宋体"/>
          <w:szCs w:val="21"/>
        </w:rPr>
      </w:pPr>
    </w:p>
    <w:p>
      <w:pPr>
        <w:jc w:val="center"/>
        <w:outlineLvl w:val="3"/>
        <w:rPr>
          <w:b/>
          <w:sz w:val="24"/>
        </w:rPr>
      </w:pPr>
      <w:r>
        <w:rPr>
          <w:rFonts w:hint="eastAsia"/>
          <w:b/>
          <w:sz w:val="24"/>
        </w:rPr>
        <w:t>3、监狱企业声明函【货物类，提供监狱企业货物的供应商如需享受优惠政策，还须另行提供省级以上监狱管理局、戒毒管理局（含新疆生产建设兵团）出具的监狱企业证明文件】</w:t>
      </w:r>
    </w:p>
    <w:p>
      <w:pPr>
        <w:ind w:firstLine="420" w:firstLineChars="200"/>
        <w:rPr>
          <w:rFonts w:ascii="宋体" w:hAnsi="宋体"/>
          <w:szCs w:val="21"/>
        </w:rPr>
      </w:pPr>
      <w:r>
        <w:rPr>
          <w:rFonts w:hint="eastAsia" w:ascii="宋体" w:hAnsi="宋体"/>
          <w:szCs w:val="21"/>
        </w:rPr>
        <w:t>本投标人郑重声明，根据《财政部司法部关于政府采购支持监狱企业发展有关问题的通知》（财库〔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号）的规定，本投标人</w:t>
      </w:r>
      <w:r>
        <w:rPr>
          <w:rFonts w:ascii="宋体" w:hAnsi="宋体" w:cstheme="minorBidi"/>
          <w:szCs w:val="21"/>
        </w:rPr>
        <w:t>参加</w:t>
      </w:r>
      <w:r>
        <w:rPr>
          <w:rFonts w:ascii="宋体" w:hAnsi="宋体"/>
          <w:b/>
          <w:bCs/>
          <w:szCs w:val="21"/>
          <w:u w:val="single"/>
        </w:rPr>
        <w:t>（</w:t>
      </w:r>
      <w:r>
        <w:rPr>
          <w:rFonts w:hint="eastAsia" w:ascii="宋体" w:hAnsi="宋体"/>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采购活动，提供的货物全部由符合政策要求的</w:t>
      </w:r>
      <w:r>
        <w:rPr>
          <w:rFonts w:hint="eastAsia" w:ascii="宋体" w:hAnsi="宋体"/>
          <w:szCs w:val="21"/>
        </w:rPr>
        <w:t>监狱企业</w:t>
      </w:r>
      <w:r>
        <w:rPr>
          <w:rFonts w:ascii="宋体" w:hAnsi="宋体"/>
          <w:szCs w:val="21"/>
        </w:rPr>
        <w:t>制造。相关</w:t>
      </w:r>
      <w:r>
        <w:rPr>
          <w:rFonts w:hint="eastAsia" w:ascii="宋体" w:hAnsi="宋体"/>
          <w:szCs w:val="21"/>
        </w:rPr>
        <w:t>监狱企业</w:t>
      </w:r>
      <w:r>
        <w:rPr>
          <w:rFonts w:ascii="宋体" w:hAnsi="宋体"/>
          <w:szCs w:val="21"/>
        </w:rPr>
        <w:t>的具体情况如下：</w:t>
      </w:r>
    </w:p>
    <w:p>
      <w:pPr>
        <w:ind w:firstLine="420" w:firstLineChars="200"/>
        <w:rPr>
          <w:rFonts w:ascii="宋体" w:hAnsi="宋体"/>
          <w:szCs w:val="21"/>
        </w:rPr>
      </w:pPr>
      <w:r>
        <w:rPr>
          <w:rFonts w:ascii="宋体" w:hAnsi="宋体"/>
          <w:szCs w:val="21"/>
        </w:rPr>
        <w:t>1.</w:t>
      </w:r>
      <w:r>
        <w:rPr>
          <w:rFonts w:ascii="宋体" w:hAnsi="宋体"/>
          <w:b/>
          <w:bCs/>
          <w:szCs w:val="21"/>
          <w:u w:val="single"/>
        </w:rPr>
        <w:t xml:space="preserve"> （标的名称）</w:t>
      </w:r>
      <w:r>
        <w:rPr>
          <w:rFonts w:hint="eastAsia" w:ascii="宋体" w:hAnsi="宋体"/>
          <w:szCs w:val="21"/>
        </w:rPr>
        <w:t>，</w:t>
      </w:r>
      <w:r>
        <w:rPr>
          <w:rFonts w:ascii="宋体" w:hAnsi="宋体"/>
          <w:szCs w:val="21"/>
        </w:rPr>
        <w:t>制造商为</w:t>
      </w:r>
      <w:r>
        <w:rPr>
          <w:rFonts w:ascii="宋体" w:hAnsi="宋体"/>
          <w:b/>
          <w:bCs/>
          <w:szCs w:val="21"/>
          <w:u w:val="single"/>
        </w:rPr>
        <w:t>（</w:t>
      </w:r>
      <w:r>
        <w:rPr>
          <w:rFonts w:hint="eastAsia" w:ascii="宋体" w:hAnsi="宋体"/>
          <w:b/>
          <w:bCs/>
          <w:szCs w:val="21"/>
          <w:u w:val="single"/>
        </w:rPr>
        <w:t>企业</w:t>
      </w:r>
      <w:r>
        <w:rPr>
          <w:rFonts w:ascii="宋体" w:hAnsi="宋体"/>
          <w:b/>
          <w:bCs/>
          <w:szCs w:val="21"/>
          <w:u w:val="single"/>
        </w:rPr>
        <w:t>名称）</w:t>
      </w:r>
      <w:r>
        <w:rPr>
          <w:rFonts w:ascii="宋体" w:hAnsi="宋体"/>
          <w:szCs w:val="21"/>
        </w:rPr>
        <w:t>，属于</w:t>
      </w:r>
      <w:r>
        <w:rPr>
          <w:rFonts w:hint="eastAsia" w:ascii="宋体" w:hAnsi="宋体"/>
          <w:b/>
          <w:bCs/>
          <w:szCs w:val="21"/>
          <w:u w:val="single"/>
        </w:rPr>
        <w:t>监狱企业</w:t>
      </w:r>
      <w:r>
        <w:rPr>
          <w:rFonts w:ascii="宋体" w:hAnsi="宋体"/>
          <w:szCs w:val="21"/>
        </w:rPr>
        <w:t>；</w:t>
      </w:r>
    </w:p>
    <w:p>
      <w:pPr>
        <w:ind w:firstLine="420" w:firstLineChars="200"/>
        <w:rPr>
          <w:rFonts w:ascii="宋体" w:hAnsi="宋体"/>
          <w:szCs w:val="21"/>
        </w:rPr>
      </w:pPr>
      <w:r>
        <w:rPr>
          <w:rFonts w:ascii="宋体" w:hAnsi="宋体"/>
          <w:szCs w:val="21"/>
        </w:rPr>
        <w:t>2.</w:t>
      </w:r>
      <w:r>
        <w:rPr>
          <w:rFonts w:ascii="宋体" w:hAnsi="宋体"/>
          <w:b/>
          <w:bCs/>
          <w:szCs w:val="21"/>
          <w:u w:val="single"/>
        </w:rPr>
        <w:t xml:space="preserve"> （标的名称）</w:t>
      </w:r>
      <w:r>
        <w:rPr>
          <w:rFonts w:hint="eastAsia" w:ascii="宋体" w:hAnsi="宋体"/>
          <w:szCs w:val="21"/>
        </w:rPr>
        <w:t>，</w:t>
      </w:r>
      <w:r>
        <w:rPr>
          <w:rFonts w:ascii="宋体" w:hAnsi="宋体"/>
          <w:szCs w:val="21"/>
        </w:rPr>
        <w:t>制造商为</w:t>
      </w:r>
      <w:r>
        <w:rPr>
          <w:rFonts w:ascii="宋体" w:hAnsi="宋体"/>
          <w:b/>
          <w:bCs/>
          <w:szCs w:val="21"/>
          <w:u w:val="single"/>
        </w:rPr>
        <w:t>（</w:t>
      </w:r>
      <w:r>
        <w:rPr>
          <w:rFonts w:hint="eastAsia" w:ascii="宋体" w:hAnsi="宋体"/>
          <w:b/>
          <w:bCs/>
          <w:szCs w:val="21"/>
          <w:u w:val="single"/>
        </w:rPr>
        <w:t>企业</w:t>
      </w:r>
      <w:r>
        <w:rPr>
          <w:rFonts w:ascii="宋体" w:hAnsi="宋体"/>
          <w:b/>
          <w:bCs/>
          <w:szCs w:val="21"/>
          <w:u w:val="single"/>
        </w:rPr>
        <w:t>名称）</w:t>
      </w:r>
      <w:r>
        <w:rPr>
          <w:rFonts w:ascii="宋体" w:hAnsi="宋体"/>
          <w:szCs w:val="21"/>
        </w:rPr>
        <w:t>，属于</w:t>
      </w:r>
      <w:r>
        <w:rPr>
          <w:rFonts w:hint="eastAsia" w:ascii="宋体" w:hAnsi="宋体"/>
          <w:b/>
          <w:bCs/>
          <w:szCs w:val="21"/>
          <w:u w:val="single"/>
        </w:rPr>
        <w:t>监狱企业</w:t>
      </w:r>
      <w:r>
        <w:rPr>
          <w:rFonts w:hint="eastAsia" w:ascii="宋体" w:hAnsi="宋体"/>
          <w:szCs w:val="21"/>
        </w:rPr>
        <w:t>。</w:t>
      </w:r>
    </w:p>
    <w:p>
      <w:pPr>
        <w:ind w:firstLine="420" w:firstLineChars="200"/>
        <w:outlineLvl w:val="3"/>
        <w:rPr>
          <w:rFonts w:ascii="宋体" w:hAnsi="宋体"/>
          <w:szCs w:val="21"/>
        </w:rPr>
      </w:pPr>
      <w:r>
        <w:rPr>
          <w:rFonts w:ascii="宋体" w:hAnsi="宋体"/>
          <w:szCs w:val="21"/>
        </w:rPr>
        <w:t xml:space="preserve">…… </w:t>
      </w:r>
    </w:p>
    <w:p>
      <w:pPr>
        <w:ind w:firstLine="420" w:firstLineChars="200"/>
        <w:rPr>
          <w:rFonts w:ascii="宋体" w:hAnsi="宋体"/>
          <w:szCs w:val="21"/>
        </w:rPr>
      </w:pPr>
      <w:r>
        <w:rPr>
          <w:rFonts w:ascii="宋体" w:hAnsi="宋体" w:cstheme="minorBidi"/>
          <w:szCs w:val="21"/>
        </w:rPr>
        <w:t>本</w:t>
      </w:r>
      <w:r>
        <w:rPr>
          <w:rFonts w:hint="eastAsia" w:ascii="宋体" w:hAnsi="宋体" w:cstheme="minorBidi"/>
          <w:szCs w:val="21"/>
        </w:rPr>
        <w:t>投标人</w:t>
      </w:r>
      <w:r>
        <w:rPr>
          <w:rFonts w:ascii="宋体" w:hAnsi="宋体"/>
          <w:szCs w:val="21"/>
        </w:rPr>
        <w:t>对上述声明内容的真实性负责。如有虚假，将依法承担相应责任。</w:t>
      </w:r>
    </w:p>
    <w:p>
      <w:pPr>
        <w:ind w:firstLine="420" w:firstLineChars="200"/>
        <w:rPr>
          <w:rFonts w:ascii="宋体" w:hAnsi="宋体"/>
          <w:szCs w:val="21"/>
        </w:rPr>
      </w:pPr>
      <w:r>
        <w:rPr>
          <w:rFonts w:hint="eastAsia" w:ascii="宋体" w:hAnsi="宋体"/>
          <w:szCs w:val="21"/>
        </w:rPr>
        <w:t>附：省级以上监狱管理局、戒毒管理局（含新疆生产建设兵团）出具的监狱企业证明文件。</w:t>
      </w:r>
    </w:p>
    <w:bookmarkEnd w:id="44"/>
    <w:p>
      <w:pPr>
        <w:rPr>
          <w:b/>
          <w:bCs/>
          <w:color w:val="FF0000"/>
          <w:sz w:val="24"/>
        </w:rPr>
      </w:pPr>
    </w:p>
    <w:p>
      <w:pPr>
        <w:ind w:firstLine="482" w:firstLineChars="200"/>
        <w:jc w:val="center"/>
        <w:outlineLvl w:val="3"/>
        <w:rPr>
          <w:b/>
          <w:sz w:val="24"/>
        </w:rPr>
      </w:pPr>
      <w:r>
        <w:rPr>
          <w:rFonts w:hint="eastAsia"/>
          <w:b/>
          <w:sz w:val="24"/>
        </w:rPr>
        <w:t>4</w:t>
      </w:r>
      <w:r>
        <w:rPr>
          <w:b/>
          <w:sz w:val="24"/>
        </w:rPr>
        <w:t>、</w:t>
      </w:r>
      <w:r>
        <w:rPr>
          <w:rFonts w:hint="eastAsia"/>
          <w:b/>
          <w:sz w:val="24"/>
        </w:rPr>
        <w:t>含有小型、微型企业的联合体声明函</w:t>
      </w:r>
    </w:p>
    <w:p>
      <w:pPr>
        <w:numPr>
          <w:ilvl w:val="0"/>
          <w:numId w:val="9"/>
        </w:numPr>
        <w:spacing w:after="120"/>
        <w:ind w:left="420" w:firstLine="420" w:firstLineChars="200"/>
      </w:pPr>
      <w:r>
        <w:t>_</w:t>
      </w:r>
      <w:r>
        <w:rPr>
          <w:u w:val="single"/>
        </w:rPr>
        <w:t>_</w:t>
      </w:r>
      <w:r>
        <w:rPr>
          <w:rFonts w:hint="eastAsia"/>
          <w:u w:val="single"/>
        </w:rPr>
        <w:t>（供应商名称、供应商名称）</w:t>
      </w:r>
      <w:r>
        <w:rPr>
          <w:u w:val="single"/>
        </w:rPr>
        <w:t>__</w:t>
      </w:r>
      <w:r>
        <w:t>__</w:t>
      </w:r>
      <w:r>
        <w:rPr>
          <w:rFonts w:hint="eastAsia"/>
        </w:rPr>
        <w:t>共同组成联合体（详见联合体协议）。根据《工业和信息化部、国家统计局、国家发展和改革委员会、财政部关于印发中小企业划型标准规定的通知》（工信部联企业〔</w:t>
      </w:r>
      <w:r>
        <w:t>2011</w:t>
      </w:r>
      <w:r>
        <w:rPr>
          <w:rFonts w:hint="eastAsia"/>
        </w:rPr>
        <w:t>〕</w:t>
      </w:r>
      <w:r>
        <w:t xml:space="preserve">300 </w:t>
      </w:r>
      <w:r>
        <w:rPr>
          <w:rFonts w:hint="eastAsia"/>
        </w:rPr>
        <w:t>号）规定的划分标准，本联合体中：□</w:t>
      </w:r>
      <w:r>
        <w:t>______</w:t>
      </w:r>
      <w:r>
        <w:rPr>
          <w:rFonts w:hint="eastAsia"/>
        </w:rPr>
        <w:t>单位为</w:t>
      </w:r>
      <w:r>
        <w:t>______</w:t>
      </w:r>
      <w:r>
        <w:rPr>
          <w:rFonts w:hint="eastAsia"/>
        </w:rPr>
        <w:t>（请填写：中型、小型、微型）企业，</w:t>
      </w:r>
      <w:r>
        <w:t>______</w:t>
      </w:r>
      <w:r>
        <w:rPr>
          <w:rFonts w:hint="eastAsia"/>
        </w:rPr>
        <w:t>单位为</w:t>
      </w:r>
      <w:r>
        <w:t>______</w:t>
      </w:r>
      <w:r>
        <w:rPr>
          <w:rFonts w:hint="eastAsia"/>
        </w:rPr>
        <w:t>（请填写：中型、小型、微型）企业；□联合体各方均为小微企业</w:t>
      </w:r>
      <w:r>
        <w:rPr>
          <w:rFonts w:hint="eastAsia"/>
          <w:b/>
          <w:bCs/>
        </w:rPr>
        <w:t>（承诺人在□处打√）</w:t>
      </w:r>
      <w:r>
        <w:rPr>
          <w:rFonts w:hint="eastAsia"/>
        </w:rPr>
        <w:t>。</w:t>
      </w:r>
      <w:r>
        <w:t xml:space="preserve"> </w:t>
      </w:r>
    </w:p>
    <w:p>
      <w:pPr>
        <w:numPr>
          <w:ilvl w:val="0"/>
          <w:numId w:val="9"/>
        </w:numPr>
        <w:spacing w:after="120"/>
        <w:ind w:left="420" w:firstLine="420" w:firstLineChars="200"/>
      </w:pPr>
      <w:r>
        <w:rPr>
          <w:rFonts w:hint="eastAsia"/>
        </w:rPr>
        <w:t>本联合体参加</w:t>
      </w:r>
      <w:r>
        <w:rPr>
          <w:u w:val="single"/>
        </w:rPr>
        <w:t>_</w:t>
      </w:r>
      <w:r>
        <w:rPr>
          <w:rFonts w:hint="eastAsia"/>
          <w:u w:val="single"/>
        </w:rPr>
        <w:t>（采购单位名称）</w:t>
      </w:r>
      <w:r>
        <w:rPr>
          <w:u w:val="single"/>
        </w:rPr>
        <w:t>_</w:t>
      </w:r>
      <w:r>
        <w:rPr>
          <w:rFonts w:hint="eastAsia"/>
        </w:rPr>
        <w:t>单位的</w:t>
      </w:r>
      <w:r>
        <w:rPr>
          <w:u w:val="single"/>
        </w:rPr>
        <w:t>_</w:t>
      </w:r>
      <w:r>
        <w:rPr>
          <w:rFonts w:hint="eastAsia"/>
          <w:u w:val="single"/>
        </w:rPr>
        <w:t>（采购项目名称）</w:t>
      </w:r>
      <w:r>
        <w:rPr>
          <w:u w:val="single"/>
        </w:rPr>
        <w:t>_</w:t>
      </w:r>
      <w:r>
        <w:rPr>
          <w:rFonts w:hint="eastAsia"/>
        </w:rPr>
        <w:t>项目采购活动，其中，小型、微型企业协议合同金额占到联合体协议总金额比例为</w:t>
      </w:r>
      <w:r>
        <w:t>_____%</w:t>
      </w:r>
      <w:r>
        <w:rPr>
          <w:rFonts w:hint="eastAsia"/>
        </w:rPr>
        <w:t>（该合同金额为：□小微企业制造的货物，□小微企业承担的工程、提供服务，□提供其他小微企业制造的货物；不包括使用大型企业注册商标的货物；请承诺人在□处打√），符合《政府采购促进中小企业发展管理办法》（财库〔</w:t>
      </w:r>
      <w:r>
        <w:t>2020</w:t>
      </w:r>
      <w:r>
        <w:rPr>
          <w:rFonts w:hint="eastAsia"/>
        </w:rPr>
        <w:t>〕</w:t>
      </w:r>
      <w:r>
        <w:t>46</w:t>
      </w:r>
      <w:r>
        <w:rPr>
          <w:rFonts w:hint="eastAsia"/>
        </w:rPr>
        <w:t>号）规定的优惠政策。</w:t>
      </w:r>
      <w:r>
        <w:t xml:space="preserve"> </w:t>
      </w:r>
    </w:p>
    <w:p>
      <w:pPr>
        <w:numPr>
          <w:ilvl w:val="0"/>
          <w:numId w:val="9"/>
        </w:numPr>
        <w:spacing w:after="120"/>
        <w:ind w:left="420" w:firstLine="420" w:firstLineChars="200"/>
      </w:pPr>
      <w:r>
        <w:rPr>
          <w:rFonts w:hint="eastAsia"/>
        </w:rPr>
        <w:t>本联合体对上述声明的真实性负责。如有虚假，将依法承担相应责任。</w:t>
      </w:r>
      <w:r>
        <w:t xml:space="preserve"> </w:t>
      </w:r>
    </w:p>
    <w:p>
      <w:pPr>
        <w:spacing w:after="120"/>
      </w:pPr>
    </w:p>
    <w:p>
      <w:pPr>
        <w:spacing w:after="120"/>
      </w:pPr>
      <w:r>
        <w:rPr>
          <w:rFonts w:hint="eastAsia"/>
        </w:rPr>
        <w:t>企业名称：</w:t>
      </w:r>
      <w:r>
        <w:t xml:space="preserve">                      </w:t>
      </w:r>
      <w:r>
        <w:rPr>
          <w:rFonts w:hint="eastAsia"/>
        </w:rPr>
        <w:t>企业名称：</w:t>
      </w:r>
      <w:r>
        <w:t xml:space="preserve"> </w:t>
      </w:r>
    </w:p>
    <w:p>
      <w:r>
        <w:rPr>
          <w:rFonts w:hint="eastAsia"/>
        </w:rPr>
        <w:t>日</w:t>
      </w:r>
      <w:r>
        <w:t xml:space="preserve"> </w:t>
      </w:r>
      <w:r>
        <w:rPr>
          <w:rFonts w:hint="eastAsia"/>
        </w:rPr>
        <w:t>期：</w:t>
      </w:r>
      <w:r>
        <w:t xml:space="preserve">                          </w:t>
      </w:r>
      <w:r>
        <w:rPr>
          <w:rFonts w:hint="eastAsia"/>
        </w:rPr>
        <w:t>日期：</w:t>
      </w:r>
      <w:r>
        <w:t xml:space="preserve">  </w:t>
      </w:r>
    </w:p>
    <w:p>
      <w:pPr>
        <w:rPr>
          <w:b/>
          <w:bCs/>
          <w:color w:val="FF0000"/>
          <w:sz w:val="24"/>
        </w:rPr>
      </w:pPr>
    </w:p>
    <w:p>
      <w:pPr>
        <w:keepNext/>
        <w:keepLines/>
        <w:spacing w:before="260" w:after="260"/>
        <w:jc w:val="center"/>
        <w:outlineLvl w:val="2"/>
        <w:rPr>
          <w:rFonts w:ascii="黑体" w:hAnsi="宋体" w:eastAsia="黑体"/>
          <w:bCs/>
          <w:sz w:val="24"/>
        </w:rPr>
      </w:pPr>
      <w:bookmarkStart w:id="49" w:name="_Hlk72259976"/>
      <w:r>
        <w:rPr>
          <w:rFonts w:hint="eastAsia" w:ascii="黑体" w:hAnsi="宋体" w:eastAsia="黑体"/>
          <w:bCs/>
          <w:sz w:val="24"/>
        </w:rPr>
        <w:t>四、项目详细报价</w:t>
      </w:r>
    </w:p>
    <w:p>
      <w:pPr>
        <w:tabs>
          <w:tab w:val="left" w:pos="720"/>
        </w:tabs>
        <w:ind w:firstLine="3132" w:firstLineChars="1300"/>
        <w:rPr>
          <w:rFonts w:hint="eastAsia" w:ascii="宋体" w:hAnsi="宋体"/>
          <w:b/>
          <w:sz w:val="24"/>
        </w:rPr>
      </w:pPr>
      <w:r>
        <w:rPr>
          <w:rFonts w:hint="eastAsia"/>
          <w:b/>
          <w:sz w:val="24"/>
        </w:rPr>
        <w:t>（一）分项报价表</w:t>
      </w:r>
    </w:p>
    <w:tbl>
      <w:tblPr>
        <w:tblStyle w:val="43"/>
        <w:tblpPr w:leftFromText="180" w:rightFromText="180" w:vertAnchor="text" w:horzAnchor="margin" w:tblpY="173"/>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
        <w:gridCol w:w="1396"/>
        <w:gridCol w:w="1116"/>
        <w:gridCol w:w="1132"/>
        <w:gridCol w:w="651"/>
        <w:gridCol w:w="829"/>
        <w:gridCol w:w="450"/>
        <w:gridCol w:w="411"/>
        <w:gridCol w:w="469"/>
        <w:gridCol w:w="500"/>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48" w:type="pct"/>
            <w:vAlign w:val="center"/>
          </w:tcPr>
          <w:p>
            <w:pPr>
              <w:jc w:val="center"/>
              <w:rPr>
                <w:bCs/>
                <w:szCs w:val="21"/>
              </w:rPr>
            </w:pPr>
            <w:r>
              <w:rPr>
                <w:rFonts w:hint="eastAsia"/>
                <w:bCs/>
                <w:szCs w:val="21"/>
              </w:rPr>
              <w:t>序号</w:t>
            </w:r>
          </w:p>
        </w:tc>
        <w:tc>
          <w:tcPr>
            <w:tcW w:w="819" w:type="pct"/>
            <w:vAlign w:val="center"/>
          </w:tcPr>
          <w:p>
            <w:pPr>
              <w:jc w:val="center"/>
              <w:rPr>
                <w:bCs/>
                <w:szCs w:val="21"/>
              </w:rPr>
            </w:pPr>
            <w:r>
              <w:rPr>
                <w:rFonts w:hint="eastAsia"/>
                <w:szCs w:val="21"/>
              </w:rPr>
              <w:t>采购计划编号</w:t>
            </w:r>
          </w:p>
        </w:tc>
        <w:tc>
          <w:tcPr>
            <w:tcW w:w="654" w:type="pct"/>
            <w:vAlign w:val="center"/>
          </w:tcPr>
          <w:p>
            <w:pPr>
              <w:jc w:val="center"/>
              <w:rPr>
                <w:bCs/>
                <w:szCs w:val="21"/>
              </w:rPr>
            </w:pPr>
            <w:r>
              <w:rPr>
                <w:rFonts w:hint="eastAsia"/>
                <w:bCs/>
                <w:szCs w:val="21"/>
              </w:rPr>
              <w:t>货物名称</w:t>
            </w:r>
          </w:p>
        </w:tc>
        <w:tc>
          <w:tcPr>
            <w:tcW w:w="664" w:type="pct"/>
            <w:vAlign w:val="center"/>
          </w:tcPr>
          <w:p>
            <w:pPr>
              <w:jc w:val="center"/>
              <w:rPr>
                <w:rFonts w:hint="eastAsia" w:ascii="Times New Roman" w:hAnsi="Times New Roman" w:eastAsia="宋体" w:cs="Times New Roman"/>
                <w:bCs/>
                <w:kern w:val="2"/>
                <w:sz w:val="21"/>
                <w:szCs w:val="21"/>
                <w:lang w:val="en-US" w:eastAsia="zh-CN" w:bidi="ar-SA"/>
              </w:rPr>
            </w:pPr>
            <w:r>
              <w:rPr>
                <w:rFonts w:hint="eastAsia"/>
                <w:szCs w:val="21"/>
              </w:rPr>
              <w:t>规格/品牌/型号</w:t>
            </w:r>
          </w:p>
        </w:tc>
        <w:tc>
          <w:tcPr>
            <w:tcW w:w="382" w:type="pct"/>
            <w:vAlign w:val="center"/>
          </w:tcPr>
          <w:p>
            <w:pPr>
              <w:jc w:val="center"/>
              <w:rPr>
                <w:rFonts w:hint="eastAsia" w:ascii="Times New Roman" w:hAnsi="Times New Roman" w:eastAsia="宋体" w:cs="Times New Roman"/>
                <w:bCs/>
                <w:kern w:val="2"/>
                <w:sz w:val="21"/>
                <w:szCs w:val="21"/>
                <w:lang w:val="en-US" w:eastAsia="zh-CN" w:bidi="ar-SA"/>
              </w:rPr>
            </w:pPr>
            <w:r>
              <w:rPr>
                <w:rFonts w:hint="eastAsia"/>
                <w:b/>
                <w:color w:val="FF0000"/>
                <w:szCs w:val="21"/>
              </w:rPr>
              <w:t>原产地</w:t>
            </w:r>
          </w:p>
        </w:tc>
        <w:tc>
          <w:tcPr>
            <w:tcW w:w="486" w:type="pct"/>
            <w:vAlign w:val="center"/>
          </w:tcPr>
          <w:p>
            <w:pPr>
              <w:jc w:val="center"/>
              <w:rPr>
                <w:rFonts w:hint="eastAsia" w:ascii="Times New Roman" w:hAnsi="Times New Roman" w:eastAsia="宋体" w:cs="Times New Roman"/>
                <w:bCs/>
                <w:kern w:val="2"/>
                <w:sz w:val="21"/>
                <w:szCs w:val="21"/>
                <w:lang w:val="en-US" w:eastAsia="zh-CN" w:bidi="ar-SA"/>
              </w:rPr>
            </w:pPr>
            <w:r>
              <w:rPr>
                <w:rFonts w:hint="eastAsia"/>
                <w:szCs w:val="21"/>
              </w:rPr>
              <w:t>制造商名称</w:t>
            </w:r>
          </w:p>
        </w:tc>
        <w:tc>
          <w:tcPr>
            <w:tcW w:w="264" w:type="pct"/>
            <w:vAlign w:val="center"/>
          </w:tcPr>
          <w:p>
            <w:pPr>
              <w:jc w:val="center"/>
              <w:rPr>
                <w:bCs/>
                <w:szCs w:val="21"/>
              </w:rPr>
            </w:pPr>
            <w:r>
              <w:rPr>
                <w:rFonts w:hint="eastAsia"/>
                <w:bCs/>
                <w:szCs w:val="21"/>
              </w:rPr>
              <w:t>数量</w:t>
            </w:r>
          </w:p>
        </w:tc>
        <w:tc>
          <w:tcPr>
            <w:tcW w:w="241" w:type="pct"/>
            <w:vAlign w:val="center"/>
          </w:tcPr>
          <w:p>
            <w:pPr>
              <w:jc w:val="center"/>
              <w:rPr>
                <w:bCs/>
                <w:szCs w:val="21"/>
              </w:rPr>
            </w:pPr>
            <w:r>
              <w:rPr>
                <w:rFonts w:hint="eastAsia"/>
                <w:bCs/>
                <w:szCs w:val="21"/>
              </w:rPr>
              <w:t>单位</w:t>
            </w:r>
          </w:p>
        </w:tc>
        <w:tc>
          <w:tcPr>
            <w:tcW w:w="275" w:type="pct"/>
            <w:vAlign w:val="center"/>
          </w:tcPr>
          <w:p>
            <w:pPr>
              <w:jc w:val="center"/>
              <w:rPr>
                <w:rFonts w:hint="eastAsia" w:ascii="Times New Roman" w:hAnsi="Times New Roman" w:eastAsia="宋体" w:cs="Times New Roman"/>
                <w:bCs/>
                <w:kern w:val="2"/>
                <w:sz w:val="15"/>
                <w:szCs w:val="15"/>
                <w:lang w:val="en-US" w:eastAsia="zh-CN" w:bidi="ar-SA"/>
              </w:rPr>
            </w:pPr>
            <w:r>
              <w:rPr>
                <w:rFonts w:hint="eastAsia"/>
                <w:sz w:val="15"/>
                <w:szCs w:val="15"/>
              </w:rPr>
              <w:t>单价(元)</w:t>
            </w:r>
          </w:p>
        </w:tc>
        <w:tc>
          <w:tcPr>
            <w:tcW w:w="293" w:type="pct"/>
            <w:vAlign w:val="center"/>
          </w:tcPr>
          <w:p>
            <w:pPr>
              <w:jc w:val="center"/>
              <w:rPr>
                <w:rFonts w:hint="eastAsia" w:ascii="Times New Roman" w:hAnsi="Times New Roman" w:eastAsia="宋体" w:cs="Times New Roman"/>
                <w:bCs/>
                <w:kern w:val="2"/>
                <w:sz w:val="15"/>
                <w:szCs w:val="15"/>
                <w:lang w:val="en-US" w:eastAsia="zh-CN" w:bidi="ar-SA"/>
              </w:rPr>
            </w:pPr>
            <w:r>
              <w:rPr>
                <w:rFonts w:hint="eastAsia"/>
                <w:sz w:val="15"/>
                <w:szCs w:val="15"/>
              </w:rPr>
              <w:t>合价(元)</w:t>
            </w:r>
          </w:p>
        </w:tc>
        <w:tc>
          <w:tcPr>
            <w:tcW w:w="670" w:type="pct"/>
            <w:vAlign w:val="top"/>
          </w:tcPr>
          <w:p>
            <w:pPr>
              <w:jc w:val="center"/>
              <w:rPr>
                <w:rFonts w:hint="eastAsia"/>
                <w:b/>
                <w:bCs/>
                <w:color w:val="FF0000"/>
                <w:szCs w:val="21"/>
              </w:rPr>
            </w:pPr>
            <w:r>
              <w:rPr>
                <w:rFonts w:hint="eastAsia"/>
                <w:szCs w:val="21"/>
              </w:rPr>
              <w:t>财政预算限额（元）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48" w:type="pct"/>
          </w:tcPr>
          <w:p>
            <w:pPr>
              <w:jc w:val="center"/>
            </w:pPr>
            <w:r>
              <w:rPr>
                <w:rFonts w:hint="eastAsia"/>
              </w:rPr>
              <w:t>1</w:t>
            </w:r>
          </w:p>
        </w:tc>
        <w:tc>
          <w:tcPr>
            <w:tcW w:w="819" w:type="pct"/>
          </w:tcPr>
          <w:p>
            <w:pPr>
              <w:jc w:val="center"/>
            </w:pPr>
            <w:r>
              <w:rPr>
                <w:rFonts w:hint="eastAsia"/>
              </w:rPr>
              <w:t>PLAN-2021-440301-0102018021-01138</w:t>
            </w:r>
          </w:p>
        </w:tc>
        <w:tc>
          <w:tcPr>
            <w:tcW w:w="654" w:type="pct"/>
            <w:vAlign w:val="top"/>
          </w:tcPr>
          <w:p>
            <w:pPr>
              <w:jc w:val="center"/>
            </w:pPr>
            <w:r>
              <w:rPr>
                <w:rFonts w:hint="eastAsia"/>
              </w:rPr>
              <w:t>裂隙灯显微镜及配套诊疗台</w:t>
            </w:r>
          </w:p>
        </w:tc>
        <w:tc>
          <w:tcPr>
            <w:tcW w:w="664" w:type="pct"/>
          </w:tcPr>
          <w:p>
            <w:pPr>
              <w:jc w:val="center"/>
              <w:rPr>
                <w:rFonts w:hint="eastAsia"/>
              </w:rPr>
            </w:pPr>
          </w:p>
        </w:tc>
        <w:tc>
          <w:tcPr>
            <w:tcW w:w="382" w:type="pct"/>
          </w:tcPr>
          <w:p>
            <w:pPr>
              <w:jc w:val="center"/>
              <w:rPr>
                <w:rFonts w:hint="eastAsia"/>
              </w:rPr>
            </w:pPr>
          </w:p>
        </w:tc>
        <w:tc>
          <w:tcPr>
            <w:tcW w:w="486" w:type="pct"/>
          </w:tcPr>
          <w:p>
            <w:pPr>
              <w:jc w:val="center"/>
              <w:rPr>
                <w:rFonts w:hint="eastAsia"/>
              </w:rPr>
            </w:pPr>
          </w:p>
        </w:tc>
        <w:tc>
          <w:tcPr>
            <w:tcW w:w="264" w:type="pct"/>
          </w:tcPr>
          <w:p>
            <w:pPr>
              <w:jc w:val="center"/>
            </w:pPr>
            <w:r>
              <w:rPr>
                <w:rFonts w:hint="eastAsia"/>
              </w:rPr>
              <w:t>20</w:t>
            </w:r>
          </w:p>
        </w:tc>
        <w:tc>
          <w:tcPr>
            <w:tcW w:w="241" w:type="pct"/>
          </w:tcPr>
          <w:p>
            <w:pPr>
              <w:jc w:val="center"/>
            </w:pPr>
            <w:r>
              <w:rPr>
                <w:rFonts w:hint="eastAsia"/>
              </w:rPr>
              <w:t>套</w:t>
            </w:r>
          </w:p>
        </w:tc>
        <w:tc>
          <w:tcPr>
            <w:tcW w:w="275" w:type="pct"/>
            <w:vAlign w:val="top"/>
          </w:tcPr>
          <w:p>
            <w:pPr>
              <w:jc w:val="center"/>
              <w:rPr>
                <w:rFonts w:hint="eastAsia"/>
              </w:rPr>
            </w:pPr>
          </w:p>
        </w:tc>
        <w:tc>
          <w:tcPr>
            <w:tcW w:w="293" w:type="pct"/>
            <w:vAlign w:val="top"/>
          </w:tcPr>
          <w:p>
            <w:pPr>
              <w:jc w:val="center"/>
              <w:rPr>
                <w:rFonts w:hint="eastAsia"/>
              </w:rPr>
            </w:pPr>
          </w:p>
        </w:tc>
        <w:tc>
          <w:tcPr>
            <w:tcW w:w="670" w:type="pct"/>
            <w:vAlign w:val="top"/>
          </w:tcPr>
          <w:p>
            <w:pPr>
              <w:jc w:val="center"/>
              <w:rPr>
                <w:rFonts w:hint="eastAsia"/>
              </w:rPr>
            </w:pPr>
            <w:r>
              <w:rPr>
                <w:rFonts w:hint="eastAsia"/>
              </w:rPr>
              <w:t>2,800,000.00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48" w:type="pct"/>
          </w:tcPr>
          <w:p>
            <w:pPr>
              <w:jc w:val="center"/>
            </w:pPr>
            <w:r>
              <w:rPr>
                <w:rFonts w:hint="eastAsia"/>
              </w:rPr>
              <w:t>2</w:t>
            </w:r>
          </w:p>
        </w:tc>
        <w:tc>
          <w:tcPr>
            <w:tcW w:w="819" w:type="pct"/>
          </w:tcPr>
          <w:p>
            <w:pPr>
              <w:jc w:val="center"/>
            </w:pPr>
            <w:r>
              <w:rPr>
                <w:rFonts w:hint="eastAsia"/>
              </w:rPr>
              <w:t>PLAN-2021-440301-0102018021-01110</w:t>
            </w:r>
          </w:p>
        </w:tc>
        <w:tc>
          <w:tcPr>
            <w:tcW w:w="654" w:type="pct"/>
            <w:vAlign w:val="top"/>
          </w:tcPr>
          <w:p>
            <w:pPr>
              <w:jc w:val="center"/>
            </w:pPr>
            <w:r>
              <w:rPr>
                <w:rFonts w:hint="eastAsia"/>
              </w:rPr>
              <w:t>视野分析仪</w:t>
            </w:r>
          </w:p>
        </w:tc>
        <w:tc>
          <w:tcPr>
            <w:tcW w:w="664" w:type="pct"/>
          </w:tcPr>
          <w:p>
            <w:pPr>
              <w:jc w:val="center"/>
              <w:rPr>
                <w:rFonts w:hint="eastAsia"/>
              </w:rPr>
            </w:pPr>
          </w:p>
        </w:tc>
        <w:tc>
          <w:tcPr>
            <w:tcW w:w="382" w:type="pct"/>
          </w:tcPr>
          <w:p>
            <w:pPr>
              <w:jc w:val="center"/>
              <w:rPr>
                <w:rFonts w:hint="eastAsia"/>
              </w:rPr>
            </w:pPr>
          </w:p>
        </w:tc>
        <w:tc>
          <w:tcPr>
            <w:tcW w:w="486" w:type="pct"/>
          </w:tcPr>
          <w:p>
            <w:pPr>
              <w:jc w:val="center"/>
              <w:rPr>
                <w:rFonts w:hint="eastAsia"/>
              </w:rPr>
            </w:pPr>
          </w:p>
        </w:tc>
        <w:tc>
          <w:tcPr>
            <w:tcW w:w="264" w:type="pct"/>
          </w:tcPr>
          <w:p>
            <w:pPr>
              <w:jc w:val="center"/>
            </w:pPr>
            <w:r>
              <w:rPr>
                <w:rFonts w:hint="eastAsia"/>
              </w:rPr>
              <w:t>3</w:t>
            </w:r>
          </w:p>
        </w:tc>
        <w:tc>
          <w:tcPr>
            <w:tcW w:w="241" w:type="pct"/>
          </w:tcPr>
          <w:p>
            <w:pPr>
              <w:jc w:val="center"/>
            </w:pPr>
            <w:r>
              <w:rPr>
                <w:rFonts w:hint="eastAsia"/>
              </w:rPr>
              <w:t>套</w:t>
            </w:r>
          </w:p>
        </w:tc>
        <w:tc>
          <w:tcPr>
            <w:tcW w:w="275" w:type="pct"/>
            <w:vAlign w:val="top"/>
          </w:tcPr>
          <w:p>
            <w:pPr>
              <w:rPr>
                <w:rFonts w:hint="eastAsia"/>
              </w:rPr>
            </w:pPr>
          </w:p>
        </w:tc>
        <w:tc>
          <w:tcPr>
            <w:tcW w:w="293" w:type="pct"/>
            <w:vAlign w:val="top"/>
          </w:tcPr>
          <w:p>
            <w:pPr>
              <w:rPr>
                <w:rFonts w:hint="eastAsia"/>
              </w:rPr>
            </w:pPr>
          </w:p>
        </w:tc>
        <w:tc>
          <w:tcPr>
            <w:tcW w:w="670" w:type="pct"/>
            <w:vAlign w:val="top"/>
          </w:tcPr>
          <w:p>
            <w:pPr>
              <w:rPr>
                <w:rFonts w:hint="eastAsia"/>
              </w:rPr>
            </w:pPr>
            <w:r>
              <w:rPr>
                <w:rFonts w:hint="eastAsia"/>
              </w:rPr>
              <w:t>2,100,000.00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000" w:type="pct"/>
            <w:gridSpan w:val="11"/>
            <w:vAlign w:val="top"/>
          </w:tcPr>
          <w:p>
            <w:pPr>
              <w:rPr>
                <w:rFonts w:hint="eastAsia" w:ascii="Times New Roman" w:hAnsi="Times New Roman" w:eastAsia="宋体" w:cs="Times New Roman"/>
                <w:bCs/>
                <w:kern w:val="2"/>
                <w:sz w:val="21"/>
                <w:szCs w:val="21"/>
                <w:lang w:val="en-US" w:eastAsia="zh-CN" w:bidi="ar-SA"/>
              </w:rPr>
            </w:pPr>
            <w:r>
              <w:rPr>
                <w:rFonts w:hint="eastAsia"/>
                <w:bCs/>
                <w:szCs w:val="21"/>
              </w:rPr>
              <w:t xml:space="preserve">合计（即投标总价；币种：人民币；单位：元） 小写：          大写：          </w:t>
            </w:r>
          </w:p>
        </w:tc>
      </w:tr>
    </w:tbl>
    <w:p>
      <w:pPr>
        <w:ind w:firstLine="482" w:firstLineChars="200"/>
        <w:rPr>
          <w:rFonts w:ascii="宋体" w:hAnsi="宋体"/>
          <w:b/>
          <w:sz w:val="24"/>
        </w:rPr>
      </w:pPr>
      <w:r>
        <w:rPr>
          <w:rFonts w:hint="eastAsia" w:ascii="宋体" w:hAnsi="宋体"/>
          <w:b/>
          <w:sz w:val="24"/>
        </w:rPr>
        <w:t>注：1.本表可按同样格式扩展。</w:t>
      </w:r>
    </w:p>
    <w:p>
      <w:pPr>
        <w:ind w:firstLine="472" w:firstLineChars="196"/>
        <w:rPr>
          <w:rFonts w:ascii="宋体" w:hAnsi="宋体"/>
          <w:b/>
          <w:sz w:val="24"/>
        </w:rPr>
      </w:pPr>
      <w:r>
        <w:rPr>
          <w:rFonts w:hint="eastAsia" w:ascii="宋体" w:hAnsi="宋体"/>
          <w:b/>
          <w:sz w:val="24"/>
        </w:rPr>
        <w:t>2</w:t>
      </w:r>
      <w:r>
        <w:rPr>
          <w:rFonts w:ascii="宋体" w:hAnsi="宋体"/>
          <w:b/>
          <w:sz w:val="24"/>
        </w:rPr>
        <w:t>.</w:t>
      </w:r>
      <w:r>
        <w:rPr>
          <w:rFonts w:hint="eastAsia" w:ascii="宋体" w:hAnsi="宋体"/>
          <w:b/>
          <w:sz w:val="24"/>
        </w:rPr>
        <w:t xml:space="preserve"> 如所投货物属于定制类的非量产货物或无具体品牌、型号的货物，可以在“规格/品牌/型号”一栏仅填写规格信息而不填写品牌、型号等信息（品牌、型号信息用“定制”描述即可）；</w:t>
      </w:r>
      <w:bookmarkStart w:id="50" w:name="_Hlk73646428"/>
      <w:r>
        <w:rPr>
          <w:rFonts w:hint="eastAsia" w:ascii="宋体" w:hAnsi="宋体"/>
          <w:b/>
          <w:sz w:val="24"/>
        </w:rPr>
        <w:t>此类填写错误（所投货物为定制类的非量产货物但供应商却错误填报了品牌、型号）的不利后果由供应商承担，</w:t>
      </w:r>
      <w:r>
        <w:rPr>
          <w:rFonts w:hint="eastAsia"/>
          <w:b/>
          <w:sz w:val="24"/>
        </w:rPr>
        <w:t>经评审委员会认定，在使用综合评分法的项目中一项此类填写错误将按照一项招标技术要求一般参数负偏离作处理。</w:t>
      </w:r>
      <w:bookmarkEnd w:id="50"/>
    </w:p>
    <w:p>
      <w:pPr>
        <w:ind w:firstLine="472" w:firstLineChars="196"/>
        <w:rPr>
          <w:rFonts w:ascii="宋体" w:hAnsi="宋体"/>
          <w:b/>
          <w:sz w:val="24"/>
        </w:rPr>
      </w:pPr>
      <w:r>
        <w:rPr>
          <w:rFonts w:ascii="宋体" w:hAnsi="宋体"/>
          <w:b/>
          <w:sz w:val="24"/>
        </w:rPr>
        <w:t>3</w:t>
      </w:r>
      <w:r>
        <w:rPr>
          <w:rFonts w:hint="eastAsia" w:ascii="宋体" w:hAnsi="宋体"/>
          <w:b/>
          <w:sz w:val="24"/>
        </w:rPr>
        <w:t>.</w:t>
      </w:r>
      <w:bookmarkStart w:id="51" w:name="_Hlk72074795"/>
      <w:r>
        <w:rPr>
          <w:rFonts w:hint="eastAsia" w:ascii="宋体" w:hAnsi="宋体"/>
          <w:b/>
          <w:sz w:val="24"/>
        </w:rPr>
        <w:t>“原产地”是指该货物的实际生产加工地，而非品牌总公司所在地</w:t>
      </w:r>
      <w:bookmarkEnd w:id="51"/>
      <w:r>
        <w:rPr>
          <w:rFonts w:hint="eastAsia" w:ascii="宋体" w:hAnsi="宋体"/>
          <w:b/>
          <w:sz w:val="24"/>
        </w:rPr>
        <w:t>。</w:t>
      </w:r>
    </w:p>
    <w:p>
      <w:pPr>
        <w:ind w:firstLine="472" w:firstLineChars="196"/>
        <w:rPr>
          <w:rFonts w:ascii="宋体" w:hAnsi="宋体"/>
          <w:b/>
          <w:sz w:val="24"/>
        </w:rPr>
      </w:pPr>
      <w:r>
        <w:rPr>
          <w:rFonts w:ascii="宋体" w:hAnsi="宋体"/>
          <w:b/>
          <w:sz w:val="24"/>
        </w:rPr>
        <w:t>4</w:t>
      </w:r>
      <w:r>
        <w:rPr>
          <w:rFonts w:hint="eastAsia" w:ascii="宋体" w:hAnsi="宋体"/>
          <w:b/>
          <w:sz w:val="24"/>
        </w:rPr>
        <w:t>.所投货物均应填写制造商名称。</w:t>
      </w:r>
    </w:p>
    <w:p>
      <w:pPr>
        <w:ind w:firstLine="482" w:firstLineChars="200"/>
        <w:rPr>
          <w:rFonts w:ascii="宋体" w:hAnsi="宋体"/>
          <w:b/>
          <w:sz w:val="24"/>
        </w:rPr>
      </w:pPr>
      <w:r>
        <w:rPr>
          <w:rFonts w:ascii="宋体" w:hAnsi="宋体"/>
          <w:b/>
          <w:sz w:val="24"/>
        </w:rPr>
        <w:t>5</w:t>
      </w:r>
      <w:r>
        <w:rPr>
          <w:rFonts w:hint="eastAsia" w:ascii="宋体" w:hAnsi="宋体"/>
          <w:b/>
          <w:sz w:val="24"/>
        </w:rPr>
        <w:t>.以上分项报价表的投标总价应当与开标一览表的投标总价一致。</w:t>
      </w:r>
    </w:p>
    <w:p>
      <w:pPr>
        <w:ind w:firstLine="482" w:firstLineChars="200"/>
        <w:rPr>
          <w:rFonts w:ascii="宋体" w:hAnsi="宋体"/>
          <w:b/>
          <w:sz w:val="24"/>
        </w:rPr>
      </w:pPr>
      <w:r>
        <w:rPr>
          <w:rFonts w:ascii="宋体" w:hAnsi="宋体"/>
          <w:b/>
          <w:sz w:val="24"/>
        </w:rPr>
        <w:t>6</w:t>
      </w:r>
      <w:r>
        <w:rPr>
          <w:rFonts w:hint="eastAsia" w:ascii="宋体" w:hAnsi="宋体"/>
          <w:b/>
          <w:sz w:val="24"/>
        </w:rPr>
        <w:t>.单价、合价和投标总价为包干价，即三者均应包含货物的价款、包装、运输、装卸、安装、调试、技术指导、培训、咨询、服务、保险、税费、检测、验收合格交付使用之前以及技术和售后服务等其他各项有关费用。（若招标文件商务要求中对于报价有要求的以商务要求中的条款为准）</w:t>
      </w:r>
    </w:p>
    <w:p>
      <w:pPr>
        <w:ind w:firstLine="482" w:firstLineChars="200"/>
        <w:rPr>
          <w:rFonts w:ascii="宋体" w:hAnsi="宋体"/>
          <w:b/>
          <w:sz w:val="24"/>
        </w:rPr>
      </w:pPr>
      <w:r>
        <w:rPr>
          <w:rFonts w:ascii="宋体" w:hAnsi="宋体"/>
          <w:b/>
          <w:sz w:val="24"/>
        </w:rPr>
        <w:t>7</w:t>
      </w:r>
      <w:r>
        <w:rPr>
          <w:rFonts w:hint="eastAsia" w:ascii="宋体" w:hAnsi="宋体"/>
          <w:b/>
          <w:sz w:val="24"/>
        </w:rPr>
        <w:t>.所有价格应按“招标文件”中规定的货币单位填写；投标总价应为以上各分项价格之和；投标总价和项目报价表中单个采购预算条目报价均不得超过对应的财政预算限额，否则将导致投标无效。</w:t>
      </w:r>
    </w:p>
    <w:p>
      <w:pPr>
        <w:ind w:firstLine="482" w:firstLineChars="200"/>
        <w:rPr>
          <w:rFonts w:ascii="宋体" w:hAnsi="宋体"/>
          <w:b/>
          <w:color w:val="FF0000"/>
          <w:sz w:val="24"/>
        </w:rPr>
      </w:pPr>
    </w:p>
    <w:p>
      <w:pPr>
        <w:tabs>
          <w:tab w:val="left" w:pos="720"/>
        </w:tabs>
        <w:jc w:val="center"/>
        <w:rPr>
          <w:b/>
          <w:sz w:val="24"/>
        </w:rPr>
      </w:pPr>
      <w:r>
        <w:rPr>
          <w:rFonts w:hint="eastAsia"/>
          <w:b/>
          <w:sz w:val="24"/>
        </w:rPr>
        <w:t>（二）核心产品品牌</w:t>
      </w:r>
    </w:p>
    <w:p>
      <w:pPr>
        <w:ind w:firstLine="482" w:firstLineChars="200"/>
        <w:rPr>
          <w:rFonts w:ascii="宋体" w:hAnsi="宋体"/>
          <w:b/>
          <w:color w:val="FF0000"/>
          <w:sz w:val="24"/>
        </w:rPr>
      </w:pPr>
    </w:p>
    <w:p>
      <w:pPr>
        <w:ind w:firstLine="482" w:firstLineChars="200"/>
        <w:rPr>
          <w:rFonts w:ascii="宋体" w:hAnsi="宋体"/>
          <w:b/>
          <w:sz w:val="24"/>
        </w:rPr>
      </w:pPr>
      <w:r>
        <w:rPr>
          <w:rFonts w:hint="eastAsia"/>
          <w:b/>
          <w:sz w:val="24"/>
        </w:rPr>
        <w:t>我单位所投核心产品的品牌为：</w:t>
      </w:r>
      <w:r>
        <w:rPr>
          <w:rFonts w:hint="eastAsia"/>
          <w:b/>
          <w:sz w:val="24"/>
          <w:u w:val="single"/>
        </w:rPr>
        <w:t xml:space="preserve">                   </w:t>
      </w:r>
      <w:r>
        <w:rPr>
          <w:rFonts w:hint="eastAsia"/>
          <w:b/>
          <w:sz w:val="24"/>
        </w:rPr>
        <w:t>。</w:t>
      </w:r>
    </w:p>
    <w:p>
      <w:pPr>
        <w:ind w:firstLine="482" w:firstLineChars="200"/>
        <w:rPr>
          <w:rFonts w:ascii="宋体" w:hAnsi="宋体"/>
          <w:b/>
          <w:color w:val="FF0000"/>
          <w:sz w:val="24"/>
        </w:rPr>
      </w:pPr>
    </w:p>
    <w:p>
      <w:pPr>
        <w:ind w:firstLine="480" w:firstLineChars="200"/>
        <w:rPr>
          <w:rFonts w:ascii="宋体"/>
          <w:kern w:val="0"/>
          <w:szCs w:val="21"/>
        </w:rPr>
      </w:pPr>
      <w:r>
        <w:rPr>
          <w:rFonts w:hint="eastAsia" w:ascii="宋体" w:hAnsi="宋体"/>
          <w:sz w:val="24"/>
        </w:rPr>
        <w:t>备注：招标文件未列明核心产品的，无需填写该项。</w:t>
      </w:r>
    </w:p>
    <w:p>
      <w:pPr>
        <w:ind w:firstLine="482" w:firstLineChars="200"/>
        <w:rPr>
          <w:rFonts w:ascii="宋体"/>
          <w:kern w:val="0"/>
          <w:szCs w:val="21"/>
        </w:rPr>
      </w:pPr>
      <w:r>
        <w:rPr>
          <w:rFonts w:hint="eastAsia" w:ascii="宋体" w:hAnsi="宋体"/>
          <w:b/>
          <w:bCs/>
          <w:sz w:val="24"/>
        </w:rPr>
        <w:t>本项目核心产品为：</w:t>
      </w:r>
      <w:r>
        <w:rPr>
          <w:rFonts w:hint="eastAsia"/>
          <w:b/>
          <w:bCs/>
          <w:szCs w:val="21"/>
          <w:u w:val="single"/>
        </w:rPr>
        <w:tab/>
      </w:r>
      <w:r>
        <w:rPr>
          <w:rFonts w:hint="eastAsia" w:ascii="宋体" w:hAnsi="宋体"/>
          <w:b/>
          <w:color w:val="FF0000"/>
          <w:szCs w:val="21"/>
          <w:u w:val="single"/>
        </w:rPr>
        <w:t>视野分析仪</w:t>
      </w:r>
      <w:r>
        <w:rPr>
          <w:rFonts w:hint="eastAsia" w:ascii="宋体" w:hAnsi="宋体"/>
          <w:b/>
          <w:color w:val="FF0000"/>
          <w:szCs w:val="21"/>
          <w:highlight w:val="yellow"/>
          <w:u w:val="single"/>
        </w:rPr>
        <w:t>（序号2）</w:t>
      </w:r>
      <w:r>
        <w:rPr>
          <w:rFonts w:hint="eastAsia"/>
          <w:b/>
          <w:bCs/>
          <w:szCs w:val="21"/>
          <w:u w:val="single"/>
        </w:rPr>
        <w:tab/>
      </w:r>
      <w:r>
        <w:rPr>
          <w:rFonts w:hint="eastAsia"/>
          <w:b/>
          <w:bCs/>
          <w:szCs w:val="21"/>
          <w:u w:val="single"/>
        </w:rPr>
        <w:tab/>
      </w:r>
      <w:r>
        <w:rPr>
          <w:rFonts w:hint="eastAsia"/>
          <w:b/>
          <w:bCs/>
          <w:szCs w:val="21"/>
          <w:u w:val="single"/>
        </w:rPr>
        <w:tab/>
      </w:r>
    </w:p>
    <w:p>
      <w:pPr>
        <w:rPr>
          <w:b/>
          <w:sz w:val="24"/>
        </w:rPr>
      </w:pPr>
    </w:p>
    <w:p>
      <w:pPr>
        <w:ind w:firstLine="482" w:firstLineChars="200"/>
        <w:rPr>
          <w:rFonts w:hAnsi="宋体"/>
          <w:b/>
          <w:bCs/>
          <w:sz w:val="24"/>
        </w:rPr>
      </w:pPr>
      <w:r>
        <w:rPr>
          <w:rFonts w:hint="eastAsia" w:hAnsi="宋体"/>
          <w:b/>
          <w:bCs/>
          <w:sz w:val="24"/>
        </w:rPr>
        <w:t>（三）零配件、消耗品和延续保修合同报价清单（不包括在投标总价内）</w:t>
      </w:r>
    </w:p>
    <w:p>
      <w:pPr>
        <w:ind w:firstLine="422" w:firstLineChars="200"/>
        <w:rPr>
          <w:rFonts w:hAnsi="宋体"/>
          <w:b/>
          <w:bCs/>
          <w:szCs w:val="21"/>
        </w:rPr>
      </w:pPr>
      <w:r>
        <w:rPr>
          <w:rFonts w:hint="eastAsia" w:hAnsi="宋体"/>
          <w:b/>
          <w:bCs/>
          <w:szCs w:val="21"/>
        </w:rPr>
        <w:t>注：价格最高的前5项零配件、消耗品和延续保修合同的报价明细必须填写于此清单中。</w:t>
      </w:r>
    </w:p>
    <w:tbl>
      <w:tblPr>
        <w:tblStyle w:val="43"/>
        <w:tblW w:w="77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228"/>
        <w:gridCol w:w="1694"/>
        <w:gridCol w:w="900"/>
        <w:gridCol w:w="1401"/>
        <w:gridCol w:w="70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ind w:right="-69" w:rightChars="-33"/>
              <w:jc w:val="center"/>
              <w:rPr>
                <w:szCs w:val="21"/>
              </w:rPr>
            </w:pPr>
            <w:r>
              <w:rPr>
                <w:rFonts w:hint="eastAsia"/>
                <w:szCs w:val="21"/>
              </w:rPr>
              <w:t>序号</w:t>
            </w:r>
          </w:p>
        </w:tc>
        <w:tc>
          <w:tcPr>
            <w:tcW w:w="1228" w:type="dxa"/>
            <w:vAlign w:val="center"/>
          </w:tcPr>
          <w:p>
            <w:pPr>
              <w:jc w:val="center"/>
              <w:rPr>
                <w:szCs w:val="21"/>
              </w:rPr>
            </w:pPr>
            <w:r>
              <w:rPr>
                <w:rFonts w:hint="eastAsia"/>
                <w:szCs w:val="21"/>
              </w:rPr>
              <w:t>货物名称</w:t>
            </w:r>
          </w:p>
        </w:tc>
        <w:tc>
          <w:tcPr>
            <w:tcW w:w="1694" w:type="dxa"/>
            <w:vAlign w:val="center"/>
          </w:tcPr>
          <w:p>
            <w:pPr>
              <w:jc w:val="center"/>
              <w:rPr>
                <w:szCs w:val="21"/>
              </w:rPr>
            </w:pPr>
            <w:r>
              <w:rPr>
                <w:rFonts w:hint="eastAsia"/>
                <w:szCs w:val="21"/>
              </w:rPr>
              <w:t>规格/型号</w:t>
            </w:r>
          </w:p>
        </w:tc>
        <w:tc>
          <w:tcPr>
            <w:tcW w:w="900" w:type="dxa"/>
            <w:vAlign w:val="center"/>
          </w:tcPr>
          <w:p>
            <w:pPr>
              <w:jc w:val="center"/>
              <w:rPr>
                <w:szCs w:val="21"/>
              </w:rPr>
            </w:pPr>
            <w:r>
              <w:rPr>
                <w:rFonts w:hint="eastAsia"/>
                <w:szCs w:val="21"/>
              </w:rPr>
              <w:t>原产地</w:t>
            </w:r>
          </w:p>
        </w:tc>
        <w:tc>
          <w:tcPr>
            <w:tcW w:w="1401" w:type="dxa"/>
            <w:vAlign w:val="center"/>
          </w:tcPr>
          <w:p>
            <w:pPr>
              <w:jc w:val="center"/>
              <w:rPr>
                <w:szCs w:val="21"/>
              </w:rPr>
            </w:pPr>
            <w:r>
              <w:rPr>
                <w:rFonts w:hint="eastAsia"/>
                <w:szCs w:val="21"/>
              </w:rPr>
              <w:t>制造商名称</w:t>
            </w:r>
          </w:p>
        </w:tc>
        <w:tc>
          <w:tcPr>
            <w:tcW w:w="709" w:type="dxa"/>
            <w:vAlign w:val="center"/>
          </w:tcPr>
          <w:p>
            <w:pPr>
              <w:jc w:val="center"/>
              <w:rPr>
                <w:szCs w:val="21"/>
              </w:rPr>
            </w:pPr>
            <w:r>
              <w:rPr>
                <w:rFonts w:hint="eastAsia"/>
                <w:szCs w:val="21"/>
              </w:rPr>
              <w:t>数量</w:t>
            </w:r>
          </w:p>
        </w:tc>
        <w:tc>
          <w:tcPr>
            <w:tcW w:w="992" w:type="dxa"/>
            <w:vAlign w:val="center"/>
          </w:tcPr>
          <w:p>
            <w:pPr>
              <w:jc w:val="center"/>
              <w:rPr>
                <w:szCs w:val="21"/>
              </w:rPr>
            </w:pPr>
            <w:r>
              <w:rPr>
                <w:rFonts w:hint="eastAsia"/>
                <w:szCs w:val="21"/>
              </w:rPr>
              <w:t>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ind w:right="-69" w:rightChars="-33"/>
              <w:jc w:val="center"/>
              <w:rPr>
                <w:szCs w:val="21"/>
              </w:rPr>
            </w:pPr>
            <w:r>
              <w:rPr>
                <w:rFonts w:hint="eastAsia"/>
                <w:szCs w:val="21"/>
              </w:rPr>
              <w:t>1</w:t>
            </w:r>
          </w:p>
        </w:tc>
        <w:tc>
          <w:tcPr>
            <w:tcW w:w="1228" w:type="dxa"/>
          </w:tcPr>
          <w:p>
            <w:pPr>
              <w:rPr>
                <w:sz w:val="24"/>
              </w:rPr>
            </w:pPr>
          </w:p>
        </w:tc>
        <w:tc>
          <w:tcPr>
            <w:tcW w:w="1694" w:type="dxa"/>
          </w:tcPr>
          <w:p>
            <w:pPr>
              <w:rPr>
                <w:sz w:val="24"/>
              </w:rPr>
            </w:pPr>
          </w:p>
        </w:tc>
        <w:tc>
          <w:tcPr>
            <w:tcW w:w="900" w:type="dxa"/>
          </w:tcPr>
          <w:p>
            <w:pPr>
              <w:rPr>
                <w:sz w:val="24"/>
              </w:rPr>
            </w:pPr>
          </w:p>
        </w:tc>
        <w:tc>
          <w:tcPr>
            <w:tcW w:w="1401" w:type="dxa"/>
          </w:tcPr>
          <w:p>
            <w:pPr>
              <w:rPr>
                <w:sz w:val="24"/>
              </w:rPr>
            </w:pPr>
          </w:p>
        </w:tc>
        <w:tc>
          <w:tcPr>
            <w:tcW w:w="709" w:type="dxa"/>
          </w:tcPr>
          <w:p>
            <w:pPr>
              <w:rPr>
                <w:sz w:val="24"/>
              </w:rPr>
            </w:pPr>
          </w:p>
        </w:tc>
        <w:tc>
          <w:tcPr>
            <w:tcW w:w="992"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ind w:right="-69" w:rightChars="-33"/>
              <w:jc w:val="center"/>
              <w:rPr>
                <w:szCs w:val="21"/>
              </w:rPr>
            </w:pPr>
            <w:r>
              <w:rPr>
                <w:rFonts w:hint="eastAsia"/>
                <w:szCs w:val="21"/>
              </w:rPr>
              <w:t>2</w:t>
            </w:r>
          </w:p>
        </w:tc>
        <w:tc>
          <w:tcPr>
            <w:tcW w:w="1228" w:type="dxa"/>
          </w:tcPr>
          <w:p>
            <w:pPr>
              <w:rPr>
                <w:sz w:val="24"/>
              </w:rPr>
            </w:pPr>
          </w:p>
        </w:tc>
        <w:tc>
          <w:tcPr>
            <w:tcW w:w="1694" w:type="dxa"/>
          </w:tcPr>
          <w:p>
            <w:pPr>
              <w:rPr>
                <w:sz w:val="24"/>
              </w:rPr>
            </w:pPr>
          </w:p>
        </w:tc>
        <w:tc>
          <w:tcPr>
            <w:tcW w:w="900" w:type="dxa"/>
          </w:tcPr>
          <w:p>
            <w:pPr>
              <w:rPr>
                <w:sz w:val="24"/>
              </w:rPr>
            </w:pPr>
          </w:p>
        </w:tc>
        <w:tc>
          <w:tcPr>
            <w:tcW w:w="1401" w:type="dxa"/>
          </w:tcPr>
          <w:p>
            <w:pPr>
              <w:rPr>
                <w:sz w:val="24"/>
              </w:rPr>
            </w:pPr>
          </w:p>
        </w:tc>
        <w:tc>
          <w:tcPr>
            <w:tcW w:w="709" w:type="dxa"/>
          </w:tcPr>
          <w:p>
            <w:pPr>
              <w:rPr>
                <w:sz w:val="24"/>
              </w:rPr>
            </w:pPr>
          </w:p>
        </w:tc>
        <w:tc>
          <w:tcPr>
            <w:tcW w:w="992"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ind w:right="-69" w:rightChars="-33"/>
              <w:jc w:val="center"/>
              <w:rPr>
                <w:szCs w:val="21"/>
              </w:rPr>
            </w:pPr>
          </w:p>
        </w:tc>
        <w:tc>
          <w:tcPr>
            <w:tcW w:w="1228" w:type="dxa"/>
          </w:tcPr>
          <w:p>
            <w:pPr>
              <w:rPr>
                <w:sz w:val="24"/>
              </w:rPr>
            </w:pPr>
          </w:p>
        </w:tc>
        <w:tc>
          <w:tcPr>
            <w:tcW w:w="1694" w:type="dxa"/>
          </w:tcPr>
          <w:p>
            <w:pPr>
              <w:rPr>
                <w:sz w:val="24"/>
              </w:rPr>
            </w:pPr>
          </w:p>
        </w:tc>
        <w:tc>
          <w:tcPr>
            <w:tcW w:w="900" w:type="dxa"/>
          </w:tcPr>
          <w:p>
            <w:pPr>
              <w:rPr>
                <w:sz w:val="24"/>
              </w:rPr>
            </w:pPr>
          </w:p>
        </w:tc>
        <w:tc>
          <w:tcPr>
            <w:tcW w:w="1401" w:type="dxa"/>
          </w:tcPr>
          <w:p>
            <w:pPr>
              <w:rPr>
                <w:sz w:val="24"/>
              </w:rPr>
            </w:pPr>
          </w:p>
        </w:tc>
        <w:tc>
          <w:tcPr>
            <w:tcW w:w="709" w:type="dxa"/>
          </w:tcPr>
          <w:p>
            <w:pPr>
              <w:rPr>
                <w:sz w:val="24"/>
              </w:rPr>
            </w:pPr>
          </w:p>
        </w:tc>
        <w:tc>
          <w:tcPr>
            <w:tcW w:w="992"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ind w:right="-69" w:rightChars="-33"/>
              <w:jc w:val="center"/>
              <w:rPr>
                <w:szCs w:val="21"/>
              </w:rPr>
            </w:pPr>
          </w:p>
        </w:tc>
        <w:tc>
          <w:tcPr>
            <w:tcW w:w="1228" w:type="dxa"/>
          </w:tcPr>
          <w:p>
            <w:pPr>
              <w:rPr>
                <w:sz w:val="24"/>
              </w:rPr>
            </w:pPr>
          </w:p>
        </w:tc>
        <w:tc>
          <w:tcPr>
            <w:tcW w:w="1694" w:type="dxa"/>
          </w:tcPr>
          <w:p>
            <w:pPr>
              <w:rPr>
                <w:sz w:val="24"/>
              </w:rPr>
            </w:pPr>
          </w:p>
        </w:tc>
        <w:tc>
          <w:tcPr>
            <w:tcW w:w="900" w:type="dxa"/>
          </w:tcPr>
          <w:p>
            <w:pPr>
              <w:rPr>
                <w:sz w:val="24"/>
              </w:rPr>
            </w:pPr>
          </w:p>
        </w:tc>
        <w:tc>
          <w:tcPr>
            <w:tcW w:w="1401" w:type="dxa"/>
          </w:tcPr>
          <w:p>
            <w:pPr>
              <w:rPr>
                <w:sz w:val="24"/>
              </w:rPr>
            </w:pPr>
          </w:p>
        </w:tc>
        <w:tc>
          <w:tcPr>
            <w:tcW w:w="709" w:type="dxa"/>
          </w:tcPr>
          <w:p>
            <w:pPr>
              <w:rPr>
                <w:sz w:val="24"/>
              </w:rPr>
            </w:pPr>
          </w:p>
        </w:tc>
        <w:tc>
          <w:tcPr>
            <w:tcW w:w="992"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rPr>
                <w:sz w:val="24"/>
              </w:rPr>
            </w:pPr>
          </w:p>
        </w:tc>
        <w:tc>
          <w:tcPr>
            <w:tcW w:w="1228" w:type="dxa"/>
          </w:tcPr>
          <w:p>
            <w:pPr>
              <w:rPr>
                <w:sz w:val="24"/>
              </w:rPr>
            </w:pPr>
          </w:p>
        </w:tc>
        <w:tc>
          <w:tcPr>
            <w:tcW w:w="1694" w:type="dxa"/>
          </w:tcPr>
          <w:p>
            <w:pPr>
              <w:rPr>
                <w:sz w:val="24"/>
              </w:rPr>
            </w:pPr>
          </w:p>
        </w:tc>
        <w:tc>
          <w:tcPr>
            <w:tcW w:w="900" w:type="dxa"/>
          </w:tcPr>
          <w:p>
            <w:pPr>
              <w:rPr>
                <w:sz w:val="24"/>
              </w:rPr>
            </w:pPr>
          </w:p>
        </w:tc>
        <w:tc>
          <w:tcPr>
            <w:tcW w:w="1401" w:type="dxa"/>
          </w:tcPr>
          <w:p>
            <w:pPr>
              <w:rPr>
                <w:sz w:val="24"/>
              </w:rPr>
            </w:pPr>
          </w:p>
        </w:tc>
        <w:tc>
          <w:tcPr>
            <w:tcW w:w="709" w:type="dxa"/>
          </w:tcPr>
          <w:p>
            <w:pPr>
              <w:rPr>
                <w:sz w:val="24"/>
              </w:rPr>
            </w:pPr>
          </w:p>
        </w:tc>
        <w:tc>
          <w:tcPr>
            <w:tcW w:w="992"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 w:type="dxa"/>
          </w:tcPr>
          <w:p>
            <w:pPr>
              <w:rPr>
                <w:sz w:val="24"/>
              </w:rPr>
            </w:pPr>
          </w:p>
        </w:tc>
        <w:tc>
          <w:tcPr>
            <w:tcW w:w="1228" w:type="dxa"/>
          </w:tcPr>
          <w:p>
            <w:pPr>
              <w:rPr>
                <w:sz w:val="24"/>
              </w:rPr>
            </w:pPr>
          </w:p>
        </w:tc>
        <w:tc>
          <w:tcPr>
            <w:tcW w:w="1694" w:type="dxa"/>
          </w:tcPr>
          <w:p>
            <w:pPr>
              <w:rPr>
                <w:sz w:val="24"/>
              </w:rPr>
            </w:pPr>
          </w:p>
        </w:tc>
        <w:tc>
          <w:tcPr>
            <w:tcW w:w="900" w:type="dxa"/>
          </w:tcPr>
          <w:p>
            <w:pPr>
              <w:rPr>
                <w:sz w:val="24"/>
              </w:rPr>
            </w:pPr>
          </w:p>
        </w:tc>
        <w:tc>
          <w:tcPr>
            <w:tcW w:w="1401" w:type="dxa"/>
          </w:tcPr>
          <w:p>
            <w:pPr>
              <w:rPr>
                <w:sz w:val="24"/>
              </w:rPr>
            </w:pPr>
          </w:p>
        </w:tc>
        <w:tc>
          <w:tcPr>
            <w:tcW w:w="709" w:type="dxa"/>
          </w:tcPr>
          <w:p>
            <w:pPr>
              <w:rPr>
                <w:sz w:val="24"/>
              </w:rPr>
            </w:pPr>
          </w:p>
        </w:tc>
        <w:tc>
          <w:tcPr>
            <w:tcW w:w="992" w:type="dxa"/>
          </w:tcPr>
          <w:p>
            <w:pPr>
              <w:rPr>
                <w:sz w:val="24"/>
              </w:rPr>
            </w:pPr>
          </w:p>
        </w:tc>
      </w:tr>
    </w:tbl>
    <w:p>
      <w:pPr>
        <w:ind w:firstLine="482" w:firstLineChars="200"/>
        <w:rPr>
          <w:rFonts w:hAnsi="宋体"/>
          <w:b/>
          <w:bCs/>
          <w:sz w:val="24"/>
        </w:rPr>
      </w:pPr>
    </w:p>
    <w:tbl>
      <w:tblPr>
        <w:tblStyle w:val="43"/>
        <w:tblW w:w="7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2262"/>
        <w:gridCol w:w="2604"/>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jc w:val="center"/>
              <w:rPr>
                <w:szCs w:val="21"/>
              </w:rPr>
            </w:pPr>
            <w:r>
              <w:rPr>
                <w:rFonts w:hint="eastAsia"/>
                <w:szCs w:val="21"/>
              </w:rPr>
              <w:t>序号</w:t>
            </w:r>
          </w:p>
        </w:tc>
        <w:tc>
          <w:tcPr>
            <w:tcW w:w="2262" w:type="dxa"/>
          </w:tcPr>
          <w:p>
            <w:pPr>
              <w:jc w:val="center"/>
              <w:rPr>
                <w:szCs w:val="21"/>
              </w:rPr>
            </w:pPr>
            <w:r>
              <w:rPr>
                <w:rFonts w:hint="eastAsia"/>
                <w:szCs w:val="21"/>
              </w:rPr>
              <w:t>服务名称</w:t>
            </w:r>
          </w:p>
        </w:tc>
        <w:tc>
          <w:tcPr>
            <w:tcW w:w="2604" w:type="dxa"/>
          </w:tcPr>
          <w:p>
            <w:pPr>
              <w:jc w:val="center"/>
              <w:rPr>
                <w:szCs w:val="21"/>
              </w:rPr>
            </w:pPr>
            <w:r>
              <w:rPr>
                <w:rFonts w:hint="eastAsia"/>
                <w:szCs w:val="21"/>
              </w:rPr>
              <w:t>服务内容</w:t>
            </w:r>
          </w:p>
        </w:tc>
        <w:tc>
          <w:tcPr>
            <w:tcW w:w="1705" w:type="dxa"/>
          </w:tcPr>
          <w:p>
            <w:pPr>
              <w:jc w:val="center"/>
              <w:rPr>
                <w:szCs w:val="21"/>
              </w:rPr>
            </w:pPr>
            <w:r>
              <w:rPr>
                <w:rFonts w:hint="eastAsia"/>
                <w:szCs w:val="21"/>
              </w:rPr>
              <w:t>价格（元）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ind w:right="-69" w:rightChars="-33"/>
              <w:jc w:val="center"/>
              <w:rPr>
                <w:szCs w:val="21"/>
              </w:rPr>
            </w:pPr>
            <w:r>
              <w:rPr>
                <w:rFonts w:hint="eastAsia"/>
                <w:szCs w:val="21"/>
              </w:rPr>
              <w:t>1</w:t>
            </w:r>
          </w:p>
        </w:tc>
        <w:tc>
          <w:tcPr>
            <w:tcW w:w="2262" w:type="dxa"/>
          </w:tcPr>
          <w:p>
            <w:pPr>
              <w:jc w:val="center"/>
              <w:rPr>
                <w:szCs w:val="21"/>
              </w:rPr>
            </w:pPr>
            <w:r>
              <w:rPr>
                <w:rFonts w:hint="eastAsia"/>
                <w:szCs w:val="21"/>
              </w:rPr>
              <w:t>延续保修合同</w:t>
            </w:r>
          </w:p>
        </w:tc>
        <w:tc>
          <w:tcPr>
            <w:tcW w:w="2604" w:type="dxa"/>
          </w:tcPr>
          <w:p>
            <w:pPr>
              <w:jc w:val="center"/>
              <w:rPr>
                <w:rFonts w:hAnsi="宋体"/>
                <w:b/>
                <w:bCs/>
                <w:sz w:val="24"/>
              </w:rPr>
            </w:pPr>
          </w:p>
        </w:tc>
        <w:tc>
          <w:tcPr>
            <w:tcW w:w="1705" w:type="dxa"/>
          </w:tcPr>
          <w:p>
            <w:pPr>
              <w:jc w:val="center"/>
              <w:rPr>
                <w:rFonts w:hAnsi="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 w:type="dxa"/>
          </w:tcPr>
          <w:p>
            <w:pPr>
              <w:ind w:right="-69" w:rightChars="-33"/>
              <w:jc w:val="center"/>
              <w:rPr>
                <w:szCs w:val="21"/>
              </w:rPr>
            </w:pPr>
          </w:p>
        </w:tc>
        <w:tc>
          <w:tcPr>
            <w:tcW w:w="2262" w:type="dxa"/>
          </w:tcPr>
          <w:p>
            <w:pPr>
              <w:jc w:val="center"/>
              <w:rPr>
                <w:szCs w:val="21"/>
              </w:rPr>
            </w:pPr>
          </w:p>
        </w:tc>
        <w:tc>
          <w:tcPr>
            <w:tcW w:w="2604" w:type="dxa"/>
          </w:tcPr>
          <w:p>
            <w:pPr>
              <w:jc w:val="center"/>
              <w:rPr>
                <w:rFonts w:hAnsi="宋体"/>
                <w:b/>
                <w:bCs/>
                <w:sz w:val="24"/>
              </w:rPr>
            </w:pPr>
          </w:p>
        </w:tc>
        <w:tc>
          <w:tcPr>
            <w:tcW w:w="1705" w:type="dxa"/>
          </w:tcPr>
          <w:p>
            <w:pPr>
              <w:jc w:val="center"/>
              <w:rPr>
                <w:rFonts w:hAnsi="宋体"/>
                <w:b/>
                <w:bCs/>
                <w:sz w:val="24"/>
              </w:rPr>
            </w:pPr>
          </w:p>
        </w:tc>
      </w:tr>
    </w:tbl>
    <w:p>
      <w:pPr>
        <w:ind w:firstLine="482" w:firstLineChars="200"/>
        <w:rPr>
          <w:rFonts w:hAnsi="宋体"/>
          <w:b/>
          <w:bCs/>
          <w:sz w:val="24"/>
        </w:rPr>
      </w:pPr>
    </w:p>
    <w:p>
      <w:pPr>
        <w:ind w:firstLine="482" w:firstLineChars="200"/>
        <w:rPr>
          <w:rFonts w:hAnsi="宋体"/>
          <w:b/>
          <w:bCs/>
          <w:sz w:val="24"/>
        </w:rPr>
      </w:pPr>
    </w:p>
    <w:p>
      <w:pPr>
        <w:tabs>
          <w:tab w:val="left" w:pos="720"/>
        </w:tabs>
        <w:jc w:val="center"/>
        <w:rPr>
          <w:b/>
          <w:sz w:val="24"/>
        </w:rPr>
      </w:pPr>
      <w:r>
        <w:rPr>
          <w:rFonts w:hint="eastAsia"/>
          <w:b/>
          <w:sz w:val="24"/>
        </w:rPr>
        <w:t>（四）</w:t>
      </w:r>
      <w:bookmarkStart w:id="52" w:name="_Hlk72073235"/>
      <w:r>
        <w:rPr>
          <w:rFonts w:hint="eastAsia"/>
          <w:b/>
          <w:sz w:val="24"/>
        </w:rPr>
        <w:t>投标人认为需要涉及的其他内容报价清单</w:t>
      </w:r>
      <w:bookmarkEnd w:id="52"/>
    </w:p>
    <w:p/>
    <w:p/>
    <w:p/>
    <w:p>
      <w:pPr>
        <w:ind w:firstLine="723" w:firstLineChars="300"/>
        <w:rPr>
          <w:b/>
          <w:color w:val="FF0000"/>
          <w:sz w:val="24"/>
        </w:rPr>
      </w:pPr>
      <w:r>
        <w:rPr>
          <w:rFonts w:hint="eastAsia"/>
          <w:b/>
          <w:color w:val="FF0000"/>
          <w:sz w:val="24"/>
        </w:rPr>
        <w:t>（信息公开部分的内容到此为止！以下为信息不公开部分。）</w:t>
      </w:r>
    </w:p>
    <w:bookmarkEnd w:id="49"/>
    <w:p>
      <w:r>
        <w:br w:type="page"/>
      </w:r>
    </w:p>
    <w:p>
      <w:pPr>
        <w:outlineLvl w:val="1"/>
        <w:rPr>
          <w:rFonts w:ascii="宋体" w:hAnsi="宋体"/>
          <w:b/>
          <w:color w:val="FF0000"/>
          <w:sz w:val="28"/>
          <w:szCs w:val="28"/>
        </w:rPr>
      </w:pPr>
      <w:bookmarkStart w:id="53" w:name="_Hlk72260530"/>
      <w:r>
        <w:rPr>
          <w:rFonts w:hint="eastAsia" w:ascii="宋体" w:hAnsi="宋体"/>
          <w:b/>
          <w:color w:val="FF0000"/>
          <w:sz w:val="28"/>
          <w:szCs w:val="28"/>
        </w:rPr>
        <w:t>投标文件附件（信息不公开部分）</w:t>
      </w:r>
    </w:p>
    <w:p>
      <w:pPr>
        <w:keepNext/>
        <w:keepLines/>
        <w:spacing w:before="260" w:after="260"/>
        <w:jc w:val="center"/>
        <w:outlineLvl w:val="2"/>
        <w:rPr>
          <w:rFonts w:ascii="黑体" w:hAnsi="宋体" w:eastAsia="黑体"/>
          <w:bCs/>
          <w:sz w:val="24"/>
          <w:szCs w:val="32"/>
        </w:rPr>
      </w:pPr>
      <w:r>
        <w:rPr>
          <w:rFonts w:hint="eastAsia" w:ascii="黑体" w:hAnsi="宋体" w:eastAsia="黑体"/>
          <w:bCs/>
          <w:sz w:val="24"/>
          <w:szCs w:val="32"/>
        </w:rPr>
        <w:t>一、</w:t>
      </w:r>
      <w:bookmarkStart w:id="54" w:name="_Hlk72092499"/>
      <w:r>
        <w:rPr>
          <w:rFonts w:hint="eastAsia" w:ascii="黑体" w:hAnsi="宋体" w:eastAsia="黑体"/>
          <w:bCs/>
          <w:sz w:val="24"/>
          <w:szCs w:val="32"/>
        </w:rPr>
        <w:t>法定代表人（负责人）证明书</w:t>
      </w:r>
      <w:bookmarkEnd w:id="54"/>
    </w:p>
    <w:p>
      <w:pPr>
        <w:rPr>
          <w:sz w:val="24"/>
        </w:rPr>
      </w:pPr>
    </w:p>
    <w:p>
      <w:pPr>
        <w:spacing w:line="360" w:lineRule="auto"/>
        <w:ind w:firstLine="420" w:firstLineChars="200"/>
        <w:rPr>
          <w:szCs w:val="21"/>
        </w:rPr>
      </w:pPr>
      <w:r>
        <w:rPr>
          <w:rFonts w:hint="eastAsia"/>
          <w:szCs w:val="21"/>
          <w:u w:val="single"/>
        </w:rPr>
        <w:t xml:space="preserve">       </w:t>
      </w:r>
      <w:r>
        <w:rPr>
          <w:rFonts w:hint="eastAsia"/>
          <w:szCs w:val="21"/>
        </w:rPr>
        <w:t xml:space="preserve"> 同志，现任我单位</w:t>
      </w:r>
      <w:r>
        <w:rPr>
          <w:rFonts w:hint="eastAsia"/>
          <w:szCs w:val="21"/>
          <w:u w:val="single"/>
        </w:rPr>
        <w:t xml:space="preserve">              </w:t>
      </w:r>
      <w:r>
        <w:rPr>
          <w:rFonts w:hint="eastAsia"/>
          <w:szCs w:val="21"/>
        </w:rPr>
        <w:t>职务，为法定代表人（负责人），特此证明。</w:t>
      </w:r>
    </w:p>
    <w:p>
      <w:pPr>
        <w:spacing w:line="360" w:lineRule="auto"/>
        <w:rPr>
          <w:szCs w:val="21"/>
        </w:rPr>
      </w:pPr>
    </w:p>
    <w:p>
      <w:pPr>
        <w:spacing w:line="360" w:lineRule="auto"/>
        <w:rPr>
          <w:szCs w:val="21"/>
        </w:rPr>
      </w:pPr>
      <w:r>
        <w:rPr>
          <w:rFonts w:hint="eastAsia"/>
          <w:szCs w:val="21"/>
        </w:rPr>
        <w:t>说明：1、法定代表人为投标人（企业事业单位、国家机关、社会团体）的主要行政负责人。</w:t>
      </w:r>
    </w:p>
    <w:p>
      <w:pPr>
        <w:rPr>
          <w:szCs w:val="21"/>
        </w:rPr>
      </w:pPr>
      <w:r>
        <w:rPr>
          <w:rFonts w:hint="eastAsia"/>
          <w:szCs w:val="21"/>
        </w:rPr>
        <w:t xml:space="preserve">      2、内容必须填写真实、清楚，涂改无效，不得转让、买卖。</w:t>
      </w:r>
    </w:p>
    <w:p>
      <w:pPr>
        <w:rPr>
          <w:sz w:val="24"/>
        </w:rPr>
      </w:pPr>
    </w:p>
    <w:p>
      <w:pPr>
        <w:spacing w:line="360" w:lineRule="auto"/>
        <w:ind w:firstLine="422" w:firstLineChars="200"/>
        <w:rPr>
          <w:b/>
          <w:color w:val="FF0000"/>
          <w:szCs w:val="21"/>
        </w:rPr>
      </w:pPr>
      <w:r>
        <w:rPr>
          <w:rFonts w:hint="eastAsia"/>
          <w:b/>
          <w:color w:val="FF0000"/>
          <w:szCs w:val="21"/>
        </w:rPr>
        <w:t>附： 请提供法定代表人（负责人）身份证扫描件（正反两面）；港澳台居民可提供来往通行证扫描件；非中国国籍管辖范围人员，可提供公安部门认可的身份证明材料扫描件。</w:t>
      </w:r>
    </w:p>
    <w:p>
      <w:pPr>
        <w:rPr>
          <w:b/>
          <w:bCs/>
          <w:sz w:val="24"/>
        </w:rPr>
      </w:pPr>
    </w:p>
    <w:p>
      <w:pPr>
        <w:keepNext/>
        <w:keepLines/>
        <w:spacing w:before="120" w:after="120"/>
        <w:jc w:val="center"/>
        <w:outlineLvl w:val="2"/>
        <w:rPr>
          <w:rFonts w:ascii="黑体" w:hAnsi="宋体" w:eastAsia="黑体"/>
          <w:bCs/>
          <w:sz w:val="24"/>
          <w:szCs w:val="32"/>
        </w:rPr>
      </w:pPr>
      <w:r>
        <w:rPr>
          <w:rFonts w:hint="eastAsia" w:ascii="黑体" w:hAnsi="宋体" w:eastAsia="黑体"/>
          <w:bCs/>
          <w:sz w:val="24"/>
          <w:szCs w:val="32"/>
        </w:rPr>
        <w:t>二、投标文件签署授权委托书</w:t>
      </w:r>
    </w:p>
    <w:p>
      <w:pPr>
        <w:spacing w:line="360" w:lineRule="auto"/>
        <w:ind w:firstLine="420" w:firstLineChars="200"/>
        <w:rPr>
          <w:szCs w:val="21"/>
        </w:rPr>
      </w:pPr>
      <w:r>
        <w:rPr>
          <w:rFonts w:hint="eastAsia"/>
          <w:szCs w:val="21"/>
        </w:rPr>
        <w:t>本授权委托书声明：我（姓名）             系（投标人名称）                的法定代表人（负责人），现授权委托（姓名）              为我单位签署本项目已递交的投标文件的法定代表人（负责人）的授权委托代理人，代理人全权代表我所签署的本项目已递交的投标文件内容我均承认。</w:t>
      </w:r>
    </w:p>
    <w:p>
      <w:pPr>
        <w:spacing w:line="360" w:lineRule="auto"/>
        <w:ind w:firstLine="420"/>
        <w:rPr>
          <w:szCs w:val="21"/>
        </w:rPr>
      </w:pPr>
      <w:r>
        <w:rPr>
          <w:rFonts w:hint="eastAsia"/>
          <w:szCs w:val="21"/>
        </w:rPr>
        <w:t>代理人无转委托权，特此委托。</w:t>
      </w:r>
    </w:p>
    <w:p>
      <w:pPr>
        <w:spacing w:line="360" w:lineRule="auto"/>
        <w:ind w:firstLine="420"/>
        <w:rPr>
          <w:szCs w:val="21"/>
        </w:rPr>
      </w:pPr>
    </w:p>
    <w:p>
      <w:pPr>
        <w:spacing w:line="360" w:lineRule="auto"/>
        <w:ind w:left="540" w:leftChars="257"/>
        <w:rPr>
          <w:szCs w:val="21"/>
          <w:u w:val="single"/>
        </w:rPr>
      </w:pPr>
      <w:r>
        <w:rPr>
          <w:rFonts w:hint="eastAsia"/>
          <w:szCs w:val="21"/>
        </w:rPr>
        <w:t>代理人：</w:t>
      </w:r>
    </w:p>
    <w:p>
      <w:pPr>
        <w:spacing w:line="360" w:lineRule="auto"/>
        <w:ind w:left="540" w:leftChars="257"/>
        <w:rPr>
          <w:szCs w:val="21"/>
        </w:rPr>
      </w:pPr>
      <w:r>
        <w:rPr>
          <w:rFonts w:hint="eastAsia"/>
          <w:szCs w:val="21"/>
        </w:rPr>
        <w:t>联系电话：                  手机：</w:t>
      </w:r>
    </w:p>
    <w:p>
      <w:pPr>
        <w:spacing w:line="360" w:lineRule="auto"/>
        <w:ind w:left="540" w:leftChars="257"/>
        <w:rPr>
          <w:szCs w:val="21"/>
          <w:u w:val="single"/>
        </w:rPr>
      </w:pPr>
      <w:r>
        <w:rPr>
          <w:rFonts w:hint="eastAsia"/>
          <w:szCs w:val="21"/>
        </w:rPr>
        <w:t>身份证号码：               职务：</w:t>
      </w:r>
    </w:p>
    <w:p>
      <w:pPr>
        <w:spacing w:line="360" w:lineRule="auto"/>
        <w:ind w:left="540" w:leftChars="257"/>
        <w:rPr>
          <w:szCs w:val="21"/>
        </w:rPr>
      </w:pPr>
      <w:r>
        <w:rPr>
          <w:rFonts w:hint="eastAsia"/>
          <w:szCs w:val="21"/>
        </w:rPr>
        <w:t>授权委托日期：    年    月     日</w:t>
      </w:r>
    </w:p>
    <w:p/>
    <w:p>
      <w:pPr>
        <w:spacing w:line="360" w:lineRule="auto"/>
        <w:ind w:firstLine="422" w:firstLineChars="200"/>
        <w:rPr>
          <w:b/>
          <w:color w:val="FF0000"/>
          <w:szCs w:val="21"/>
        </w:rPr>
      </w:pPr>
      <w:r>
        <w:rPr>
          <w:rFonts w:hint="eastAsia"/>
          <w:b/>
          <w:color w:val="FF0000"/>
          <w:szCs w:val="21"/>
        </w:rPr>
        <w:t>附： 请提供代理人身份证扫描件（正反两面）；港澳台居民可提供来往通行证扫描件；非中国国籍管辖范围人员，可提供公安部门认可的身份证明材料扫描件。</w:t>
      </w:r>
    </w:p>
    <w:p>
      <w:pPr>
        <w:spacing w:line="360" w:lineRule="auto"/>
        <w:rPr>
          <w:b/>
          <w:szCs w:val="21"/>
        </w:rPr>
      </w:pPr>
    </w:p>
    <w:p>
      <w:pPr>
        <w:keepNext/>
        <w:keepLines/>
        <w:spacing w:before="260" w:after="260"/>
        <w:jc w:val="center"/>
        <w:outlineLvl w:val="2"/>
        <w:rPr>
          <w:rFonts w:ascii="黑体" w:hAnsi="宋体" w:eastAsia="黑体"/>
          <w:bCs/>
          <w:kern w:val="0"/>
          <w:sz w:val="24"/>
        </w:rPr>
      </w:pPr>
      <w:r>
        <w:rPr>
          <w:rFonts w:hint="eastAsia" w:ascii="黑体" w:hAnsi="宋体" w:eastAsia="黑体"/>
          <w:bCs/>
          <w:kern w:val="0"/>
          <w:sz w:val="24"/>
        </w:rPr>
        <w:t>三、</w:t>
      </w:r>
      <w:bookmarkStart w:id="55" w:name="_Hlk72092634"/>
      <w:r>
        <w:rPr>
          <w:rFonts w:hint="eastAsia" w:ascii="黑体" w:hAnsi="宋体" w:eastAsia="黑体"/>
          <w:bCs/>
          <w:kern w:val="0"/>
          <w:sz w:val="24"/>
        </w:rPr>
        <w:t>实质性条款响应情况表</w:t>
      </w:r>
      <w:bookmarkEnd w:id="55"/>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
        <w:gridCol w:w="5280"/>
        <w:gridCol w:w="1338"/>
        <w:gridCol w:w="819"/>
        <w:gridCol w:w="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22" w:type="dxa"/>
            <w:vAlign w:val="center"/>
          </w:tcPr>
          <w:p>
            <w:pPr>
              <w:adjustRightInd w:val="0"/>
              <w:snapToGrid w:val="0"/>
              <w:spacing w:line="360" w:lineRule="auto"/>
              <w:jc w:val="center"/>
              <w:rPr>
                <w:rFonts w:ascii="宋体" w:hAnsi="宋体"/>
                <w:kern w:val="0"/>
                <w:szCs w:val="21"/>
              </w:rPr>
            </w:pPr>
            <w:bookmarkStart w:id="56" w:name="_Hlk72092651"/>
            <w:r>
              <w:rPr>
                <w:rFonts w:hint="eastAsia" w:ascii="宋体" w:hAnsi="宋体"/>
                <w:kern w:val="0"/>
                <w:szCs w:val="21"/>
              </w:rPr>
              <w:t>序号</w:t>
            </w:r>
          </w:p>
        </w:tc>
        <w:tc>
          <w:tcPr>
            <w:tcW w:w="5280" w:type="dxa"/>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实质性条款具体内容</w:t>
            </w:r>
          </w:p>
        </w:tc>
        <w:tc>
          <w:tcPr>
            <w:tcW w:w="1338" w:type="dxa"/>
            <w:vAlign w:val="center"/>
          </w:tcPr>
          <w:p>
            <w:pPr>
              <w:adjustRightInd w:val="0"/>
              <w:snapToGrid w:val="0"/>
              <w:spacing w:line="360" w:lineRule="auto"/>
              <w:jc w:val="center"/>
              <w:rPr>
                <w:rFonts w:ascii="宋体" w:hAnsi="宋体"/>
                <w:kern w:val="0"/>
                <w:szCs w:val="21"/>
              </w:rPr>
            </w:pPr>
            <w:r>
              <w:rPr>
                <w:rFonts w:hint="eastAsia"/>
              </w:rPr>
              <w:t>投标响应</w:t>
            </w:r>
          </w:p>
        </w:tc>
        <w:tc>
          <w:tcPr>
            <w:tcW w:w="819" w:type="dxa"/>
            <w:vAlign w:val="center"/>
          </w:tcPr>
          <w:p>
            <w:pPr>
              <w:adjustRightInd w:val="0"/>
              <w:snapToGrid w:val="0"/>
              <w:spacing w:line="360" w:lineRule="auto"/>
              <w:jc w:val="center"/>
              <w:rPr>
                <w:rFonts w:ascii="宋体" w:hAnsi="宋体"/>
                <w:kern w:val="0"/>
                <w:szCs w:val="21"/>
              </w:rPr>
            </w:pPr>
            <w:r>
              <w:rPr>
                <w:rFonts w:hint="eastAsia"/>
              </w:rPr>
              <w:t>偏离情况</w:t>
            </w:r>
          </w:p>
        </w:tc>
        <w:tc>
          <w:tcPr>
            <w:tcW w:w="460" w:type="dxa"/>
            <w:vAlign w:val="center"/>
          </w:tcPr>
          <w:p>
            <w:pPr>
              <w:adjustRightInd w:val="0"/>
              <w:snapToGrid w:val="0"/>
              <w:spacing w:line="360" w:lineRule="auto"/>
              <w:jc w:val="center"/>
              <w:rPr>
                <w:rFonts w:ascii="宋体" w:hAnsi="宋体"/>
                <w:kern w:val="0"/>
                <w:szCs w:val="21"/>
              </w:rPr>
            </w:pPr>
            <w:r>
              <w:rPr>
                <w:rFonts w:hint="eastAsia"/>
              </w:rPr>
              <w:t>说明</w:t>
            </w:r>
          </w:p>
        </w:tc>
      </w:tr>
      <w:bookmarkEnd w:id="5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1</w:t>
            </w:r>
          </w:p>
        </w:tc>
        <w:tc>
          <w:tcPr>
            <w:tcW w:w="5280" w:type="dxa"/>
            <w:vAlign w:val="center"/>
          </w:tcPr>
          <w:p>
            <w:pPr>
              <w:adjustRightInd w:val="0"/>
              <w:snapToGrid w:val="0"/>
              <w:spacing w:line="360" w:lineRule="auto"/>
              <w:jc w:val="left"/>
              <w:rPr>
                <w:rFonts w:hAnsi="宋体"/>
                <w:kern w:val="0"/>
                <w:szCs w:val="21"/>
              </w:rPr>
            </w:pPr>
            <w:r>
              <w:rPr>
                <w:rFonts w:hint="eastAsia" w:hAnsi="宋体"/>
                <w:kern w:val="0"/>
                <w:szCs w:val="21"/>
              </w:rPr>
              <w:t>投标文件载明的交货期不超过招标文件规定的期限</w:t>
            </w:r>
          </w:p>
        </w:tc>
        <w:tc>
          <w:tcPr>
            <w:tcW w:w="1338" w:type="dxa"/>
            <w:vAlign w:val="center"/>
          </w:tcPr>
          <w:p>
            <w:pPr>
              <w:adjustRightInd w:val="0"/>
              <w:snapToGrid w:val="0"/>
              <w:spacing w:line="360" w:lineRule="auto"/>
              <w:jc w:val="center"/>
              <w:rPr>
                <w:rFonts w:ascii="宋体" w:hAnsi="宋体"/>
                <w:kern w:val="0"/>
                <w:szCs w:val="21"/>
              </w:rPr>
            </w:pPr>
          </w:p>
        </w:tc>
        <w:tc>
          <w:tcPr>
            <w:tcW w:w="819" w:type="dxa"/>
            <w:vAlign w:val="center"/>
          </w:tcPr>
          <w:p>
            <w:pPr>
              <w:adjustRightInd w:val="0"/>
              <w:snapToGrid w:val="0"/>
              <w:spacing w:line="360" w:lineRule="auto"/>
              <w:jc w:val="center"/>
              <w:rPr>
                <w:rFonts w:ascii="宋体" w:hAnsi="宋体"/>
                <w:kern w:val="0"/>
                <w:szCs w:val="21"/>
              </w:rPr>
            </w:pPr>
          </w:p>
        </w:tc>
        <w:tc>
          <w:tcPr>
            <w:tcW w:w="460" w:type="dxa"/>
            <w:vAlign w:val="center"/>
          </w:tcPr>
          <w:p>
            <w:pPr>
              <w:adjustRightInd w:val="0"/>
              <w:snapToGrid w:val="0"/>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2</w:t>
            </w:r>
          </w:p>
        </w:tc>
        <w:tc>
          <w:tcPr>
            <w:tcW w:w="5280" w:type="dxa"/>
            <w:vAlign w:val="center"/>
          </w:tcPr>
          <w:p>
            <w:pPr>
              <w:adjustRightInd w:val="0"/>
              <w:snapToGrid w:val="0"/>
              <w:spacing w:line="360" w:lineRule="auto"/>
              <w:jc w:val="left"/>
              <w:rPr>
                <w:rFonts w:hAnsi="宋体"/>
                <w:kern w:val="0"/>
                <w:szCs w:val="21"/>
              </w:rPr>
            </w:pPr>
            <w:r>
              <w:rPr>
                <w:rFonts w:hint="eastAsia" w:hAnsi="宋体"/>
                <w:kern w:val="0"/>
                <w:szCs w:val="21"/>
              </w:rPr>
              <w:t>投标文件载明的免费保修期不低于招标文件规定的期限</w:t>
            </w:r>
          </w:p>
        </w:tc>
        <w:tc>
          <w:tcPr>
            <w:tcW w:w="1338" w:type="dxa"/>
            <w:vAlign w:val="center"/>
          </w:tcPr>
          <w:p>
            <w:pPr>
              <w:adjustRightInd w:val="0"/>
              <w:snapToGrid w:val="0"/>
              <w:spacing w:line="360" w:lineRule="auto"/>
              <w:jc w:val="center"/>
              <w:rPr>
                <w:rFonts w:ascii="宋体" w:hAnsi="宋体"/>
                <w:kern w:val="0"/>
                <w:szCs w:val="21"/>
              </w:rPr>
            </w:pPr>
          </w:p>
        </w:tc>
        <w:tc>
          <w:tcPr>
            <w:tcW w:w="819" w:type="dxa"/>
            <w:vAlign w:val="center"/>
          </w:tcPr>
          <w:p>
            <w:pPr>
              <w:adjustRightInd w:val="0"/>
              <w:snapToGrid w:val="0"/>
              <w:spacing w:line="360" w:lineRule="auto"/>
              <w:jc w:val="center"/>
              <w:rPr>
                <w:rFonts w:ascii="宋体" w:hAnsi="宋体"/>
                <w:kern w:val="0"/>
                <w:szCs w:val="21"/>
              </w:rPr>
            </w:pPr>
          </w:p>
        </w:tc>
        <w:tc>
          <w:tcPr>
            <w:tcW w:w="460" w:type="dxa"/>
            <w:vAlign w:val="center"/>
          </w:tcPr>
          <w:p>
            <w:pPr>
              <w:adjustRightInd w:val="0"/>
              <w:snapToGrid w:val="0"/>
              <w:spacing w:line="360" w:lineRule="auto"/>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2" w:type="dxa"/>
            <w:vAlign w:val="center"/>
          </w:tcPr>
          <w:p>
            <w:pPr>
              <w:adjustRightInd w:val="0"/>
              <w:snapToGrid w:val="0"/>
              <w:spacing w:line="360" w:lineRule="auto"/>
              <w:jc w:val="center"/>
              <w:rPr>
                <w:rFonts w:ascii="宋体" w:hAnsi="宋体"/>
                <w:kern w:val="0"/>
                <w:szCs w:val="21"/>
              </w:rPr>
            </w:pPr>
            <w:r>
              <w:rPr>
                <w:rFonts w:hint="eastAsia" w:ascii="宋体" w:hAnsi="宋体"/>
                <w:kern w:val="0"/>
                <w:szCs w:val="21"/>
              </w:rPr>
              <w:t>3</w:t>
            </w:r>
          </w:p>
        </w:tc>
        <w:tc>
          <w:tcPr>
            <w:tcW w:w="5280" w:type="dxa"/>
            <w:vAlign w:val="center"/>
          </w:tcPr>
          <w:p>
            <w:pPr>
              <w:adjustRightInd w:val="0"/>
              <w:snapToGrid w:val="0"/>
              <w:spacing w:line="360" w:lineRule="auto"/>
              <w:jc w:val="left"/>
              <w:rPr>
                <w:rFonts w:hAnsi="宋体"/>
                <w:kern w:val="0"/>
                <w:szCs w:val="21"/>
              </w:rPr>
            </w:pPr>
            <w:r>
              <w:rPr>
                <w:rFonts w:hint="eastAsia" w:hAnsi="宋体"/>
                <w:kern w:val="0"/>
                <w:szCs w:val="21"/>
              </w:rPr>
              <w:t>具体技术要求、商务需求中带“★”要求</w:t>
            </w:r>
          </w:p>
        </w:tc>
        <w:tc>
          <w:tcPr>
            <w:tcW w:w="1338" w:type="dxa"/>
            <w:vAlign w:val="center"/>
          </w:tcPr>
          <w:p>
            <w:pPr>
              <w:adjustRightInd w:val="0"/>
              <w:snapToGrid w:val="0"/>
              <w:spacing w:line="360" w:lineRule="auto"/>
              <w:jc w:val="center"/>
              <w:rPr>
                <w:rFonts w:ascii="宋体" w:hAnsi="宋体"/>
                <w:kern w:val="0"/>
                <w:szCs w:val="21"/>
              </w:rPr>
            </w:pPr>
          </w:p>
        </w:tc>
        <w:tc>
          <w:tcPr>
            <w:tcW w:w="819" w:type="dxa"/>
            <w:vAlign w:val="center"/>
          </w:tcPr>
          <w:p>
            <w:pPr>
              <w:adjustRightInd w:val="0"/>
              <w:snapToGrid w:val="0"/>
              <w:spacing w:line="360" w:lineRule="auto"/>
              <w:jc w:val="center"/>
              <w:rPr>
                <w:rFonts w:ascii="宋体" w:hAnsi="宋体"/>
                <w:kern w:val="0"/>
                <w:szCs w:val="21"/>
              </w:rPr>
            </w:pPr>
          </w:p>
        </w:tc>
        <w:tc>
          <w:tcPr>
            <w:tcW w:w="460" w:type="dxa"/>
            <w:vAlign w:val="center"/>
          </w:tcPr>
          <w:p>
            <w:pPr>
              <w:adjustRightInd w:val="0"/>
              <w:snapToGrid w:val="0"/>
              <w:spacing w:line="360" w:lineRule="auto"/>
              <w:jc w:val="center"/>
              <w:rPr>
                <w:rFonts w:ascii="宋体" w:hAnsi="宋体"/>
                <w:kern w:val="0"/>
                <w:szCs w:val="21"/>
              </w:rPr>
            </w:pPr>
          </w:p>
        </w:tc>
      </w:tr>
    </w:tbl>
    <w:p>
      <w:pPr>
        <w:ind w:firstLine="482" w:firstLineChars="200"/>
        <w:rPr>
          <w:b/>
          <w:sz w:val="24"/>
          <w:szCs w:val="22"/>
        </w:rPr>
      </w:pPr>
    </w:p>
    <w:p>
      <w:pPr>
        <w:ind w:firstLine="482" w:firstLineChars="200"/>
        <w:rPr>
          <w:b/>
          <w:sz w:val="24"/>
          <w:szCs w:val="22"/>
        </w:rPr>
      </w:pPr>
      <w:r>
        <w:rPr>
          <w:rFonts w:hint="eastAsia"/>
          <w:b/>
          <w:sz w:val="24"/>
          <w:szCs w:val="22"/>
        </w:rPr>
        <w:t>注：1. 上表所列各项均为不可负偏离条款。</w:t>
      </w:r>
    </w:p>
    <w:p>
      <w:pPr>
        <w:ind w:firstLine="482" w:firstLineChars="200"/>
        <w:rPr>
          <w:b/>
          <w:sz w:val="24"/>
          <w:szCs w:val="22"/>
        </w:rPr>
      </w:pPr>
      <w:r>
        <w:rPr>
          <w:rFonts w:hint="eastAsia"/>
          <w:b/>
          <w:sz w:val="24"/>
          <w:szCs w:val="22"/>
        </w:rPr>
        <w:t>2.“投标响应”一栏应当详细填写投标人自身响应情况，而不能不合理照搬照抄招实质性条款具体内容。</w:t>
      </w:r>
    </w:p>
    <w:p>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pPr>
        <w:ind w:firstLine="482" w:firstLineChars="200"/>
        <w:rPr>
          <w:b/>
          <w:sz w:val="24"/>
        </w:rPr>
      </w:pPr>
      <w:r>
        <w:rPr>
          <w:b/>
          <w:sz w:val="24"/>
        </w:rPr>
        <w:t>4.</w:t>
      </w:r>
      <w:r>
        <w:rPr>
          <w:rFonts w:hint="eastAsia"/>
          <w:b/>
          <w:sz w:val="24"/>
        </w:rPr>
        <w:t>评审委员会有权对投标响应情况作出判断（作出评审结论）。</w:t>
      </w:r>
    </w:p>
    <w:p>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bookmarkEnd w:id="53"/>
    </w:p>
    <w:p>
      <w:pPr>
        <w:rPr>
          <w:sz w:val="24"/>
        </w:rPr>
      </w:pPr>
    </w:p>
    <w:p>
      <w:pPr>
        <w:keepNext/>
        <w:keepLines/>
        <w:spacing w:before="260" w:after="260"/>
        <w:jc w:val="center"/>
        <w:outlineLvl w:val="2"/>
        <w:rPr>
          <w:sz w:val="24"/>
        </w:rPr>
      </w:pPr>
      <w:r>
        <w:rPr>
          <w:rFonts w:hint="eastAsia" w:ascii="黑体" w:hAnsi="宋体" w:eastAsia="黑体"/>
          <w:bCs/>
          <w:sz w:val="24"/>
        </w:rPr>
        <w:t>四、技术要求偏离表</w:t>
      </w:r>
    </w:p>
    <w:tbl>
      <w:tblPr>
        <w:tblStyle w:val="43"/>
        <w:tblW w:w="846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825"/>
        <w:gridCol w:w="5179"/>
        <w:gridCol w:w="728"/>
        <w:gridCol w:w="806"/>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466" w:type="dxa"/>
            <w:vAlign w:val="center"/>
          </w:tcPr>
          <w:p>
            <w:pPr>
              <w:jc w:val="center"/>
              <w:rPr>
                <w:rFonts w:asciiTheme="minorEastAsia" w:hAnsiTheme="minorEastAsia" w:eastAsiaTheme="minorEastAsia" w:cstheme="minorEastAsia"/>
                <w:szCs w:val="21"/>
              </w:rPr>
            </w:pPr>
            <w:bookmarkStart w:id="57" w:name="_Hlk72095977"/>
            <w:r>
              <w:rPr>
                <w:rFonts w:hint="eastAsia"/>
                <w:sz w:val="24"/>
              </w:rPr>
              <w:t>序号</w:t>
            </w:r>
          </w:p>
        </w:tc>
        <w:tc>
          <w:tcPr>
            <w:tcW w:w="825" w:type="dxa"/>
            <w:vAlign w:val="center"/>
          </w:tcPr>
          <w:p>
            <w:pPr>
              <w:jc w:val="center"/>
              <w:rPr>
                <w:rFonts w:asciiTheme="minorEastAsia" w:hAnsiTheme="minorEastAsia" w:eastAsiaTheme="minorEastAsia" w:cstheme="minorEastAsia"/>
                <w:szCs w:val="21"/>
              </w:rPr>
            </w:pPr>
            <w:r>
              <w:rPr>
                <w:rFonts w:hint="eastAsia"/>
                <w:sz w:val="24"/>
              </w:rPr>
              <w:t>货物名称</w:t>
            </w:r>
          </w:p>
        </w:tc>
        <w:tc>
          <w:tcPr>
            <w:tcW w:w="5179" w:type="dxa"/>
            <w:vAlign w:val="center"/>
          </w:tcPr>
          <w:p>
            <w:pPr>
              <w:jc w:val="center"/>
              <w:rPr>
                <w:rFonts w:asciiTheme="minorEastAsia" w:hAnsiTheme="minorEastAsia" w:eastAsiaTheme="minorEastAsia" w:cstheme="minorEastAsia"/>
                <w:szCs w:val="21"/>
              </w:rPr>
            </w:pPr>
            <w:r>
              <w:rPr>
                <w:rFonts w:hint="eastAsia"/>
                <w:sz w:val="24"/>
              </w:rPr>
              <w:t>招标技术要求</w:t>
            </w:r>
          </w:p>
        </w:tc>
        <w:tc>
          <w:tcPr>
            <w:tcW w:w="728" w:type="dxa"/>
            <w:vAlign w:val="center"/>
          </w:tcPr>
          <w:p>
            <w:pPr>
              <w:jc w:val="center"/>
              <w:rPr>
                <w:rFonts w:hint="eastAsia" w:asciiTheme="minorEastAsia" w:hAnsiTheme="minorEastAsia" w:eastAsiaTheme="minorEastAsia" w:cstheme="minorEastAsia"/>
                <w:szCs w:val="21"/>
              </w:rPr>
            </w:pPr>
            <w:r>
              <w:rPr>
                <w:rFonts w:hint="eastAsia"/>
                <w:sz w:val="24"/>
              </w:rPr>
              <w:t>投标技术响应</w:t>
            </w:r>
          </w:p>
        </w:tc>
        <w:tc>
          <w:tcPr>
            <w:tcW w:w="806" w:type="dxa"/>
            <w:vAlign w:val="center"/>
          </w:tcPr>
          <w:p>
            <w:pPr>
              <w:jc w:val="center"/>
              <w:rPr>
                <w:rFonts w:hint="eastAsia" w:asciiTheme="minorEastAsia" w:hAnsiTheme="minorEastAsia" w:eastAsiaTheme="minorEastAsia" w:cstheme="minorEastAsia"/>
                <w:szCs w:val="21"/>
              </w:rPr>
            </w:pPr>
            <w:r>
              <w:rPr>
                <w:rFonts w:hint="eastAsia"/>
                <w:sz w:val="24"/>
              </w:rPr>
              <w:t>偏离情况</w:t>
            </w:r>
          </w:p>
        </w:tc>
        <w:tc>
          <w:tcPr>
            <w:tcW w:w="458" w:type="dxa"/>
            <w:vAlign w:val="center"/>
          </w:tcPr>
          <w:p>
            <w:pPr>
              <w:jc w:val="center"/>
              <w:rPr>
                <w:rFonts w:hint="eastAsia" w:asciiTheme="minorEastAsia" w:hAnsiTheme="minorEastAsia" w:eastAsiaTheme="minorEastAsia" w:cstheme="minorEastAsia"/>
                <w:szCs w:val="21"/>
              </w:rPr>
            </w:pPr>
            <w:r>
              <w:rPr>
                <w:rFonts w:hint="eastAsia"/>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restart"/>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w:t>
            </w:r>
          </w:p>
        </w:tc>
        <w:tc>
          <w:tcPr>
            <w:tcW w:w="825" w:type="dxa"/>
            <w:vMerge w:val="restart"/>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裂隙灯显微镜及配套诊疗台</w:t>
            </w: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1.显微镜</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▲1.1类型：伽利略式会聚型双目镜（要求提供产品彩页关键信息或产品制造商官网关键信息截图）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▲1.2放大倍数选择系统：5档旋转卷筒（要求提供产品彩页关键信息或产品制造商官网关键信息截图）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1.3接物镜：f=125mm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1.4目镜：12.5x</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▲1.5屈光度调节：±8 D</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▲1.6放大倍数：5x，8x，12.5x，20x，32x（要求提供产品彩页关键信息或产品制造商官网关键信息截图）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1.7真实视野：46mm，29.5mm，18.4mm，11.5mm，7.5mm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1.8瞳孔间调节：50至75mm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1.9立体角度：6°</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1.10是否包括黄色滤光片：是</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2.裂隙灯</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2.1光源：6v20w卤素灯泡</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2.1裂隙投射比例：1.16X</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▲2.2裂隙宽度：0至14mm连续可变（要求提供产品彩页关键信息或产品制造商官网关键信息截图）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 xml:space="preserve">2.3裂隙长度：1.8至13mm连续可变 </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2.4最大裂隙长度：14mm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2.5光圈直径：14mm，9mm，5.5mm，0.2mm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2.6滤光片：蓝光，无赤光，热吸收</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2.7裂隙旋转角度：±</w:t>
            </w:r>
            <w:r>
              <w:rPr>
                <w:rFonts w:hint="eastAsia" w:asciiTheme="minorEastAsia" w:hAnsiTheme="minorEastAsia" w:eastAsiaTheme="minorEastAsia" w:cstheme="minorEastAsia"/>
                <w:color w:val="000000" w:themeColor="text1"/>
                <w:szCs w:val="21"/>
                <w:highlight w:val="none"/>
                <w14:textFill>
                  <w14:solidFill>
                    <w14:schemeClr w14:val="tx1"/>
                  </w14:solidFill>
                </w14:textFill>
              </w:rPr>
              <w:t>90°按照比例连续</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2.8入射角度：0°水平</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2.9无障碍工作距离（退出棱镜/患者眼睛距离）：68mm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3.下颚支架</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3.1固视点：白色，发光，带接缝</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3.2固视点指示灯：LED 12V 60mA</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3.3下颚托高度调节：76mm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3.4直角运动底座：侧向或横向运动（x）107mm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前后或深度运动（y）113mm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上下或垂直运动（z）36mm</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水平细致运动（x，y）14mm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5"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w:t>
            </w:r>
            <w:r>
              <w:rPr>
                <w:rFonts w:hint="eastAsia" w:asciiTheme="minorEastAsia" w:hAnsiTheme="minorEastAsia" w:eastAsiaTheme="minorEastAsia" w:cstheme="minorEastAsia"/>
                <w:color w:val="000000" w:themeColor="text1"/>
                <w:szCs w:val="21"/>
                <w14:textFill>
                  <w14:solidFill>
                    <w14:schemeClr w14:val="tx1"/>
                  </w14:solidFill>
                </w14:textFill>
              </w:rPr>
              <w:t>4、配置清单：</w:t>
            </w:r>
          </w:p>
          <w:p>
            <w:pP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4.1裂隙灯显微镜1台</w:t>
            </w:r>
          </w:p>
          <w:p>
            <w:pP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4.2电动诊疗台1套</w:t>
            </w:r>
          </w:p>
          <w:p>
            <w:pPr>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4.3医生办公椅 1张</w:t>
            </w:r>
          </w:p>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color w:val="000000" w:themeColor="text1"/>
                <w:szCs w:val="21"/>
                <w14:textFill>
                  <w14:solidFill>
                    <w14:schemeClr w14:val="tx1"/>
                  </w14:solidFill>
                </w14:textFill>
              </w:rPr>
              <w:t>4.4病人升降椅 1张</w:t>
            </w:r>
          </w:p>
        </w:tc>
        <w:tc>
          <w:tcPr>
            <w:tcW w:w="728" w:type="dxa"/>
          </w:tcPr>
          <w:p>
            <w:pPr>
              <w:rPr>
                <w:rFonts w:hint="eastAsia" w:asciiTheme="minorEastAsia" w:hAnsiTheme="minorEastAsia" w:eastAsiaTheme="minorEastAsia" w:cstheme="minorEastAsia"/>
                <w:color w:val="000000" w:themeColor="text1"/>
                <w:szCs w:val="21"/>
                <w14:textFill>
                  <w14:solidFill>
                    <w14:schemeClr w14:val="tx1"/>
                  </w14:solidFill>
                </w14:textFill>
              </w:rPr>
            </w:pPr>
          </w:p>
        </w:tc>
        <w:tc>
          <w:tcPr>
            <w:tcW w:w="806" w:type="dxa"/>
          </w:tcPr>
          <w:p>
            <w:pPr>
              <w:rPr>
                <w:rFonts w:hint="eastAsia" w:asciiTheme="minorEastAsia" w:hAnsiTheme="minorEastAsia" w:eastAsiaTheme="minorEastAsia" w:cstheme="minorEastAsia"/>
                <w:color w:val="000000" w:themeColor="text1"/>
                <w:szCs w:val="21"/>
                <w14:textFill>
                  <w14:solidFill>
                    <w14:schemeClr w14:val="tx1"/>
                  </w14:solidFill>
                </w14:textFill>
              </w:rPr>
            </w:pPr>
          </w:p>
        </w:tc>
        <w:tc>
          <w:tcPr>
            <w:tcW w:w="458" w:type="dxa"/>
          </w:tcPr>
          <w:p>
            <w:pPr>
              <w:rPr>
                <w:rFonts w:hint="eastAsia" w:asciiTheme="minorEastAsia" w:hAnsiTheme="minorEastAsia" w:eastAsiaTheme="minorEastAsia" w:cstheme="minorEastAsia"/>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restart"/>
            <w:vAlign w:val="center"/>
          </w:tcPr>
          <w:p>
            <w:pPr>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2</w:t>
            </w:r>
          </w:p>
        </w:tc>
        <w:tc>
          <w:tcPr>
            <w:tcW w:w="825" w:type="dxa"/>
            <w:vMerge w:val="restart"/>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视野分析仪</w:t>
            </w: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▲1、视野计主机与计算机一体化设计，节省空间。（要求提供产品彩页关键信息或产品制造商官网关键信息截）</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2、Goldman标准球形投射式设计，检测距离30cm</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3、固视监测系统：具多种固视监测系统：包括盲点监测，凝视跟踪（跟踪精度≤10），视频监测、头部跟踪、顶点监视。</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4、左/右眼自动判别</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5、最大颞侧范围：90度；可做150度水平视野检查</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6、光刺激点大小：Goldman I－V</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7、光刺激时间：200ms</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8</w:t>
            </w:r>
            <w:r>
              <w:rPr>
                <w:rFonts w:hint="eastAsia" w:asciiTheme="minorEastAsia" w:hAnsiTheme="minorEastAsia" w:eastAsiaTheme="minorEastAsia" w:cstheme="minorEastAsia"/>
                <w:szCs w:val="21"/>
                <w:highlight w:val="none"/>
              </w:rPr>
              <w:t>、光斑亮度:0-10000asb</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9、背景光亮度：31.5 asb</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10、具有红、蓝刺激光标，蓝黄视野检查</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11、具有自动瞳孔测量</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12、软件系统</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12.1分析软件：STATPAC 2分析软件，包括纵向和横向统计分析软件（正常人群和青光眼人群数据库，均以31.5asb背景光为基础）</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12.2具有青光眼半视野分析程序（GHT），能对青光眼进行早期诊断。</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▲12.3 FDA批准的青光眼随访分析程序（GPA），能有效的进行视野随访分析，并能预测视野进展。（要求提供产品彩页关键信息或产品制造商官网关键信息截图）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12.4具静态视野检查，中心视野、周边视野；阈值测试、筛选测试，同时具特殊检查程序</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12.5有SITA快速检测程序</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▲12.6采用触摸屏操作（要求提供产品彩页关键信息或产品制造商官网关键信息截图）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 xml:space="preserve">  12.7激光打印机打印检查结果，具多种打印模式</w:t>
            </w:r>
          </w:p>
        </w:tc>
        <w:tc>
          <w:tcPr>
            <w:tcW w:w="728" w:type="dxa"/>
          </w:tcPr>
          <w:p>
            <w:pPr>
              <w:rPr>
                <w:rFonts w:hint="eastAsia" w:asciiTheme="minorEastAsia" w:hAnsiTheme="minorEastAsia" w:eastAsiaTheme="minorEastAsia" w:cstheme="minorEastAsia"/>
                <w:szCs w:val="21"/>
              </w:rPr>
            </w:pPr>
          </w:p>
        </w:tc>
        <w:tc>
          <w:tcPr>
            <w:tcW w:w="806" w:type="dxa"/>
          </w:tcPr>
          <w:p>
            <w:pPr>
              <w:rPr>
                <w:rFonts w:hint="eastAsia" w:asciiTheme="minorEastAsia" w:hAnsiTheme="minorEastAsia" w:eastAsiaTheme="minorEastAsia" w:cstheme="minorEastAsia"/>
                <w:szCs w:val="21"/>
              </w:rPr>
            </w:pPr>
          </w:p>
        </w:tc>
        <w:tc>
          <w:tcPr>
            <w:tcW w:w="458" w:type="dxa"/>
          </w:tcPr>
          <w:p>
            <w:pPr>
              <w:rPr>
                <w:rFonts w:hint="eastAsia"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▲12.8中文操作界面（要求提供产品彩页关键信息或产品制造商官网关键信息截图）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▲12.9实时眼位查看，确认每个视野暗点缺损的真实性。（要求提供产品彩页关键信息或产品制造商官网关键信息截图）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66" w:type="dxa"/>
            <w:vMerge w:val="continue"/>
            <w:vAlign w:val="center"/>
          </w:tcPr>
          <w:p>
            <w:pPr>
              <w:jc w:val="center"/>
              <w:rPr>
                <w:rFonts w:asciiTheme="minorEastAsia" w:hAnsiTheme="minorEastAsia" w:eastAsiaTheme="minorEastAsia" w:cstheme="minorEastAsia"/>
                <w:bCs/>
                <w:szCs w:val="21"/>
              </w:rPr>
            </w:pPr>
          </w:p>
        </w:tc>
        <w:tc>
          <w:tcPr>
            <w:tcW w:w="825" w:type="dxa"/>
            <w:vMerge w:val="continue"/>
          </w:tcPr>
          <w:p>
            <w:pPr>
              <w:rPr>
                <w:rFonts w:asciiTheme="minorEastAsia" w:hAnsiTheme="minorEastAsia" w:eastAsiaTheme="minorEastAsia" w:cstheme="minorEastAsia"/>
                <w:bCs/>
                <w:szCs w:val="21"/>
              </w:rPr>
            </w:pPr>
          </w:p>
        </w:tc>
        <w:tc>
          <w:tcPr>
            <w:tcW w:w="5179" w:type="dxa"/>
          </w:tcPr>
          <w:p>
            <w:pPr>
              <w:rPr>
                <w:rFonts w:asciiTheme="minorEastAsia" w:hAnsiTheme="minorEastAsia" w:eastAsiaTheme="minorEastAsia" w:cstheme="minorEastAsia"/>
                <w:bCs/>
                <w:szCs w:val="21"/>
              </w:rPr>
            </w:pPr>
            <w:r>
              <w:rPr>
                <w:rFonts w:hint="eastAsia" w:asciiTheme="minorEastAsia" w:hAnsiTheme="minorEastAsia" w:eastAsiaTheme="minorEastAsia" w:cstheme="minorEastAsia"/>
                <w:b/>
                <w:bCs/>
                <w:color w:val="FF0000"/>
                <w:szCs w:val="21"/>
              </w:rPr>
              <w:t>▲12.10具有自动液态镜片功能（要求提供产品彩页关键信息或产品制造商官网关键信息截图）</w:t>
            </w:r>
          </w:p>
        </w:tc>
        <w:tc>
          <w:tcPr>
            <w:tcW w:w="728" w:type="dxa"/>
          </w:tcPr>
          <w:p>
            <w:pPr>
              <w:rPr>
                <w:rFonts w:hint="eastAsia" w:asciiTheme="minorEastAsia" w:hAnsiTheme="minorEastAsia" w:eastAsiaTheme="minorEastAsia" w:cstheme="minorEastAsia"/>
                <w:b/>
                <w:bCs/>
                <w:color w:val="FF0000"/>
                <w:szCs w:val="21"/>
              </w:rPr>
            </w:pPr>
          </w:p>
        </w:tc>
        <w:tc>
          <w:tcPr>
            <w:tcW w:w="806" w:type="dxa"/>
          </w:tcPr>
          <w:p>
            <w:pPr>
              <w:rPr>
                <w:rFonts w:hint="eastAsia" w:asciiTheme="minorEastAsia" w:hAnsiTheme="minorEastAsia" w:eastAsiaTheme="minorEastAsia" w:cstheme="minorEastAsia"/>
                <w:b/>
                <w:bCs/>
                <w:color w:val="FF0000"/>
                <w:szCs w:val="21"/>
              </w:rPr>
            </w:pPr>
          </w:p>
        </w:tc>
        <w:tc>
          <w:tcPr>
            <w:tcW w:w="458" w:type="dxa"/>
          </w:tcPr>
          <w:p>
            <w:pPr>
              <w:rPr>
                <w:rFonts w:hint="eastAsia" w:asciiTheme="minorEastAsia" w:hAnsiTheme="minorEastAsia" w:eastAsiaTheme="minorEastAsia" w:cstheme="minorEastAsia"/>
                <w:b/>
                <w:bCs/>
                <w:color w:val="FF0000"/>
                <w:szCs w:val="21"/>
              </w:rPr>
            </w:pPr>
          </w:p>
        </w:tc>
      </w:tr>
    </w:tbl>
    <w:p>
      <w:pPr>
        <w:rPr>
          <w:color w:val="FF0000"/>
          <w:sz w:val="24"/>
        </w:rPr>
      </w:pPr>
      <w:r>
        <w:rPr>
          <w:rFonts w:hint="eastAsia"/>
          <w:color w:val="FF0000"/>
          <w:sz w:val="24"/>
        </w:rPr>
        <w:t>证明资料【如有的话，提供的证明资料应统一编号（排序），格式自定】</w:t>
      </w:r>
      <w:bookmarkEnd w:id="57"/>
      <w:r>
        <w:rPr>
          <w:rFonts w:hint="eastAsia"/>
          <w:color w:val="FF0000"/>
          <w:sz w:val="24"/>
        </w:rPr>
        <w:t>：</w:t>
      </w:r>
    </w:p>
    <w:p>
      <w:pPr>
        <w:ind w:firstLine="482" w:firstLineChars="200"/>
        <w:rPr>
          <w:b/>
          <w:sz w:val="24"/>
        </w:rPr>
      </w:pPr>
    </w:p>
    <w:p>
      <w:pPr>
        <w:ind w:firstLine="482" w:firstLineChars="200"/>
        <w:rPr>
          <w:b/>
          <w:sz w:val="24"/>
        </w:rPr>
      </w:pPr>
      <w:r>
        <w:rPr>
          <w:rFonts w:hint="eastAsia"/>
          <w:b/>
          <w:sz w:val="24"/>
        </w:rPr>
        <w:t>《技术要求偏离表》编制指引：</w:t>
      </w:r>
    </w:p>
    <w:p>
      <w:pPr>
        <w:ind w:firstLine="482" w:firstLineChars="200"/>
        <w:rPr>
          <w:b/>
          <w:sz w:val="24"/>
        </w:rPr>
      </w:pPr>
      <w:r>
        <w:rPr>
          <w:rFonts w:hint="eastAsia"/>
          <w:b/>
          <w:sz w:val="24"/>
        </w:rPr>
        <w:t>1、技术要求偏离表的序号、货物名称、招标技术要求等栏目</w:t>
      </w:r>
      <w:bookmarkStart w:id="58" w:name="_Hlk72094407"/>
      <w:r>
        <w:rPr>
          <w:rFonts w:hint="eastAsia"/>
          <w:b/>
          <w:sz w:val="24"/>
        </w:rPr>
        <w:t>对应“招标项目需求”中的“具体技术要求”章节</w:t>
      </w:r>
      <w:bookmarkEnd w:id="58"/>
      <w:r>
        <w:rPr>
          <w:rFonts w:hint="eastAsia"/>
          <w:b/>
          <w:sz w:val="24"/>
        </w:rPr>
        <w:t>相关内容。</w:t>
      </w:r>
    </w:p>
    <w:p>
      <w:pPr>
        <w:ind w:firstLine="482" w:firstLineChars="200"/>
        <w:rPr>
          <w:b/>
          <w:sz w:val="24"/>
        </w:rPr>
      </w:pPr>
      <w:r>
        <w:rPr>
          <w:b/>
          <w:sz w:val="24"/>
        </w:rPr>
        <w:t>2</w:t>
      </w:r>
      <w:r>
        <w:rPr>
          <w:rFonts w:hint="eastAsia"/>
          <w:b/>
          <w:sz w:val="24"/>
        </w:rPr>
        <w:t>、“投标技术响应”一栏必须一一对照“招标技术要求”，详细填写投标人自身投标货物的具体参数，而不能不合理照搬照抄招标文件的技术要求，以体现具体响应情况。</w:t>
      </w:r>
    </w:p>
    <w:p>
      <w:pPr>
        <w:ind w:firstLine="482" w:firstLineChars="200"/>
        <w:rPr>
          <w:b/>
          <w:sz w:val="24"/>
        </w:rPr>
      </w:pPr>
      <w:r>
        <w:rPr>
          <w:b/>
          <w:sz w:val="24"/>
        </w:rPr>
        <w:t>3</w:t>
      </w:r>
      <w:r>
        <w:rPr>
          <w:rFonts w:hint="eastAsia"/>
          <w:b/>
          <w:sz w:val="24"/>
        </w:rPr>
        <w:t>、</w:t>
      </w:r>
      <w:bookmarkStart w:id="59" w:name="_Hlk72158270"/>
      <w:r>
        <w:rPr>
          <w:rFonts w:hint="eastAsia"/>
          <w:b/>
          <w:sz w:val="24"/>
        </w:rPr>
        <w:t>“偏离情况”</w:t>
      </w:r>
      <w:bookmarkEnd w:id="59"/>
      <w:r>
        <w:rPr>
          <w:rFonts w:hint="eastAsia"/>
          <w:b/>
          <w:sz w:val="24"/>
        </w:rPr>
        <w:t>一栏填写如实填写“正偏离”、“负偏离”或“无偏离”，其中：</w:t>
      </w:r>
      <w:bookmarkStart w:id="60" w:name="_Hlk72093866"/>
      <w:r>
        <w:rPr>
          <w:rFonts w:hint="eastAsia"/>
          <w:b/>
          <w:sz w:val="24"/>
        </w:rPr>
        <w:t>“正偏离”表示“投标响应优于招标技术要求”，“负偏离”表示“投标响应不满足招标技术要求”，“无偏离”表示“投标响应与招标技术要求一致”</w:t>
      </w:r>
      <w:bookmarkEnd w:id="60"/>
      <w:r>
        <w:rPr>
          <w:rFonts w:hint="eastAsia"/>
          <w:b/>
          <w:sz w:val="24"/>
        </w:rPr>
        <w:t>。“投标技术响应”对比“招标技术要求”存在响应不全（包括未响应整项招标技术要求或者未响应一项招标技术要求的部分内容），均视为“负偏离”。</w:t>
      </w:r>
    </w:p>
    <w:p>
      <w:pPr>
        <w:ind w:firstLine="482" w:firstLineChars="200"/>
        <w:rPr>
          <w:b/>
          <w:sz w:val="24"/>
        </w:rPr>
      </w:pPr>
      <w:r>
        <w:rPr>
          <w:b/>
          <w:sz w:val="24"/>
        </w:rPr>
        <w:t>4</w:t>
      </w:r>
      <w:r>
        <w:rPr>
          <w:rFonts w:hint="eastAsia"/>
          <w:b/>
          <w:sz w:val="24"/>
        </w:rPr>
        <w:t>、未要求提供证明资料的招标技术要求，可以不提供证明资料（如实响应即可）。</w:t>
      </w:r>
    </w:p>
    <w:p>
      <w:pPr>
        <w:ind w:firstLine="482" w:firstLineChars="200"/>
        <w:rPr>
          <w:b/>
          <w:sz w:val="24"/>
        </w:rPr>
      </w:pPr>
      <w:r>
        <w:rPr>
          <w:rFonts w:hint="eastAsia"/>
          <w:b/>
          <w:sz w:val="24"/>
        </w:rPr>
        <w:t>5、</w:t>
      </w:r>
      <w:bookmarkStart w:id="61" w:name="_Hlk72096106"/>
      <w:r>
        <w:rPr>
          <w:rFonts w:hint="eastAsia"/>
          <w:b/>
          <w:sz w:val="24"/>
        </w:rPr>
        <w:t>证明资料条款响应要求</w:t>
      </w:r>
      <w:bookmarkEnd w:id="61"/>
      <w:r>
        <w:rPr>
          <w:rFonts w:hint="eastAsia"/>
          <w:b/>
          <w:sz w:val="24"/>
        </w:rPr>
        <w:t>：要求提供证明资料（且已对证明资料的形式、内容作出明确要求）进行响应的条款，应当在“说明”一栏中列明是否提供了符合要求的证明资料，以及所提供证明资料在表后“证明资料”中的编号（位置）,以便评审；</w:t>
      </w:r>
      <w:bookmarkStart w:id="62" w:name="_Hlk73558782"/>
      <w:r>
        <w:rPr>
          <w:rFonts w:hint="eastAsia"/>
          <w:b/>
          <w:sz w:val="24"/>
        </w:rPr>
        <w:t>此类条款应严格依照要求的形式、内容提供证明资料，如未提供证明资料（或：证明资料的形式、内容等不符合要求；证明资料显示不符合招标技术要求；证明资料模糊不清无法判断或未显示是否满足招标技术要求），</w:t>
      </w:r>
      <w:bookmarkStart w:id="63" w:name="_Hlk73558164"/>
      <w:r>
        <w:rPr>
          <w:rFonts w:hint="eastAsia"/>
          <w:b/>
          <w:sz w:val="24"/>
        </w:rPr>
        <w:t>且投标人在“偏离情况”一栏响应为“正偏离”或“无偏离”的，经评审委员会认定，将判定为负偏离。</w:t>
      </w:r>
      <w:bookmarkEnd w:id="62"/>
      <w:bookmarkEnd w:id="63"/>
    </w:p>
    <w:p>
      <w:pPr>
        <w:ind w:firstLine="482" w:firstLineChars="200"/>
        <w:rPr>
          <w:b/>
          <w:sz w:val="24"/>
        </w:rPr>
      </w:pPr>
      <w:r>
        <w:rPr>
          <w:rFonts w:hint="eastAsia"/>
          <w:b/>
          <w:sz w:val="24"/>
        </w:rPr>
        <w:t>6、</w:t>
      </w:r>
      <w:bookmarkStart w:id="64" w:name="_Hlk72096137"/>
      <w:r>
        <w:rPr>
          <w:rFonts w:hint="eastAsia"/>
          <w:b/>
          <w:sz w:val="24"/>
        </w:rPr>
        <w:t>表后“证明资料”部分内容的编制</w:t>
      </w:r>
      <w:bookmarkEnd w:id="64"/>
      <w:r>
        <w:rPr>
          <w:rFonts w:hint="eastAsia"/>
          <w:b/>
          <w:sz w:val="24"/>
        </w:rPr>
        <w:t>：提供的所有证明资料应当统一编号（排序），且证明资料的编号（顺序）、数量和名称（形式）均应与“说明”一栏所填内容保持一致（一一对应），以便评审委员会查看。</w:t>
      </w:r>
      <w:bookmarkStart w:id="65" w:name="_Hlk73558180"/>
      <w:r>
        <w:rPr>
          <w:rFonts w:hint="eastAsia"/>
          <w:b/>
          <w:sz w:val="24"/>
        </w:rPr>
        <w:t>未按照招标文件要求在表后放置证明材料的供应商将承担不利后果，经评审委员会认定，相关技术要求将判定为负偏离。</w:t>
      </w:r>
      <w:bookmarkEnd w:id="65"/>
    </w:p>
    <w:p>
      <w:pPr>
        <w:ind w:firstLine="482" w:firstLineChars="200"/>
        <w:rPr>
          <w:b/>
          <w:sz w:val="24"/>
        </w:rPr>
      </w:pPr>
      <w:r>
        <w:rPr>
          <w:rFonts w:hint="eastAsia"/>
          <w:b/>
          <w:sz w:val="24"/>
        </w:rPr>
        <w:t>7、</w:t>
      </w:r>
      <w:bookmarkStart w:id="66" w:name="_Hlk72096176"/>
      <w:r>
        <w:rPr>
          <w:rFonts w:hint="eastAsia"/>
          <w:b/>
          <w:sz w:val="24"/>
        </w:rPr>
        <w:t>证明资料的形式及其它具体要求</w:t>
      </w:r>
      <w:bookmarkEnd w:id="66"/>
      <w:r>
        <w:rPr>
          <w:rFonts w:hint="eastAsia"/>
          <w:b/>
          <w:sz w:val="24"/>
        </w:rPr>
        <w:t>：</w:t>
      </w:r>
    </w:p>
    <w:p>
      <w:pPr>
        <w:ind w:firstLine="482" w:firstLineChars="200"/>
        <w:rPr>
          <w:b/>
          <w:sz w:val="24"/>
        </w:rPr>
      </w:pPr>
      <w:r>
        <w:rPr>
          <w:rFonts w:hint="eastAsia"/>
          <w:b/>
          <w:sz w:val="24"/>
        </w:rPr>
        <w:t>（1）除照片、图片（截图）及不需加盖公章的文字说明（技术说明）外，其它证明资料均要求为原件扫描件；</w:t>
      </w:r>
    </w:p>
    <w:p>
      <w:pPr>
        <w:ind w:firstLine="482" w:firstLineChars="200"/>
        <w:rPr>
          <w:b/>
          <w:sz w:val="24"/>
        </w:rPr>
      </w:pPr>
      <w:r>
        <w:rPr>
          <w:rFonts w:hint="eastAsia"/>
          <w:b/>
          <w:sz w:val="24"/>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pPr>
        <w:ind w:firstLine="482" w:firstLineChars="200"/>
        <w:rPr>
          <w:b/>
          <w:sz w:val="24"/>
        </w:rPr>
      </w:pPr>
      <w:r>
        <w:rPr>
          <w:rFonts w:hint="eastAsia"/>
          <w:b/>
          <w:sz w:val="24"/>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pPr>
        <w:ind w:firstLine="482" w:firstLineChars="200"/>
        <w:rPr>
          <w:b/>
          <w:sz w:val="24"/>
        </w:rPr>
      </w:pPr>
      <w:r>
        <w:rPr>
          <w:rFonts w:hint="eastAsia"/>
          <w:b/>
          <w:sz w:val="24"/>
        </w:rPr>
        <w:t>我国政府机构出具的产品检验和核准证件应为证件正面、背面和附件标注的全部具体内容；产品检验和核准证件的尺寸和清晰度应该能够在电脑上被阅读、识别和判断；</w:t>
      </w:r>
    </w:p>
    <w:p>
      <w:pPr>
        <w:ind w:firstLine="482" w:firstLineChars="200"/>
        <w:rPr>
          <w:b/>
          <w:sz w:val="24"/>
        </w:rPr>
      </w:pPr>
      <w:r>
        <w:rPr>
          <w:rFonts w:hint="eastAsia"/>
          <w:b/>
          <w:sz w:val="24"/>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pPr>
        <w:ind w:firstLine="482" w:firstLineChars="200"/>
        <w:rPr>
          <w:b/>
          <w:sz w:val="24"/>
        </w:rPr>
      </w:pPr>
      <w:r>
        <w:rPr>
          <w:rFonts w:hint="eastAsia"/>
          <w:b/>
          <w:sz w:val="24"/>
        </w:rPr>
        <w:t>其它证明资料的形式要求参照以上要求执行；</w:t>
      </w:r>
    </w:p>
    <w:p>
      <w:pPr>
        <w:ind w:firstLine="482" w:firstLineChars="200"/>
        <w:rPr>
          <w:b/>
          <w:sz w:val="24"/>
        </w:rPr>
      </w:pPr>
      <w:r>
        <w:rPr>
          <w:rFonts w:hint="eastAsia"/>
          <w:b/>
          <w:sz w:val="24"/>
        </w:rPr>
        <w:t>（4）证明资料均要求原件备查。</w:t>
      </w:r>
    </w:p>
    <w:p>
      <w:pPr>
        <w:ind w:firstLine="482" w:firstLineChars="200"/>
        <w:rPr>
          <w:b/>
          <w:sz w:val="24"/>
        </w:rPr>
      </w:pPr>
      <w:r>
        <w:rPr>
          <w:rFonts w:hint="eastAsia"/>
          <w:b/>
          <w:sz w:val="24"/>
        </w:rPr>
        <w:t>8、其它注意事项：</w:t>
      </w:r>
    </w:p>
    <w:p>
      <w:pPr>
        <w:ind w:firstLine="482" w:firstLineChars="200"/>
        <w:rPr>
          <w:b/>
          <w:sz w:val="24"/>
        </w:rPr>
      </w:pPr>
      <w:r>
        <w:rPr>
          <w:rFonts w:hint="eastAsia"/>
          <w:b/>
          <w:sz w:val="24"/>
        </w:rPr>
        <w:t>（1）评审委员会有权对投标人的响应情况作出判断（评审结论）；</w:t>
      </w:r>
    </w:p>
    <w:p>
      <w:pPr>
        <w:ind w:firstLine="482" w:firstLineChars="200"/>
        <w:rPr>
          <w:b/>
          <w:sz w:val="24"/>
        </w:rPr>
      </w:pPr>
      <w:r>
        <w:rPr>
          <w:rFonts w:hint="eastAsia"/>
          <w:b/>
          <w:sz w:val="24"/>
        </w:rPr>
        <w:t>（2）</w:t>
      </w:r>
      <w:bookmarkStart w:id="67" w:name="_Hlk72158213"/>
      <w:r>
        <w:rPr>
          <w:rFonts w:hint="eastAsia"/>
          <w:b/>
          <w:sz w:val="24"/>
        </w:rPr>
        <w:t>评审委员会有权对以谋取中标为目的的技术规格模糊响应（如有意不合理照搬照抄招标文件的技术要求）或虚假响应予以认定，并视情况经政府集中采购机构报主管部门进行处理。</w:t>
      </w:r>
      <w:bookmarkEnd w:id="67"/>
    </w:p>
    <w:p>
      <w:pPr>
        <w:rPr>
          <w:sz w:val="24"/>
        </w:rPr>
      </w:pPr>
    </w:p>
    <w:p>
      <w:pPr>
        <w:keepNext/>
        <w:keepLines/>
        <w:spacing w:before="260" w:after="260"/>
        <w:jc w:val="center"/>
        <w:outlineLvl w:val="2"/>
        <w:rPr>
          <w:b/>
          <w:sz w:val="24"/>
        </w:rPr>
      </w:pPr>
      <w:r>
        <w:rPr>
          <w:rFonts w:hint="eastAsia" w:ascii="黑体" w:hAnsi="宋体" w:eastAsia="黑体"/>
          <w:sz w:val="24"/>
          <w:szCs w:val="20"/>
        </w:rPr>
        <w:t>五、商务要求偏离表</w:t>
      </w:r>
    </w:p>
    <w:tbl>
      <w:tblPr>
        <w:tblStyle w:val="4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797"/>
        <w:gridCol w:w="5147"/>
        <w:gridCol w:w="884"/>
        <w:gridCol w:w="680"/>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7" w:type="dxa"/>
            <w:vAlign w:val="center"/>
          </w:tcPr>
          <w:p>
            <w:pPr>
              <w:jc w:val="center"/>
              <w:rPr>
                <w:b/>
              </w:rPr>
            </w:pPr>
            <w:r>
              <w:rPr>
                <w:rFonts w:hint="eastAsia"/>
                <w:sz w:val="24"/>
              </w:rPr>
              <w:t>序号</w:t>
            </w:r>
          </w:p>
        </w:tc>
        <w:tc>
          <w:tcPr>
            <w:tcW w:w="797" w:type="dxa"/>
            <w:vAlign w:val="center"/>
          </w:tcPr>
          <w:p>
            <w:pPr>
              <w:jc w:val="center"/>
              <w:rPr>
                <w:b/>
              </w:rPr>
            </w:pPr>
            <w:r>
              <w:rPr>
                <w:rFonts w:hint="eastAsia"/>
                <w:b/>
              </w:rPr>
              <w:t>商务需求项</w:t>
            </w:r>
          </w:p>
        </w:tc>
        <w:tc>
          <w:tcPr>
            <w:tcW w:w="5147" w:type="dxa"/>
            <w:vAlign w:val="center"/>
          </w:tcPr>
          <w:p>
            <w:pPr>
              <w:jc w:val="center"/>
              <w:rPr>
                <w:b/>
              </w:rPr>
            </w:pPr>
            <w:r>
              <w:rPr>
                <w:rFonts w:hint="eastAsia"/>
                <w:sz w:val="24"/>
              </w:rPr>
              <w:t>招标商务要求</w:t>
            </w:r>
          </w:p>
        </w:tc>
        <w:tc>
          <w:tcPr>
            <w:tcW w:w="884" w:type="dxa"/>
            <w:vAlign w:val="center"/>
          </w:tcPr>
          <w:p>
            <w:pPr>
              <w:jc w:val="center"/>
              <w:rPr>
                <w:rFonts w:hint="eastAsia"/>
                <w:b/>
              </w:rPr>
            </w:pPr>
            <w:r>
              <w:rPr>
                <w:rFonts w:hint="eastAsia"/>
                <w:sz w:val="24"/>
              </w:rPr>
              <w:t>投标商务响应</w:t>
            </w:r>
          </w:p>
        </w:tc>
        <w:tc>
          <w:tcPr>
            <w:tcW w:w="680" w:type="dxa"/>
            <w:vAlign w:val="center"/>
          </w:tcPr>
          <w:p>
            <w:pPr>
              <w:jc w:val="center"/>
              <w:rPr>
                <w:rFonts w:hint="eastAsia"/>
                <w:b/>
              </w:rPr>
            </w:pPr>
            <w:r>
              <w:rPr>
                <w:rFonts w:hint="eastAsia"/>
              </w:rPr>
              <w:t>偏离情况</w:t>
            </w:r>
          </w:p>
        </w:tc>
        <w:tc>
          <w:tcPr>
            <w:tcW w:w="456" w:type="dxa"/>
            <w:vAlign w:val="center"/>
          </w:tcPr>
          <w:p>
            <w:pPr>
              <w:jc w:val="center"/>
              <w:rPr>
                <w:rFonts w:hint="eastAsia"/>
                <w:b/>
              </w:rPr>
            </w:pPr>
            <w:r>
              <w:rPr>
                <w:rFonts w:hint="eastAsia"/>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21" w:type="dxa"/>
            <w:gridSpan w:val="6"/>
          </w:tcPr>
          <w:p>
            <w:pPr>
              <w:rPr>
                <w:rFonts w:hint="eastAsia"/>
                <w:b/>
              </w:rPr>
            </w:pPr>
            <w:r>
              <w:rPr>
                <w:rFonts w:hint="eastAsia"/>
                <w:b/>
              </w:rPr>
              <w:t>（一）免费保修期内售后服务要求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0" w:type="auto"/>
            <w:vMerge w:val="restart"/>
            <w:vAlign w:val="center"/>
          </w:tcPr>
          <w:p>
            <w:pPr>
              <w:jc w:val="center"/>
              <w:rPr>
                <w:bCs/>
              </w:rPr>
            </w:pPr>
            <w:r>
              <w:rPr>
                <w:rFonts w:hint="eastAsia"/>
                <w:bCs/>
              </w:rPr>
              <w:t>1</w:t>
            </w:r>
          </w:p>
        </w:tc>
        <w:tc>
          <w:tcPr>
            <w:tcW w:w="797" w:type="dxa"/>
            <w:vMerge w:val="restart"/>
          </w:tcPr>
          <w:p>
            <w:r>
              <w:rPr>
                <w:rFonts w:hint="eastAsia"/>
              </w:rPr>
              <w:t>维修响应及维护服务</w:t>
            </w:r>
          </w:p>
        </w:tc>
        <w:tc>
          <w:tcPr>
            <w:tcW w:w="5147" w:type="dxa"/>
          </w:tcPr>
          <w:p>
            <w:pPr>
              <w:rPr>
                <w:bCs/>
              </w:rPr>
            </w:pPr>
            <w:r>
              <w:rPr>
                <w:rFonts w:hint="eastAsia"/>
                <w:bCs/>
              </w:rPr>
              <w:t>1.1 各投标人应在投标文件中列明各主机、配件和易耗品的保 修期限。</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0" w:type="auto"/>
            <w:vMerge w:val="continue"/>
            <w:vAlign w:val="center"/>
          </w:tcPr>
          <w:p>
            <w:pPr>
              <w:jc w:val="center"/>
              <w:rPr>
                <w:bCs/>
              </w:rPr>
            </w:pPr>
          </w:p>
        </w:tc>
        <w:tc>
          <w:tcPr>
            <w:tcW w:w="797" w:type="dxa"/>
            <w:vMerge w:val="continue"/>
          </w:tcPr>
          <w:p/>
        </w:tc>
        <w:tc>
          <w:tcPr>
            <w:tcW w:w="5147" w:type="dxa"/>
          </w:tcPr>
          <w:p>
            <w:pPr>
              <w:rPr>
                <w:bCs/>
                <w:szCs w:val="21"/>
              </w:rPr>
            </w:pPr>
            <w:r>
              <w:rPr>
                <w:rFonts w:hint="eastAsia"/>
                <w:bCs/>
                <w:szCs w:val="21"/>
              </w:rPr>
              <w:t>★1.2</w:t>
            </w:r>
            <w:r>
              <w:rPr>
                <w:rFonts w:hint="eastAsia"/>
                <w:bCs/>
              </w:rPr>
              <w:t>承诺提供整机免费保修期不少于</w:t>
            </w:r>
            <w:r>
              <w:rPr>
                <w:rFonts w:hint="eastAsia"/>
                <w:bCs/>
                <w:color w:val="FF0000"/>
                <w:highlight w:val="yellow"/>
                <w:u w:val="single"/>
              </w:rPr>
              <w:t xml:space="preserve"> </w:t>
            </w:r>
            <w:r>
              <w:rPr>
                <w:rFonts w:hint="eastAsia"/>
                <w:bCs/>
                <w:color w:val="FF0000"/>
                <w:highlight w:val="yellow"/>
                <w:u w:val="single"/>
                <w:lang w:val="en-US" w:eastAsia="zh-CN"/>
              </w:rPr>
              <w:t>2</w:t>
            </w:r>
            <w:r>
              <w:rPr>
                <w:rFonts w:hint="eastAsia"/>
                <w:bCs/>
                <w:color w:val="FF0000"/>
                <w:highlight w:val="yellow"/>
                <w:u w:val="single"/>
              </w:rPr>
              <w:t xml:space="preserve"> </w:t>
            </w:r>
            <w:r>
              <w:rPr>
                <w:rFonts w:hint="eastAsia"/>
                <w:bCs/>
                <w:color w:val="FF0000"/>
                <w:highlight w:val="yellow"/>
              </w:rPr>
              <w:t>年</w:t>
            </w:r>
            <w:r>
              <w:rPr>
                <w:rFonts w:hint="eastAsia"/>
                <w:bCs/>
              </w:rPr>
              <w:t xml:space="preserve">，终身维修，保修期内,年度定期预防性维护保养次数应不少于 3 次。保修期内免费 更换零配件、免工时费。 </w:t>
            </w:r>
          </w:p>
        </w:tc>
        <w:tc>
          <w:tcPr>
            <w:tcW w:w="884" w:type="dxa"/>
          </w:tcPr>
          <w:p>
            <w:pPr>
              <w:rPr>
                <w:rFonts w:hint="eastAsia"/>
                <w:bCs/>
                <w:szCs w:val="21"/>
              </w:rPr>
            </w:pPr>
          </w:p>
        </w:tc>
        <w:tc>
          <w:tcPr>
            <w:tcW w:w="680" w:type="dxa"/>
          </w:tcPr>
          <w:p>
            <w:pPr>
              <w:rPr>
                <w:rFonts w:hint="eastAsia"/>
                <w:bCs/>
                <w:szCs w:val="21"/>
              </w:rPr>
            </w:pPr>
          </w:p>
        </w:tc>
        <w:tc>
          <w:tcPr>
            <w:tcW w:w="0" w:type="auto"/>
          </w:tcPr>
          <w:p>
            <w:pPr>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0" w:type="auto"/>
            <w:vMerge w:val="continue"/>
            <w:vAlign w:val="center"/>
          </w:tcPr>
          <w:p>
            <w:pPr>
              <w:jc w:val="center"/>
              <w:rPr>
                <w:bCs/>
              </w:rPr>
            </w:pPr>
          </w:p>
        </w:tc>
        <w:tc>
          <w:tcPr>
            <w:tcW w:w="797" w:type="dxa"/>
            <w:vMerge w:val="continue"/>
          </w:tcPr>
          <w:p/>
        </w:tc>
        <w:tc>
          <w:tcPr>
            <w:tcW w:w="5147" w:type="dxa"/>
          </w:tcPr>
          <w:p>
            <w:pPr>
              <w:rPr>
                <w:bCs/>
              </w:rPr>
            </w:pPr>
            <w:r>
              <w:rPr>
                <w:rFonts w:hint="eastAsia"/>
                <w:bCs/>
              </w:rPr>
              <w:t>1.3 由设备制造商提供售后服务，</w:t>
            </w:r>
            <w:r>
              <w:rPr>
                <w:rFonts w:hint="eastAsia"/>
                <w:bCs/>
                <w:u w:val="single"/>
              </w:rPr>
              <w:t xml:space="preserve">4 </w:t>
            </w:r>
            <w:r>
              <w:rPr>
                <w:rFonts w:hint="eastAsia"/>
                <w:bCs/>
              </w:rPr>
              <w:t>小时内响应，</w:t>
            </w:r>
            <w:r>
              <w:rPr>
                <w:rFonts w:hint="eastAsia"/>
                <w:bCs/>
                <w:u w:val="single"/>
              </w:rPr>
              <w:t xml:space="preserve">24 </w:t>
            </w:r>
            <w:r>
              <w:rPr>
                <w:rFonts w:hint="eastAsia"/>
                <w:bCs/>
              </w:rPr>
              <w:t xml:space="preserve">小时维修到位（不可抗力情况除外）,否则提供备用机,消耗品和零配件供应及时。 </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0" w:type="auto"/>
            <w:vMerge w:val="continue"/>
            <w:vAlign w:val="center"/>
          </w:tcPr>
          <w:p>
            <w:pPr>
              <w:jc w:val="center"/>
              <w:rPr>
                <w:bCs/>
              </w:rPr>
            </w:pPr>
          </w:p>
        </w:tc>
        <w:tc>
          <w:tcPr>
            <w:tcW w:w="797" w:type="dxa"/>
            <w:vMerge w:val="continue"/>
          </w:tcPr>
          <w:p/>
        </w:tc>
        <w:tc>
          <w:tcPr>
            <w:tcW w:w="5147" w:type="dxa"/>
          </w:tcPr>
          <w:p>
            <w:pPr>
              <w:rPr>
                <w:bCs/>
              </w:rPr>
            </w:pPr>
            <w:r>
              <w:rPr>
                <w:rFonts w:hint="eastAsia"/>
                <w:bCs/>
              </w:rPr>
              <w:t>1.4</w:t>
            </w:r>
            <w:r>
              <w:rPr>
                <w:rFonts w:hint="eastAsia" w:ascii="宋体" w:hAnsi="宋体" w:cs="宋体"/>
                <w:color w:val="000000"/>
                <w:kern w:val="0"/>
                <w:szCs w:val="21"/>
              </w:rPr>
              <w:t>投标人负责货物的终身维护</w:t>
            </w:r>
            <w:r>
              <w:rPr>
                <w:rFonts w:hint="eastAsia"/>
                <w:bCs/>
              </w:rPr>
              <w:t>，保证</w:t>
            </w:r>
            <w:r>
              <w:rPr>
                <w:rFonts w:hint="eastAsia"/>
                <w:bCs/>
                <w:u w:val="single"/>
              </w:rPr>
              <w:t xml:space="preserve"> 5 </w:t>
            </w:r>
            <w:r>
              <w:rPr>
                <w:rFonts w:hint="eastAsia"/>
                <w:bCs/>
              </w:rPr>
              <w:t>年以上供应维修配件，终身免费提供软件升级服务。在免费保修期后，维修只收取零配件费用，不收取其他任何费用。</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0" w:type="auto"/>
            <w:vMerge w:val="continue"/>
            <w:vAlign w:val="center"/>
          </w:tcPr>
          <w:p>
            <w:pPr>
              <w:jc w:val="center"/>
              <w:rPr>
                <w:bCs/>
              </w:rPr>
            </w:pPr>
          </w:p>
        </w:tc>
        <w:tc>
          <w:tcPr>
            <w:tcW w:w="797" w:type="dxa"/>
            <w:vMerge w:val="continue"/>
          </w:tcPr>
          <w:p/>
        </w:tc>
        <w:tc>
          <w:tcPr>
            <w:tcW w:w="5147" w:type="dxa"/>
          </w:tcPr>
          <w:p>
            <w:pPr>
              <w:rPr>
                <w:rFonts w:hint="eastAsia" w:eastAsiaTheme="minorEastAsia"/>
                <w:bCs/>
                <w:highlight w:val="none"/>
                <w:lang w:val="en-US" w:eastAsia="zh-CN"/>
              </w:rPr>
            </w:pPr>
            <w:r>
              <w:rPr>
                <w:rFonts w:hint="eastAsia"/>
                <w:bCs/>
                <w:highlight w:val="none"/>
                <w:lang w:val="en-US" w:eastAsia="zh-CN"/>
              </w:rPr>
              <w:t>1.5</w:t>
            </w:r>
            <w:r>
              <w:rPr>
                <w:rFonts w:hint="eastAsia" w:asciiTheme="minorEastAsia" w:hAnsiTheme="minorEastAsia" w:eastAsiaTheme="minorEastAsia" w:cstheme="minorEastAsia"/>
                <w:szCs w:val="21"/>
                <w:highlight w:val="none"/>
              </w:rPr>
              <w:t>需免费提供标准DICOM格式及开放接口，能畅通运行眼科数字化管理系统，并与医院HIS、PACS系统等进行无缝对接，符合实时数据采集上传和局域网存储功能，产生费用由中标单位自行承担</w:t>
            </w:r>
            <w:r>
              <w:rPr>
                <w:rFonts w:hint="eastAsia" w:asciiTheme="minorEastAsia" w:hAnsiTheme="minorEastAsia" w:eastAsiaTheme="minorEastAsia" w:cstheme="minorEastAsia"/>
                <w:szCs w:val="21"/>
                <w:highlight w:val="none"/>
                <w:lang w:eastAsia="zh-CN"/>
              </w:rPr>
              <w:t>。</w:t>
            </w:r>
          </w:p>
        </w:tc>
        <w:tc>
          <w:tcPr>
            <w:tcW w:w="884" w:type="dxa"/>
          </w:tcPr>
          <w:p>
            <w:pPr>
              <w:rPr>
                <w:rFonts w:hint="eastAsia"/>
                <w:bCs/>
                <w:highlight w:val="none"/>
                <w:lang w:val="en-US" w:eastAsia="zh-CN"/>
              </w:rPr>
            </w:pPr>
          </w:p>
        </w:tc>
        <w:tc>
          <w:tcPr>
            <w:tcW w:w="680" w:type="dxa"/>
          </w:tcPr>
          <w:p>
            <w:pPr>
              <w:rPr>
                <w:rFonts w:hint="eastAsia"/>
                <w:bCs/>
                <w:highlight w:val="none"/>
                <w:lang w:val="en-US" w:eastAsia="zh-CN"/>
              </w:rPr>
            </w:pPr>
          </w:p>
        </w:tc>
        <w:tc>
          <w:tcPr>
            <w:tcW w:w="0" w:type="auto"/>
          </w:tcPr>
          <w:p>
            <w:pPr>
              <w:rPr>
                <w:rFonts w:hint="eastAsia"/>
                <w:bCs/>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0" w:type="auto"/>
            <w:vAlign w:val="center"/>
          </w:tcPr>
          <w:p>
            <w:pPr>
              <w:jc w:val="center"/>
              <w:rPr>
                <w:b/>
              </w:rPr>
            </w:pPr>
            <w:r>
              <w:rPr>
                <w:rFonts w:hint="eastAsia"/>
                <w:b/>
              </w:rPr>
              <w:t>2</w:t>
            </w:r>
          </w:p>
        </w:tc>
        <w:tc>
          <w:tcPr>
            <w:tcW w:w="797" w:type="dxa"/>
            <w:vAlign w:val="center"/>
          </w:tcPr>
          <w:p>
            <w:r>
              <w:rPr>
                <w:rFonts w:hint="eastAsia"/>
                <w:szCs w:val="21"/>
              </w:rPr>
              <w:t>质量保证</w:t>
            </w:r>
          </w:p>
        </w:tc>
        <w:tc>
          <w:tcPr>
            <w:tcW w:w="5147" w:type="dxa"/>
            <w:vAlign w:val="center"/>
          </w:tcPr>
          <w:p>
            <w:pPr>
              <w:rPr>
                <w:bCs/>
                <w:szCs w:val="21"/>
              </w:rPr>
            </w:pPr>
            <w:r>
              <w:rPr>
                <w:rFonts w:hint="eastAsia"/>
                <w:bCs/>
              </w:rPr>
              <w:t>2.1在保修期内, 投标人应确保年开机率在95%</w:t>
            </w:r>
            <w:r>
              <w:rPr>
                <w:rFonts w:hint="eastAsia"/>
              </w:rPr>
              <w:t>（含95%）</w:t>
            </w:r>
            <w:r>
              <w:rPr>
                <w:rFonts w:hint="eastAsia"/>
                <w:bCs/>
              </w:rPr>
              <w:t>以上, 若不能达到此开机率，将作以下处理：a. 年开机率在90</w:t>
            </w:r>
            <w:r>
              <w:rPr>
                <w:rFonts w:hint="eastAsia"/>
              </w:rPr>
              <w:t>（含90%）</w:t>
            </w:r>
            <w:r>
              <w:rPr>
                <w:rFonts w:hint="eastAsia"/>
                <w:bCs/>
              </w:rPr>
              <w:t>-95%之间按一赔</w:t>
            </w:r>
            <w:r>
              <w:rPr>
                <w:rFonts w:hint="eastAsia"/>
                <w:bCs/>
                <w:u w:val="single"/>
              </w:rPr>
              <w:t xml:space="preserve">2  </w:t>
            </w:r>
            <w:r>
              <w:rPr>
                <w:rFonts w:hint="eastAsia"/>
                <w:bCs/>
              </w:rPr>
              <w:t>延长保修期；b. 年开机率在85</w:t>
            </w:r>
            <w:r>
              <w:rPr>
                <w:rFonts w:hint="eastAsia"/>
              </w:rPr>
              <w:t>（含85%）</w:t>
            </w:r>
            <w:r>
              <w:rPr>
                <w:rFonts w:hint="eastAsia"/>
                <w:bCs/>
              </w:rPr>
              <w:t>-90%之间按一赔</w:t>
            </w:r>
            <w:r>
              <w:rPr>
                <w:rFonts w:hint="eastAsia"/>
                <w:bCs/>
                <w:u w:val="single"/>
              </w:rPr>
              <w:t xml:space="preserve"> 3</w:t>
            </w:r>
            <w:r>
              <w:rPr>
                <w:rFonts w:hint="eastAsia"/>
                <w:bCs/>
              </w:rPr>
              <w:t>延长保修期；c. 年开机率低于85%，投标人必须无条件更换新机，并重新计算保修期，以及赔偿用户的直接经济损失和间接经济损失。注：年开机率=（365-停机天数）/365）</w:t>
            </w:r>
          </w:p>
        </w:tc>
        <w:tc>
          <w:tcPr>
            <w:tcW w:w="884" w:type="dxa"/>
            <w:vAlign w:val="center"/>
          </w:tcPr>
          <w:p>
            <w:pPr>
              <w:rPr>
                <w:rFonts w:hint="eastAsia"/>
                <w:bCs/>
              </w:rPr>
            </w:pPr>
          </w:p>
        </w:tc>
        <w:tc>
          <w:tcPr>
            <w:tcW w:w="680" w:type="dxa"/>
            <w:vAlign w:val="center"/>
          </w:tcPr>
          <w:p>
            <w:pPr>
              <w:rPr>
                <w:rFonts w:hint="eastAsia"/>
                <w:bCs/>
              </w:rPr>
            </w:pPr>
          </w:p>
        </w:tc>
        <w:tc>
          <w:tcPr>
            <w:tcW w:w="0" w:type="auto"/>
            <w:vAlign w:val="center"/>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0" w:type="auto"/>
            <w:vAlign w:val="center"/>
          </w:tcPr>
          <w:p>
            <w:pPr>
              <w:jc w:val="center"/>
              <w:rPr>
                <w:bCs/>
              </w:rPr>
            </w:pPr>
            <w:r>
              <w:rPr>
                <w:rFonts w:hint="eastAsia"/>
                <w:bCs/>
              </w:rPr>
              <w:t>3</w:t>
            </w:r>
          </w:p>
        </w:tc>
        <w:tc>
          <w:tcPr>
            <w:tcW w:w="797" w:type="dxa"/>
            <w:vAlign w:val="center"/>
          </w:tcPr>
          <w:p>
            <w:pPr>
              <w:rPr>
                <w:b/>
              </w:rPr>
            </w:pPr>
            <w:r>
              <w:rPr>
                <w:rFonts w:hint="eastAsia"/>
              </w:rPr>
              <w:t>其他</w:t>
            </w:r>
          </w:p>
        </w:tc>
        <w:tc>
          <w:tcPr>
            <w:tcW w:w="5147" w:type="dxa"/>
            <w:vAlign w:val="center"/>
          </w:tcPr>
          <w:p>
            <w:pPr>
              <w:rPr>
                <w:b/>
              </w:rPr>
            </w:pPr>
            <w:r>
              <w:rPr>
                <w:rFonts w:hint="eastAsia"/>
                <w:bCs/>
                <w:szCs w:val="21"/>
              </w:rPr>
              <w:t>投标人应按其投标文件中的承诺，进行其他售后服务工作。</w:t>
            </w:r>
          </w:p>
        </w:tc>
        <w:tc>
          <w:tcPr>
            <w:tcW w:w="884" w:type="dxa"/>
            <w:vAlign w:val="center"/>
          </w:tcPr>
          <w:p>
            <w:pPr>
              <w:rPr>
                <w:rFonts w:hint="eastAsia"/>
                <w:bCs/>
                <w:szCs w:val="21"/>
              </w:rPr>
            </w:pPr>
          </w:p>
        </w:tc>
        <w:tc>
          <w:tcPr>
            <w:tcW w:w="680" w:type="dxa"/>
            <w:vAlign w:val="center"/>
          </w:tcPr>
          <w:p>
            <w:pPr>
              <w:rPr>
                <w:rFonts w:hint="eastAsia"/>
                <w:bCs/>
                <w:szCs w:val="21"/>
              </w:rPr>
            </w:pPr>
          </w:p>
        </w:tc>
        <w:tc>
          <w:tcPr>
            <w:tcW w:w="0" w:type="auto"/>
            <w:vAlign w:val="center"/>
          </w:tcPr>
          <w:p>
            <w:pPr>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8421" w:type="dxa"/>
            <w:gridSpan w:val="6"/>
          </w:tcPr>
          <w:p>
            <w:pPr>
              <w:rPr>
                <w:rFonts w:hint="eastAsia"/>
                <w:b/>
              </w:rPr>
            </w:pPr>
            <w:r>
              <w:rPr>
                <w:rFonts w:hint="eastAsia"/>
                <w:b/>
              </w:rPr>
              <w:t>（二）免费保修期外售后服务要求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restart"/>
            <w:vAlign w:val="center"/>
          </w:tcPr>
          <w:p>
            <w:pPr>
              <w:jc w:val="center"/>
              <w:rPr>
                <w:bCs/>
              </w:rPr>
            </w:pPr>
            <w:r>
              <w:rPr>
                <w:rFonts w:hint="eastAsia"/>
                <w:bCs/>
              </w:rPr>
              <w:t>1</w:t>
            </w:r>
          </w:p>
        </w:tc>
        <w:tc>
          <w:tcPr>
            <w:tcW w:w="797" w:type="dxa"/>
            <w:vMerge w:val="restart"/>
          </w:tcPr>
          <w:p>
            <w:pPr>
              <w:rPr>
                <w:b/>
              </w:rPr>
            </w:pPr>
            <w:r>
              <w:rPr>
                <w:rFonts w:hint="eastAsia" w:ascii="宋体" w:hAnsi="宋体"/>
                <w:b/>
                <w:kern w:val="0"/>
                <w:szCs w:val="21"/>
              </w:rPr>
              <w:t>维修零配件、消耗品和延续保修合同的报价</w:t>
            </w:r>
          </w:p>
        </w:tc>
        <w:tc>
          <w:tcPr>
            <w:tcW w:w="5147" w:type="dxa"/>
          </w:tcPr>
          <w:p>
            <w:pPr>
              <w:spacing w:line="300" w:lineRule="exact"/>
              <w:rPr>
                <w:b/>
              </w:rPr>
            </w:pPr>
            <w:r>
              <w:rPr>
                <w:rFonts w:hint="eastAsia" w:ascii="宋体" w:hAnsi="宋体"/>
                <w:kern w:val="0"/>
                <w:szCs w:val="21"/>
              </w:rPr>
              <w:t>1.1由设备制造商提供售后服务，</w:t>
            </w:r>
            <w:r>
              <w:rPr>
                <w:rFonts w:hint="eastAsia" w:ascii="宋体" w:hAnsi="宋体"/>
                <w:bCs/>
                <w:kern w:val="0"/>
                <w:szCs w:val="21"/>
                <w:u w:val="single"/>
              </w:rPr>
              <w:t xml:space="preserve"> 4 </w:t>
            </w:r>
            <w:r>
              <w:rPr>
                <w:rFonts w:hint="eastAsia" w:ascii="宋体" w:hAnsi="宋体"/>
                <w:kern w:val="0"/>
                <w:szCs w:val="21"/>
              </w:rPr>
              <w:t>小时内响应，</w:t>
            </w:r>
            <w:r>
              <w:rPr>
                <w:rFonts w:hint="eastAsia" w:ascii="宋体" w:hAnsi="宋体"/>
                <w:bCs/>
                <w:kern w:val="0"/>
                <w:szCs w:val="21"/>
                <w:u w:val="single"/>
              </w:rPr>
              <w:t xml:space="preserve">  24  </w:t>
            </w:r>
            <w:r>
              <w:rPr>
                <w:rFonts w:hint="eastAsia" w:ascii="宋体" w:hAnsi="宋体"/>
                <w:kern w:val="0"/>
                <w:szCs w:val="21"/>
              </w:rPr>
              <w:t>小时维修到位（不可抗力情况除外）。消耗品和零配件供应及时，特殊情况下可提供备用机。</w:t>
            </w:r>
          </w:p>
        </w:tc>
        <w:tc>
          <w:tcPr>
            <w:tcW w:w="884" w:type="dxa"/>
          </w:tcPr>
          <w:p>
            <w:pPr>
              <w:spacing w:line="300" w:lineRule="exact"/>
              <w:rPr>
                <w:rFonts w:hint="eastAsia" w:ascii="宋体" w:hAnsi="宋体"/>
                <w:kern w:val="0"/>
                <w:szCs w:val="21"/>
              </w:rPr>
            </w:pPr>
          </w:p>
        </w:tc>
        <w:tc>
          <w:tcPr>
            <w:tcW w:w="680" w:type="dxa"/>
          </w:tcPr>
          <w:p>
            <w:pPr>
              <w:spacing w:line="300" w:lineRule="exact"/>
              <w:rPr>
                <w:rFonts w:hint="eastAsia" w:ascii="宋体" w:hAnsi="宋体"/>
                <w:kern w:val="0"/>
                <w:szCs w:val="21"/>
              </w:rPr>
            </w:pPr>
          </w:p>
        </w:tc>
        <w:tc>
          <w:tcPr>
            <w:tcW w:w="0" w:type="auto"/>
          </w:tcPr>
          <w:p>
            <w:pPr>
              <w:spacing w:line="300" w:lineRule="exact"/>
              <w:rPr>
                <w:rFonts w:hint="eastAsia"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tcPr>
          <w:p>
            <w:pPr>
              <w:rPr>
                <w:b/>
              </w:rPr>
            </w:pPr>
          </w:p>
        </w:tc>
        <w:tc>
          <w:tcPr>
            <w:tcW w:w="5147" w:type="dxa"/>
          </w:tcPr>
          <w:p>
            <w:pPr>
              <w:spacing w:line="300" w:lineRule="exact"/>
              <w:rPr>
                <w:b/>
              </w:rPr>
            </w:pPr>
            <w:r>
              <w:rPr>
                <w:rFonts w:hint="eastAsia" w:ascii="宋体" w:hAnsi="宋体"/>
                <w:kern w:val="0"/>
                <w:szCs w:val="21"/>
              </w:rPr>
              <w:t>1.2保修期满后，投标人应以优惠价供应维修零配件、消耗品和延续保修合同。价格最高的前5项零配件、消耗品和延续保修合同的报价明细必须填写于《零配件、消耗品和延续保修合同报价明清单》中。</w:t>
            </w:r>
          </w:p>
        </w:tc>
        <w:tc>
          <w:tcPr>
            <w:tcW w:w="884" w:type="dxa"/>
          </w:tcPr>
          <w:p>
            <w:pPr>
              <w:spacing w:line="300" w:lineRule="exact"/>
              <w:rPr>
                <w:rFonts w:hint="eastAsia" w:ascii="宋体" w:hAnsi="宋体"/>
                <w:kern w:val="0"/>
                <w:szCs w:val="21"/>
              </w:rPr>
            </w:pPr>
          </w:p>
        </w:tc>
        <w:tc>
          <w:tcPr>
            <w:tcW w:w="680" w:type="dxa"/>
          </w:tcPr>
          <w:p>
            <w:pPr>
              <w:spacing w:line="300" w:lineRule="exact"/>
              <w:rPr>
                <w:rFonts w:hint="eastAsia" w:ascii="宋体" w:hAnsi="宋体"/>
                <w:kern w:val="0"/>
                <w:szCs w:val="21"/>
              </w:rPr>
            </w:pPr>
          </w:p>
        </w:tc>
        <w:tc>
          <w:tcPr>
            <w:tcW w:w="0" w:type="auto"/>
          </w:tcPr>
          <w:p>
            <w:pPr>
              <w:spacing w:line="300" w:lineRule="exact"/>
              <w:rPr>
                <w:rFonts w:hint="eastAsia"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tcPr>
          <w:p>
            <w:pPr>
              <w:rPr>
                <w:b/>
              </w:rPr>
            </w:pPr>
          </w:p>
        </w:tc>
        <w:tc>
          <w:tcPr>
            <w:tcW w:w="5147" w:type="dxa"/>
          </w:tcPr>
          <w:p>
            <w:pPr>
              <w:spacing w:line="300" w:lineRule="exact"/>
              <w:rPr>
                <w:b/>
              </w:rPr>
            </w:pPr>
            <w:r>
              <w:rPr>
                <w:rFonts w:hint="eastAsia" w:ascii="宋体" w:hAnsi="宋体"/>
                <w:kern w:val="0"/>
                <w:szCs w:val="21"/>
              </w:rPr>
              <w:t>1.3采购人可与投标人就优惠价进行谈判，但优惠价不得高于投标人在投标文件的《零配件、消耗品和延续保修合同报价明清单》中承诺的维修零配件、消耗品和延续保修合同的报价。</w:t>
            </w:r>
          </w:p>
        </w:tc>
        <w:tc>
          <w:tcPr>
            <w:tcW w:w="884" w:type="dxa"/>
          </w:tcPr>
          <w:p>
            <w:pPr>
              <w:spacing w:line="300" w:lineRule="exact"/>
              <w:rPr>
                <w:rFonts w:hint="eastAsia" w:ascii="宋体" w:hAnsi="宋体"/>
                <w:kern w:val="0"/>
                <w:szCs w:val="21"/>
              </w:rPr>
            </w:pPr>
          </w:p>
        </w:tc>
        <w:tc>
          <w:tcPr>
            <w:tcW w:w="680" w:type="dxa"/>
          </w:tcPr>
          <w:p>
            <w:pPr>
              <w:spacing w:line="300" w:lineRule="exact"/>
              <w:rPr>
                <w:rFonts w:hint="eastAsia" w:ascii="宋体" w:hAnsi="宋体"/>
                <w:kern w:val="0"/>
                <w:szCs w:val="21"/>
              </w:rPr>
            </w:pPr>
          </w:p>
        </w:tc>
        <w:tc>
          <w:tcPr>
            <w:tcW w:w="0" w:type="auto"/>
          </w:tcPr>
          <w:p>
            <w:pPr>
              <w:spacing w:line="300" w:lineRule="exact"/>
              <w:rPr>
                <w:rFonts w:hint="eastAsia"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vAlign w:val="center"/>
          </w:tcPr>
          <w:p>
            <w:pPr>
              <w:jc w:val="center"/>
              <w:rPr>
                <w:bCs/>
              </w:rPr>
            </w:pPr>
          </w:p>
        </w:tc>
        <w:tc>
          <w:tcPr>
            <w:tcW w:w="797" w:type="dxa"/>
            <w:vMerge w:val="continue"/>
          </w:tcPr>
          <w:p>
            <w:pPr>
              <w:rPr>
                <w:b/>
              </w:rPr>
            </w:pPr>
          </w:p>
        </w:tc>
        <w:tc>
          <w:tcPr>
            <w:tcW w:w="5147" w:type="dxa"/>
          </w:tcPr>
          <w:p>
            <w:pPr>
              <w:rPr>
                <w:b/>
              </w:rPr>
            </w:pPr>
            <w:r>
              <w:rPr>
                <w:rFonts w:hint="eastAsia" w:ascii="宋体" w:hAnsi="宋体"/>
                <w:kern w:val="0"/>
                <w:szCs w:val="21"/>
              </w:rPr>
              <w:t>1.4设备制造商维修的货物经采购人验收合格，且设备制造商提供维修专用发票后，采购人支付维修费用。</w:t>
            </w:r>
          </w:p>
        </w:tc>
        <w:tc>
          <w:tcPr>
            <w:tcW w:w="884" w:type="dxa"/>
          </w:tcPr>
          <w:p>
            <w:pPr>
              <w:rPr>
                <w:rFonts w:hint="eastAsia" w:ascii="宋体" w:hAnsi="宋体"/>
                <w:kern w:val="0"/>
                <w:szCs w:val="21"/>
              </w:rPr>
            </w:pPr>
          </w:p>
        </w:tc>
        <w:tc>
          <w:tcPr>
            <w:tcW w:w="680" w:type="dxa"/>
          </w:tcPr>
          <w:p>
            <w:pPr>
              <w:rPr>
                <w:rFonts w:hint="eastAsia" w:ascii="宋体" w:hAnsi="宋体"/>
                <w:kern w:val="0"/>
                <w:szCs w:val="21"/>
              </w:rPr>
            </w:pPr>
          </w:p>
        </w:tc>
        <w:tc>
          <w:tcPr>
            <w:tcW w:w="0" w:type="auto"/>
          </w:tcPr>
          <w:p>
            <w:pPr>
              <w:rPr>
                <w:rFonts w:hint="eastAsia"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tcPr>
          <w:p>
            <w:pPr>
              <w:rPr>
                <w:b/>
              </w:rPr>
            </w:pPr>
          </w:p>
        </w:tc>
        <w:tc>
          <w:tcPr>
            <w:tcW w:w="5147" w:type="dxa"/>
          </w:tcPr>
          <w:p>
            <w:pPr>
              <w:rPr>
                <w:b/>
              </w:rPr>
            </w:pPr>
            <w:r>
              <w:rPr>
                <w:rFonts w:hint="eastAsia" w:ascii="宋体" w:hAnsi="宋体"/>
                <w:kern w:val="0"/>
                <w:szCs w:val="21"/>
              </w:rPr>
              <w:t>1.5投标人及设备制造商不得以任何理由不按时进行维修，不得要求采购人购买所谓“保修服务”（即：不论设备有无故障先买保修服务），不得在设备中嵌设任何不利于采购人使用与维修设备的障碍。</w:t>
            </w:r>
          </w:p>
        </w:tc>
        <w:tc>
          <w:tcPr>
            <w:tcW w:w="884" w:type="dxa"/>
          </w:tcPr>
          <w:p>
            <w:pPr>
              <w:rPr>
                <w:rFonts w:hint="eastAsia" w:ascii="宋体" w:hAnsi="宋体"/>
                <w:kern w:val="0"/>
                <w:szCs w:val="21"/>
              </w:rPr>
            </w:pPr>
          </w:p>
        </w:tc>
        <w:tc>
          <w:tcPr>
            <w:tcW w:w="680" w:type="dxa"/>
          </w:tcPr>
          <w:p>
            <w:pPr>
              <w:rPr>
                <w:rFonts w:hint="eastAsia" w:ascii="宋体" w:hAnsi="宋体"/>
                <w:kern w:val="0"/>
                <w:szCs w:val="21"/>
              </w:rPr>
            </w:pPr>
          </w:p>
        </w:tc>
        <w:tc>
          <w:tcPr>
            <w:tcW w:w="0" w:type="auto"/>
          </w:tcPr>
          <w:p>
            <w:pPr>
              <w:rPr>
                <w:rFonts w:hint="eastAsia"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8421" w:type="dxa"/>
            <w:gridSpan w:val="6"/>
          </w:tcPr>
          <w:p>
            <w:pPr>
              <w:rPr>
                <w:rFonts w:hint="eastAsia"/>
                <w:b/>
              </w:rPr>
            </w:pPr>
            <w:r>
              <w:rPr>
                <w:rFonts w:hint="eastAsia"/>
                <w:b/>
              </w:rPr>
              <w:t>（三）其他商务要求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0" w:type="auto"/>
            <w:vMerge w:val="restart"/>
            <w:vAlign w:val="center"/>
          </w:tcPr>
          <w:p>
            <w:pPr>
              <w:jc w:val="center"/>
              <w:rPr>
                <w:bCs/>
              </w:rPr>
            </w:pPr>
            <w:r>
              <w:rPr>
                <w:rFonts w:hint="eastAsia"/>
                <w:bCs/>
              </w:rPr>
              <w:t>1</w:t>
            </w:r>
          </w:p>
        </w:tc>
        <w:tc>
          <w:tcPr>
            <w:tcW w:w="797" w:type="dxa"/>
            <w:vMerge w:val="restart"/>
            <w:vAlign w:val="center"/>
          </w:tcPr>
          <w:p>
            <w:r>
              <w:rPr>
                <w:rFonts w:hint="eastAsia"/>
              </w:rPr>
              <w:t>关于交货</w:t>
            </w:r>
          </w:p>
        </w:tc>
        <w:tc>
          <w:tcPr>
            <w:tcW w:w="5147" w:type="dxa"/>
          </w:tcPr>
          <w:p>
            <w:pPr>
              <w:rPr>
                <w:bCs/>
                <w:szCs w:val="21"/>
              </w:rPr>
            </w:pPr>
            <w:r>
              <w:rPr>
                <w:rFonts w:hint="eastAsia"/>
                <w:bCs/>
                <w:szCs w:val="21"/>
              </w:rPr>
              <w:t>1.1交货地点：投标人应提供货物的技术文件，包括但不限于设备配置清单、产品说明书、图纸、操作手册、维护手册（含维修密码及接口数据）、质量保证文件、服务指南等，所有外文资料须提供中文译本。文件应随货物一并交付至采购人指定地点。</w:t>
            </w:r>
          </w:p>
        </w:tc>
        <w:tc>
          <w:tcPr>
            <w:tcW w:w="884" w:type="dxa"/>
          </w:tcPr>
          <w:p>
            <w:pPr>
              <w:rPr>
                <w:rFonts w:hint="eastAsia"/>
                <w:bCs/>
                <w:szCs w:val="21"/>
              </w:rPr>
            </w:pPr>
          </w:p>
        </w:tc>
        <w:tc>
          <w:tcPr>
            <w:tcW w:w="680" w:type="dxa"/>
          </w:tcPr>
          <w:p>
            <w:pPr>
              <w:rPr>
                <w:rFonts w:hint="eastAsia"/>
                <w:bCs/>
                <w:szCs w:val="21"/>
              </w:rPr>
            </w:pPr>
          </w:p>
        </w:tc>
        <w:tc>
          <w:tcPr>
            <w:tcW w:w="0" w:type="auto"/>
          </w:tcPr>
          <w:p>
            <w:pPr>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bCs/>
                <w:szCs w:val="21"/>
              </w:rPr>
            </w:pPr>
            <w:r>
              <w:rPr>
                <w:rFonts w:hint="eastAsia"/>
                <w:bCs/>
                <w:szCs w:val="21"/>
              </w:rPr>
              <w:t>1.2</w:t>
            </w:r>
            <w:r>
              <w:rPr>
                <w:rFonts w:hint="eastAsia" w:ascii="宋体" w:hAnsi="宋体"/>
                <w:spacing w:val="-3"/>
                <w:szCs w:val="21"/>
              </w:rPr>
              <w:t>提供的货物必须为全新、经检验合格的产品。产品如需要计量检定的应提供相关计量检定部门出具的合法检定报告。其中，进口设备必须具有</w:t>
            </w:r>
            <w:r>
              <w:rPr>
                <w:rFonts w:hint="eastAsia" w:ascii="宋体" w:hAnsi="宋体"/>
                <w:kern w:val="0"/>
                <w:szCs w:val="21"/>
              </w:rPr>
              <w:t>报关证明</w:t>
            </w:r>
            <w:r>
              <w:rPr>
                <w:rFonts w:hint="eastAsia" w:ascii="宋体" w:hAnsi="宋体"/>
                <w:spacing w:val="-3"/>
                <w:szCs w:val="21"/>
              </w:rPr>
              <w:t>文件、</w:t>
            </w:r>
            <w:r>
              <w:rPr>
                <w:rFonts w:hint="eastAsia" w:ascii="宋体" w:hAnsi="宋体"/>
                <w:kern w:val="0"/>
                <w:szCs w:val="21"/>
              </w:rPr>
              <w:t>原产地证明和</w:t>
            </w:r>
            <w:r>
              <w:rPr>
                <w:rFonts w:hint="eastAsia" w:ascii="宋体" w:hAnsi="宋体"/>
                <w:spacing w:val="-3"/>
                <w:szCs w:val="21"/>
              </w:rPr>
              <w:t>商检合格证明文件。</w:t>
            </w:r>
          </w:p>
        </w:tc>
        <w:tc>
          <w:tcPr>
            <w:tcW w:w="884" w:type="dxa"/>
          </w:tcPr>
          <w:p>
            <w:pPr>
              <w:rPr>
                <w:rFonts w:hint="eastAsia"/>
                <w:bCs/>
                <w:szCs w:val="21"/>
              </w:rPr>
            </w:pPr>
          </w:p>
        </w:tc>
        <w:tc>
          <w:tcPr>
            <w:tcW w:w="680" w:type="dxa"/>
          </w:tcPr>
          <w:p>
            <w:pPr>
              <w:rPr>
                <w:rFonts w:hint="eastAsia"/>
                <w:bCs/>
                <w:szCs w:val="21"/>
              </w:rPr>
            </w:pPr>
          </w:p>
        </w:tc>
        <w:tc>
          <w:tcPr>
            <w:tcW w:w="0" w:type="auto"/>
          </w:tcPr>
          <w:p>
            <w:pPr>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trPr>
        <w:tc>
          <w:tcPr>
            <w:tcW w:w="0" w:type="auto"/>
            <w:vMerge w:val="continue"/>
            <w:vAlign w:val="center"/>
          </w:tcPr>
          <w:p>
            <w:pPr>
              <w:jc w:val="center"/>
              <w:rPr>
                <w:bCs/>
              </w:rPr>
            </w:pPr>
            <w:r>
              <w:rPr>
                <w:rFonts w:hint="eastAsia"/>
                <w:bCs/>
              </w:rPr>
              <w:t>+</w:t>
            </w:r>
          </w:p>
        </w:tc>
        <w:tc>
          <w:tcPr>
            <w:tcW w:w="797" w:type="dxa"/>
            <w:vMerge w:val="continue"/>
            <w:vAlign w:val="center"/>
          </w:tcPr>
          <w:p>
            <w:pPr>
              <w:jc w:val="center"/>
            </w:pPr>
          </w:p>
        </w:tc>
        <w:tc>
          <w:tcPr>
            <w:tcW w:w="5147" w:type="dxa"/>
          </w:tcPr>
          <w:p>
            <w:pPr>
              <w:rPr>
                <w:bCs/>
                <w:szCs w:val="21"/>
              </w:rPr>
            </w:pPr>
            <w:r>
              <w:rPr>
                <w:rFonts w:hint="eastAsia"/>
                <w:bCs/>
                <w:szCs w:val="21"/>
              </w:rPr>
              <w:t>★1.3签订合同后</w:t>
            </w:r>
            <w:r>
              <w:rPr>
                <w:rFonts w:hint="eastAsia"/>
                <w:bCs/>
                <w:szCs w:val="21"/>
                <w:u w:val="single"/>
              </w:rPr>
              <w:t xml:space="preserve"> 45  </w:t>
            </w:r>
            <w:r>
              <w:rPr>
                <w:rFonts w:hint="eastAsia"/>
                <w:bCs/>
                <w:szCs w:val="21"/>
              </w:rPr>
              <w:t>天（日历日）内交货。交货地址：</w:t>
            </w:r>
            <w:r>
              <w:rPr>
                <w:rFonts w:hint="eastAsia"/>
              </w:rPr>
              <w:t>深圳市眼科医院</w:t>
            </w:r>
          </w:p>
        </w:tc>
        <w:tc>
          <w:tcPr>
            <w:tcW w:w="884" w:type="dxa"/>
          </w:tcPr>
          <w:p>
            <w:pPr>
              <w:rPr>
                <w:rFonts w:hint="eastAsia"/>
                <w:bCs/>
                <w:szCs w:val="21"/>
              </w:rPr>
            </w:pPr>
          </w:p>
        </w:tc>
        <w:tc>
          <w:tcPr>
            <w:tcW w:w="680" w:type="dxa"/>
          </w:tcPr>
          <w:p>
            <w:pPr>
              <w:rPr>
                <w:rFonts w:hint="eastAsia"/>
                <w:bCs/>
                <w:szCs w:val="21"/>
              </w:rPr>
            </w:pPr>
          </w:p>
        </w:tc>
        <w:tc>
          <w:tcPr>
            <w:tcW w:w="0" w:type="auto"/>
          </w:tcPr>
          <w:p>
            <w:pPr>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restart"/>
            <w:vAlign w:val="center"/>
          </w:tcPr>
          <w:p>
            <w:pPr>
              <w:jc w:val="center"/>
              <w:rPr>
                <w:bCs/>
              </w:rPr>
            </w:pPr>
            <w:r>
              <w:rPr>
                <w:rFonts w:hint="eastAsia"/>
                <w:bCs/>
              </w:rPr>
              <w:t>2</w:t>
            </w:r>
          </w:p>
        </w:tc>
        <w:tc>
          <w:tcPr>
            <w:tcW w:w="797" w:type="dxa"/>
            <w:vMerge w:val="restart"/>
            <w:vAlign w:val="center"/>
          </w:tcPr>
          <w:p>
            <w:r>
              <w:rPr>
                <w:rFonts w:hint="eastAsia"/>
              </w:rPr>
              <w:t>运输、安装调试及验收</w:t>
            </w:r>
          </w:p>
        </w:tc>
        <w:tc>
          <w:tcPr>
            <w:tcW w:w="5147" w:type="dxa"/>
          </w:tcPr>
          <w:p>
            <w:pPr>
              <w:spacing w:line="340" w:lineRule="exact"/>
              <w:rPr>
                <w:bCs/>
                <w:szCs w:val="21"/>
              </w:rPr>
            </w:pPr>
            <w:r>
              <w:rPr>
                <w:rFonts w:hint="eastAsia"/>
                <w:bCs/>
                <w:szCs w:val="21"/>
              </w:rPr>
              <w:t>2</w:t>
            </w:r>
            <w:r>
              <w:rPr>
                <w:bCs/>
                <w:szCs w:val="21"/>
              </w:rPr>
              <w:t>.1</w:t>
            </w:r>
            <w:r>
              <w:rPr>
                <w:rFonts w:hint="eastAsia"/>
                <w:bCs/>
                <w:szCs w:val="21"/>
              </w:rPr>
              <w:t>投标人负责将货物安全无损运抵采购人指定地点,并承担设备的包装、运输、保险、装卸、安装调试、培训、商检及计量检测、关税、增值税和进口代理等费用。</w:t>
            </w:r>
          </w:p>
        </w:tc>
        <w:tc>
          <w:tcPr>
            <w:tcW w:w="884" w:type="dxa"/>
          </w:tcPr>
          <w:p>
            <w:pPr>
              <w:spacing w:line="340" w:lineRule="exact"/>
              <w:rPr>
                <w:rFonts w:hint="eastAsia"/>
                <w:bCs/>
                <w:szCs w:val="21"/>
              </w:rPr>
            </w:pPr>
          </w:p>
        </w:tc>
        <w:tc>
          <w:tcPr>
            <w:tcW w:w="680" w:type="dxa"/>
          </w:tcPr>
          <w:p>
            <w:pPr>
              <w:spacing w:line="340" w:lineRule="exact"/>
              <w:rPr>
                <w:rFonts w:hint="eastAsia"/>
                <w:bCs/>
                <w:szCs w:val="21"/>
              </w:rPr>
            </w:pPr>
          </w:p>
        </w:tc>
        <w:tc>
          <w:tcPr>
            <w:tcW w:w="0" w:type="auto"/>
          </w:tcPr>
          <w:p>
            <w:pPr>
              <w:spacing w:line="340" w:lineRule="exact"/>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
              </w:rPr>
            </w:pPr>
          </w:p>
        </w:tc>
        <w:tc>
          <w:tcPr>
            <w:tcW w:w="797" w:type="dxa"/>
            <w:vMerge w:val="continue"/>
          </w:tcPr>
          <w:p>
            <w:pPr>
              <w:rPr>
                <w:b/>
              </w:rPr>
            </w:pPr>
          </w:p>
        </w:tc>
        <w:tc>
          <w:tcPr>
            <w:tcW w:w="5147" w:type="dxa"/>
          </w:tcPr>
          <w:p>
            <w:pPr>
              <w:spacing w:line="340" w:lineRule="exact"/>
              <w:rPr>
                <w:bCs/>
                <w:szCs w:val="21"/>
              </w:rPr>
            </w:pPr>
            <w:r>
              <w:rPr>
                <w:rFonts w:hint="eastAsia"/>
                <w:bCs/>
                <w:szCs w:val="21"/>
              </w:rPr>
              <w:t>2</w:t>
            </w:r>
            <w:r>
              <w:rPr>
                <w:bCs/>
                <w:szCs w:val="21"/>
              </w:rPr>
              <w:t>.2</w:t>
            </w:r>
            <w:r>
              <w:rPr>
                <w:rFonts w:hint="eastAsia"/>
                <w:bCs/>
                <w:szCs w:val="21"/>
              </w:rPr>
              <w:t>由采购人按合同和招标、投标文件约定的要求和标准及中华人民共和国现行的验收规范和评定标准进行交货验收。</w:t>
            </w:r>
          </w:p>
        </w:tc>
        <w:tc>
          <w:tcPr>
            <w:tcW w:w="884" w:type="dxa"/>
          </w:tcPr>
          <w:p>
            <w:pPr>
              <w:spacing w:line="340" w:lineRule="exact"/>
              <w:rPr>
                <w:rFonts w:hint="eastAsia"/>
                <w:bCs/>
                <w:szCs w:val="21"/>
              </w:rPr>
            </w:pPr>
          </w:p>
        </w:tc>
        <w:tc>
          <w:tcPr>
            <w:tcW w:w="680" w:type="dxa"/>
          </w:tcPr>
          <w:p>
            <w:pPr>
              <w:spacing w:line="340" w:lineRule="exact"/>
              <w:rPr>
                <w:rFonts w:hint="eastAsia"/>
                <w:bCs/>
                <w:szCs w:val="21"/>
              </w:rPr>
            </w:pPr>
          </w:p>
        </w:tc>
        <w:tc>
          <w:tcPr>
            <w:tcW w:w="0" w:type="auto"/>
          </w:tcPr>
          <w:p>
            <w:pPr>
              <w:spacing w:line="340" w:lineRule="exact"/>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
              </w:rPr>
            </w:pPr>
          </w:p>
        </w:tc>
        <w:tc>
          <w:tcPr>
            <w:tcW w:w="797" w:type="dxa"/>
            <w:vMerge w:val="continue"/>
          </w:tcPr>
          <w:p>
            <w:pPr>
              <w:rPr>
                <w:b/>
              </w:rPr>
            </w:pPr>
          </w:p>
        </w:tc>
        <w:tc>
          <w:tcPr>
            <w:tcW w:w="5147" w:type="dxa"/>
          </w:tcPr>
          <w:p>
            <w:pPr>
              <w:spacing w:line="340" w:lineRule="exact"/>
              <w:rPr>
                <w:bCs/>
                <w:szCs w:val="21"/>
              </w:rPr>
            </w:pPr>
            <w:r>
              <w:rPr>
                <w:rFonts w:hint="eastAsia"/>
                <w:bCs/>
                <w:szCs w:val="21"/>
              </w:rPr>
              <w:t>2.</w:t>
            </w:r>
            <w:r>
              <w:rPr>
                <w:bCs/>
                <w:szCs w:val="21"/>
              </w:rPr>
              <w:t xml:space="preserve">3 </w:t>
            </w:r>
            <w:r>
              <w:rPr>
                <w:rFonts w:hint="eastAsia"/>
                <w:bCs/>
                <w:szCs w:val="21"/>
              </w:rPr>
              <w:t>投标人货物经过双方检验认可后，签署验收报告，产品保修期自验收合格之日起算，由投标人提供产品保修文件。</w:t>
            </w:r>
          </w:p>
        </w:tc>
        <w:tc>
          <w:tcPr>
            <w:tcW w:w="884" w:type="dxa"/>
          </w:tcPr>
          <w:p>
            <w:pPr>
              <w:spacing w:line="340" w:lineRule="exact"/>
              <w:rPr>
                <w:rFonts w:hint="eastAsia"/>
                <w:bCs/>
                <w:szCs w:val="21"/>
              </w:rPr>
            </w:pPr>
          </w:p>
        </w:tc>
        <w:tc>
          <w:tcPr>
            <w:tcW w:w="680" w:type="dxa"/>
          </w:tcPr>
          <w:p>
            <w:pPr>
              <w:spacing w:line="340" w:lineRule="exact"/>
              <w:rPr>
                <w:rFonts w:hint="eastAsia"/>
                <w:bCs/>
                <w:szCs w:val="21"/>
              </w:rPr>
            </w:pPr>
          </w:p>
        </w:tc>
        <w:tc>
          <w:tcPr>
            <w:tcW w:w="0" w:type="auto"/>
          </w:tcPr>
          <w:p>
            <w:pPr>
              <w:spacing w:line="340" w:lineRule="exact"/>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
              </w:rPr>
            </w:pPr>
          </w:p>
        </w:tc>
        <w:tc>
          <w:tcPr>
            <w:tcW w:w="797" w:type="dxa"/>
            <w:vMerge w:val="continue"/>
          </w:tcPr>
          <w:p>
            <w:pPr>
              <w:rPr>
                <w:b/>
              </w:rPr>
            </w:pPr>
          </w:p>
        </w:tc>
        <w:tc>
          <w:tcPr>
            <w:tcW w:w="5147" w:type="dxa"/>
          </w:tcPr>
          <w:p>
            <w:pPr>
              <w:spacing w:line="340" w:lineRule="exact"/>
              <w:rPr>
                <w:bCs/>
                <w:szCs w:val="21"/>
              </w:rPr>
            </w:pPr>
            <w:r>
              <w:rPr>
                <w:rFonts w:hint="eastAsia"/>
                <w:bCs/>
                <w:szCs w:val="21"/>
              </w:rPr>
              <w:t>2.</w:t>
            </w:r>
            <w:r>
              <w:rPr>
                <w:bCs/>
                <w:szCs w:val="21"/>
              </w:rPr>
              <w:t>4</w:t>
            </w:r>
            <w:r>
              <w:rPr>
                <w:rFonts w:hint="eastAsia"/>
                <w:bCs/>
                <w:szCs w:val="21"/>
              </w:rPr>
              <w:t>当满足以下条件时，采购人才向中标人签发货物验收报告：</w:t>
            </w:r>
          </w:p>
          <w:p>
            <w:pPr>
              <w:rPr>
                <w:bCs/>
                <w:szCs w:val="21"/>
              </w:rPr>
            </w:pPr>
            <w:r>
              <w:rPr>
                <w:rFonts w:hint="eastAsia"/>
                <w:bCs/>
                <w:szCs w:val="21"/>
              </w:rPr>
              <w:t>（1）设备全新,外观无伤痕变形或明显修饰痕迹。</w:t>
            </w:r>
          </w:p>
          <w:p>
            <w:pPr>
              <w:rPr>
                <w:bCs/>
                <w:szCs w:val="21"/>
              </w:rPr>
            </w:pPr>
            <w:r>
              <w:rPr>
                <w:rFonts w:hint="eastAsia"/>
                <w:bCs/>
                <w:szCs w:val="21"/>
              </w:rPr>
              <w:t>（2）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pPr>
              <w:rPr>
                <w:bCs/>
                <w:szCs w:val="21"/>
              </w:rPr>
            </w:pPr>
            <w:r>
              <w:rPr>
                <w:rFonts w:hint="eastAsia"/>
                <w:bCs/>
                <w:szCs w:val="21"/>
              </w:rPr>
              <w:t>（3）技术文件资料、备件等已按规定数量移交完毕。</w:t>
            </w:r>
          </w:p>
          <w:p>
            <w:pPr>
              <w:rPr>
                <w:bCs/>
                <w:szCs w:val="21"/>
              </w:rPr>
            </w:pPr>
            <w:r>
              <w:rPr>
                <w:rFonts w:hint="eastAsia"/>
                <w:bCs/>
                <w:szCs w:val="21"/>
              </w:rPr>
              <w:t>（4）按照招标书要求及投标文件提供的技术要求验收必须合格。</w:t>
            </w:r>
          </w:p>
          <w:p>
            <w:pPr>
              <w:spacing w:line="340" w:lineRule="exact"/>
              <w:rPr>
                <w:bCs/>
                <w:szCs w:val="21"/>
              </w:rPr>
            </w:pPr>
            <w:r>
              <w:rPr>
                <w:rFonts w:hint="eastAsia"/>
                <w:bCs/>
                <w:szCs w:val="21"/>
              </w:rPr>
              <w:t>（5）投标人提供的各种文件载明的内容必须真实，其技术数据采购人有权要求投标人无偿提供采购人认可的第三方按照双方同意的试验方法进行检测。检测结果必须证明投标人提供的技术数据是真实的，否则视为不合格。</w:t>
            </w:r>
          </w:p>
          <w:p>
            <w:pPr>
              <w:spacing w:line="340" w:lineRule="exact"/>
              <w:rPr>
                <w:bCs/>
                <w:szCs w:val="21"/>
              </w:rPr>
            </w:pPr>
            <w:r>
              <w:rPr>
                <w:rFonts w:hint="eastAsia"/>
                <w:bCs/>
                <w:szCs w:val="21"/>
              </w:rPr>
              <w:t>（6）货物具备产品合格证。</w:t>
            </w:r>
          </w:p>
          <w:p>
            <w:pPr>
              <w:spacing w:line="340" w:lineRule="exact"/>
              <w:rPr>
                <w:bCs/>
                <w:szCs w:val="21"/>
              </w:rPr>
            </w:pPr>
            <w:r>
              <w:rPr>
                <w:rFonts w:hint="eastAsia"/>
                <w:bCs/>
                <w:szCs w:val="21"/>
              </w:rPr>
              <w:t>（7）在货物安装调试合格后，所有技术指标达到技术规范书要求，经验收合格后，双方共同签署验收报告。</w:t>
            </w:r>
          </w:p>
        </w:tc>
        <w:tc>
          <w:tcPr>
            <w:tcW w:w="884" w:type="dxa"/>
          </w:tcPr>
          <w:p>
            <w:pPr>
              <w:spacing w:line="340" w:lineRule="exact"/>
              <w:rPr>
                <w:rFonts w:hint="eastAsia"/>
                <w:bCs/>
                <w:szCs w:val="21"/>
              </w:rPr>
            </w:pPr>
          </w:p>
        </w:tc>
        <w:tc>
          <w:tcPr>
            <w:tcW w:w="680" w:type="dxa"/>
          </w:tcPr>
          <w:p>
            <w:pPr>
              <w:spacing w:line="340" w:lineRule="exact"/>
              <w:rPr>
                <w:rFonts w:hint="eastAsia"/>
                <w:bCs/>
                <w:szCs w:val="21"/>
              </w:rPr>
            </w:pPr>
          </w:p>
        </w:tc>
        <w:tc>
          <w:tcPr>
            <w:tcW w:w="0" w:type="auto"/>
          </w:tcPr>
          <w:p>
            <w:pPr>
              <w:spacing w:line="340" w:lineRule="exact"/>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restart"/>
            <w:vAlign w:val="center"/>
          </w:tcPr>
          <w:p>
            <w:pPr>
              <w:jc w:val="center"/>
              <w:rPr>
                <w:bCs/>
              </w:rPr>
            </w:pPr>
            <w:r>
              <w:rPr>
                <w:rFonts w:hint="eastAsia"/>
                <w:bCs/>
              </w:rPr>
              <w:t>3</w:t>
            </w:r>
          </w:p>
        </w:tc>
        <w:tc>
          <w:tcPr>
            <w:tcW w:w="797" w:type="dxa"/>
            <w:vMerge w:val="restart"/>
            <w:vAlign w:val="center"/>
          </w:tcPr>
          <w:p>
            <w:pPr>
              <w:jc w:val="center"/>
            </w:pPr>
            <w:r>
              <w:rPr>
                <w:rFonts w:hint="eastAsia"/>
              </w:rPr>
              <w:t>关于违约</w:t>
            </w:r>
          </w:p>
        </w:tc>
        <w:tc>
          <w:tcPr>
            <w:tcW w:w="5147" w:type="dxa"/>
          </w:tcPr>
          <w:p>
            <w:pPr>
              <w:rPr>
                <w:b/>
              </w:rPr>
            </w:pPr>
            <w:r>
              <w:rPr>
                <w:rFonts w:hint="eastAsia"/>
                <w:b/>
              </w:rPr>
              <w:t>3.1</w:t>
            </w:r>
            <w:r>
              <w:rPr>
                <w:rFonts w:hint="eastAsia" w:ascii="宋体" w:hAnsi="宋体"/>
                <w:bCs/>
                <w:kern w:val="0"/>
                <w:szCs w:val="21"/>
              </w:rPr>
              <w:t>如投标人未按照投标文件中承诺的时间交货或提供服务，投标人应承担延期交货和延期服务的违约责任，并赔偿采购人因此造成的实际经济损失。实际经济损失超出履约保证金额，采购人有权终止合同。</w:t>
            </w:r>
          </w:p>
        </w:tc>
        <w:tc>
          <w:tcPr>
            <w:tcW w:w="884" w:type="dxa"/>
          </w:tcPr>
          <w:p>
            <w:pPr>
              <w:rPr>
                <w:rFonts w:hint="eastAsia"/>
                <w:b/>
              </w:rPr>
            </w:pPr>
          </w:p>
        </w:tc>
        <w:tc>
          <w:tcPr>
            <w:tcW w:w="680" w:type="dxa"/>
          </w:tcPr>
          <w:p>
            <w:pPr>
              <w:rPr>
                <w:rFonts w:hint="eastAsia"/>
                <w:b/>
              </w:rPr>
            </w:pPr>
          </w:p>
        </w:tc>
        <w:tc>
          <w:tcPr>
            <w:tcW w:w="0" w:type="auto"/>
          </w:tcPr>
          <w:p>
            <w:pP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b/>
                <w:color w:val="FF0000"/>
              </w:rPr>
            </w:pPr>
            <w:r>
              <w:rPr>
                <w:rFonts w:hint="eastAsia"/>
                <w:b/>
              </w:rPr>
              <w:t>3.2</w:t>
            </w:r>
            <w:r>
              <w:rPr>
                <w:rFonts w:hint="eastAsia" w:ascii="宋体" w:hAnsi="宋体"/>
                <w:bCs/>
                <w:kern w:val="0"/>
                <w:szCs w:val="21"/>
              </w:rPr>
              <w:t>投标人所交设备的品种、型号、规格、质量、功能、技术参数等方面不能实质性满足招标文件要约的，采购人有权拒绝收货，投标人向采购人偿付项目采购金额千分之</w:t>
            </w:r>
            <w:r>
              <w:rPr>
                <w:rFonts w:hint="eastAsia" w:ascii="宋体" w:hAnsi="宋体"/>
                <w:bCs/>
                <w:kern w:val="0"/>
                <w:szCs w:val="21"/>
                <w:u w:val="single"/>
              </w:rPr>
              <w:t xml:space="preserve">  十</w:t>
            </w:r>
            <w:r>
              <w:rPr>
                <w:rFonts w:hint="eastAsia" w:ascii="宋体" w:hAnsi="宋体"/>
                <w:bCs/>
                <w:kern w:val="0"/>
                <w:szCs w:val="21"/>
              </w:rPr>
              <w:t>（千分之十以上千分之二十以下）的违约金；造成严重后果的，根据《</w:t>
            </w:r>
            <w:r>
              <w:rPr>
                <w:rFonts w:ascii="宋体" w:hAnsi="宋体"/>
                <w:bCs/>
                <w:kern w:val="0"/>
                <w:szCs w:val="21"/>
              </w:rPr>
              <w:t>深圳经济特区政府采购条例</w:t>
            </w:r>
            <w:r>
              <w:rPr>
                <w:rFonts w:hint="eastAsia" w:ascii="宋体" w:hAnsi="宋体"/>
                <w:bCs/>
                <w:kern w:val="0"/>
                <w:szCs w:val="21"/>
              </w:rPr>
              <w:t>》第五十七条第（二）款规定，由主管部门对中标人进行处罚。</w:t>
            </w:r>
          </w:p>
        </w:tc>
        <w:tc>
          <w:tcPr>
            <w:tcW w:w="884" w:type="dxa"/>
          </w:tcPr>
          <w:p>
            <w:pPr>
              <w:rPr>
                <w:rFonts w:hint="eastAsia"/>
                <w:b/>
              </w:rPr>
            </w:pPr>
          </w:p>
        </w:tc>
        <w:tc>
          <w:tcPr>
            <w:tcW w:w="680" w:type="dxa"/>
          </w:tcPr>
          <w:p>
            <w:pPr>
              <w:rPr>
                <w:rFonts w:hint="eastAsia"/>
                <w:b/>
              </w:rPr>
            </w:pPr>
          </w:p>
        </w:tc>
        <w:tc>
          <w:tcPr>
            <w:tcW w:w="0" w:type="auto"/>
          </w:tcPr>
          <w:p>
            <w:pP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bCs/>
              </w:rPr>
            </w:pPr>
            <w:r>
              <w:rPr>
                <w:rFonts w:hint="eastAsia"/>
                <w:bCs/>
              </w:rPr>
              <w:t>3.3</w:t>
            </w:r>
            <w:r>
              <w:rPr>
                <w:rFonts w:hint="eastAsia" w:ascii="宋体" w:hAnsi="宋体"/>
                <w:bCs/>
                <w:kern w:val="0"/>
                <w:szCs w:val="21"/>
              </w:rPr>
              <w:t>投标人不能交付设备的，投标人向采购人偿付项目采购金额千分之</w:t>
            </w:r>
            <w:r>
              <w:rPr>
                <w:rFonts w:hint="eastAsia" w:ascii="宋体" w:hAnsi="宋体"/>
                <w:bCs/>
                <w:kern w:val="0"/>
                <w:szCs w:val="21"/>
                <w:u w:val="single"/>
              </w:rPr>
              <w:t xml:space="preserve">  十  </w:t>
            </w:r>
            <w:r>
              <w:rPr>
                <w:rFonts w:hint="eastAsia" w:ascii="宋体" w:hAnsi="宋体"/>
                <w:bCs/>
                <w:kern w:val="0"/>
                <w:szCs w:val="21"/>
              </w:rPr>
              <w:t>（千分之十以上千分之二十以下）的违约金；造成严重后果的，根据《</w:t>
            </w:r>
            <w:r>
              <w:rPr>
                <w:rFonts w:ascii="宋体" w:hAnsi="宋体"/>
                <w:bCs/>
                <w:kern w:val="0"/>
                <w:szCs w:val="21"/>
              </w:rPr>
              <w:t>深圳经济特区政府采购条例</w:t>
            </w:r>
            <w:r>
              <w:rPr>
                <w:rFonts w:hint="eastAsia" w:ascii="宋体" w:hAnsi="宋体"/>
                <w:bCs/>
                <w:kern w:val="0"/>
                <w:szCs w:val="21"/>
              </w:rPr>
              <w:t>》第五十七条第（二）款规定，由主管部门对中标人进行处罚。</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bCs/>
              </w:rPr>
            </w:pPr>
            <w:r>
              <w:rPr>
                <w:rFonts w:hint="eastAsia"/>
                <w:bCs/>
              </w:rPr>
              <w:t>3.4</w:t>
            </w:r>
            <w:r>
              <w:rPr>
                <w:rFonts w:hint="eastAsia" w:ascii="宋体" w:hAnsi="宋体"/>
                <w:bCs/>
                <w:kern w:val="0"/>
                <w:szCs w:val="21"/>
              </w:rPr>
              <w:t>投标人逾期未交设备的，投标人向采购人每日偿付设备款千分之</w:t>
            </w:r>
            <w:r>
              <w:rPr>
                <w:rFonts w:hint="eastAsia" w:ascii="宋体" w:hAnsi="宋体"/>
                <w:bCs/>
                <w:kern w:val="0"/>
                <w:szCs w:val="21"/>
                <w:u w:val="single"/>
              </w:rPr>
              <w:t xml:space="preserve"> 十  </w:t>
            </w:r>
            <w:r>
              <w:rPr>
                <w:rFonts w:hint="eastAsia" w:ascii="宋体" w:hAnsi="宋体"/>
                <w:bCs/>
                <w:kern w:val="0"/>
                <w:szCs w:val="21"/>
              </w:rPr>
              <w:t>（千分之十以上千分之二十以下）的违约金。</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rFonts w:ascii="宋体" w:hAnsi="宋体"/>
                <w:bCs/>
                <w:kern w:val="0"/>
                <w:szCs w:val="21"/>
              </w:rPr>
            </w:pPr>
            <w:r>
              <w:rPr>
                <w:rFonts w:hint="eastAsia" w:ascii="宋体" w:hAnsi="宋体"/>
                <w:bCs/>
                <w:kern w:val="0"/>
                <w:szCs w:val="21"/>
              </w:rPr>
              <w:t>3.5违约金先从由投标人履约保证金中扣除，若有不足部分则由中标人补齐。</w:t>
            </w:r>
          </w:p>
        </w:tc>
        <w:tc>
          <w:tcPr>
            <w:tcW w:w="884" w:type="dxa"/>
          </w:tcPr>
          <w:p>
            <w:pPr>
              <w:rPr>
                <w:rFonts w:hint="eastAsia" w:ascii="宋体" w:hAnsi="宋体"/>
                <w:bCs/>
                <w:kern w:val="0"/>
                <w:szCs w:val="21"/>
              </w:rPr>
            </w:pPr>
          </w:p>
        </w:tc>
        <w:tc>
          <w:tcPr>
            <w:tcW w:w="680" w:type="dxa"/>
          </w:tcPr>
          <w:p>
            <w:pPr>
              <w:rPr>
                <w:rFonts w:hint="eastAsia" w:ascii="宋体" w:hAnsi="宋体"/>
                <w:bCs/>
                <w:kern w:val="0"/>
                <w:szCs w:val="21"/>
              </w:rPr>
            </w:pPr>
          </w:p>
        </w:tc>
        <w:tc>
          <w:tcPr>
            <w:tcW w:w="0" w:type="auto"/>
          </w:tcPr>
          <w:p>
            <w:pPr>
              <w:rPr>
                <w:rFonts w:hint="eastAsia"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bCs/>
              </w:rPr>
            </w:pPr>
            <w:r>
              <w:rPr>
                <w:rFonts w:hint="eastAsia"/>
                <w:bCs/>
              </w:rPr>
              <w:t>3.6中标人逾期交货的，将被没收履约保证金并按主管部门相关规定处理。</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jc w:val="center"/>
              <w:rPr>
                <w:bCs/>
              </w:rPr>
            </w:pPr>
          </w:p>
        </w:tc>
        <w:tc>
          <w:tcPr>
            <w:tcW w:w="797" w:type="dxa"/>
            <w:vMerge w:val="continue"/>
            <w:vAlign w:val="center"/>
          </w:tcPr>
          <w:p>
            <w:pPr>
              <w:jc w:val="center"/>
            </w:pPr>
          </w:p>
        </w:tc>
        <w:tc>
          <w:tcPr>
            <w:tcW w:w="5147" w:type="dxa"/>
          </w:tcPr>
          <w:p>
            <w:pPr>
              <w:rPr>
                <w:bCs/>
              </w:rPr>
            </w:pPr>
            <w:r>
              <w:rPr>
                <w:rFonts w:hint="eastAsia"/>
                <w:bCs/>
              </w:rPr>
              <w:t>3.7中标人所交付产品、工程或服务不符合其投标承诺的，或在投标阶段为了中标而盲目虚假承诺、低价恶性竞争，在履约阶段则通过偷工减料、以次充好而获取利润的，将被没收履约保证金，并被履约评价工作实施机构评为履约等级“差”并按主管部门相关规定处理。</w:t>
            </w:r>
          </w:p>
        </w:tc>
        <w:tc>
          <w:tcPr>
            <w:tcW w:w="884" w:type="dxa"/>
          </w:tcPr>
          <w:p>
            <w:pPr>
              <w:rPr>
                <w:rFonts w:hint="eastAsia"/>
                <w:bCs/>
              </w:rPr>
            </w:pPr>
          </w:p>
        </w:tc>
        <w:tc>
          <w:tcPr>
            <w:tcW w:w="680" w:type="dxa"/>
          </w:tcPr>
          <w:p>
            <w:pPr>
              <w:rPr>
                <w:rFonts w:hint="eastAsia"/>
                <w:bCs/>
              </w:rPr>
            </w:pPr>
          </w:p>
        </w:tc>
        <w:tc>
          <w:tcPr>
            <w:tcW w:w="0" w:type="auto"/>
          </w:tcPr>
          <w:p>
            <w:pPr>
              <w:rPr>
                <w:rFonts w:hint="eastAsia"/>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Align w:val="center"/>
          </w:tcPr>
          <w:p>
            <w:pPr>
              <w:jc w:val="center"/>
              <w:rPr>
                <w:bCs/>
              </w:rPr>
            </w:pPr>
            <w:r>
              <w:rPr>
                <w:rFonts w:hint="eastAsia"/>
                <w:bCs/>
              </w:rPr>
              <w:t>4</w:t>
            </w:r>
          </w:p>
        </w:tc>
        <w:tc>
          <w:tcPr>
            <w:tcW w:w="797" w:type="dxa"/>
            <w:vAlign w:val="center"/>
          </w:tcPr>
          <w:p>
            <w:pPr>
              <w:jc w:val="center"/>
            </w:pPr>
            <w:r>
              <w:rPr>
                <w:rFonts w:hint="eastAsia"/>
              </w:rPr>
              <w:t>关于付款</w:t>
            </w:r>
          </w:p>
        </w:tc>
        <w:tc>
          <w:tcPr>
            <w:tcW w:w="5147" w:type="dxa"/>
          </w:tcPr>
          <w:p>
            <w:pPr>
              <w:rPr>
                <w:b/>
              </w:rPr>
            </w:pPr>
            <w:r>
              <w:rPr>
                <w:rFonts w:hint="eastAsia"/>
                <w:bCs/>
                <w:szCs w:val="21"/>
              </w:rPr>
              <w:t>合同签订后，在设备安装完成经采购人验收合格后，中标人提供全额合法有效发票后，采购人在</w:t>
            </w:r>
            <w:r>
              <w:rPr>
                <w:rFonts w:hint="eastAsia"/>
                <w:bCs/>
                <w:szCs w:val="21"/>
                <w:u w:val="single"/>
              </w:rPr>
              <w:t>30</w:t>
            </w:r>
            <w:r>
              <w:rPr>
                <w:rFonts w:hint="eastAsia"/>
                <w:bCs/>
                <w:szCs w:val="21"/>
              </w:rPr>
              <w:t>工作日内付中标人全额货款，采购人因财政审批导致迟延付款的，不视为甲方违约，中标人仍应按照本合同约定履行义务。</w:t>
            </w:r>
          </w:p>
        </w:tc>
        <w:tc>
          <w:tcPr>
            <w:tcW w:w="884" w:type="dxa"/>
          </w:tcPr>
          <w:p>
            <w:pPr>
              <w:rPr>
                <w:rFonts w:hint="eastAsia"/>
                <w:bCs/>
                <w:szCs w:val="21"/>
              </w:rPr>
            </w:pPr>
          </w:p>
        </w:tc>
        <w:tc>
          <w:tcPr>
            <w:tcW w:w="680" w:type="dxa"/>
          </w:tcPr>
          <w:p>
            <w:pPr>
              <w:rPr>
                <w:rFonts w:hint="eastAsia"/>
                <w:bCs/>
                <w:szCs w:val="21"/>
              </w:rPr>
            </w:pPr>
          </w:p>
        </w:tc>
        <w:tc>
          <w:tcPr>
            <w:tcW w:w="0" w:type="auto"/>
          </w:tcPr>
          <w:p>
            <w:pPr>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Align w:val="center"/>
          </w:tcPr>
          <w:p>
            <w:pPr>
              <w:jc w:val="center"/>
              <w:rPr>
                <w:bCs/>
              </w:rPr>
            </w:pPr>
            <w:r>
              <w:rPr>
                <w:rFonts w:hint="eastAsia"/>
                <w:bCs/>
              </w:rPr>
              <w:t>5</w:t>
            </w:r>
          </w:p>
        </w:tc>
        <w:tc>
          <w:tcPr>
            <w:tcW w:w="797" w:type="dxa"/>
            <w:vAlign w:val="center"/>
          </w:tcPr>
          <w:p>
            <w:pPr>
              <w:jc w:val="center"/>
            </w:pPr>
            <w:r>
              <w:rPr>
                <w:rFonts w:hint="eastAsia"/>
              </w:rPr>
              <w:t>报价要求</w:t>
            </w:r>
          </w:p>
        </w:tc>
        <w:tc>
          <w:tcPr>
            <w:tcW w:w="5147" w:type="dxa"/>
          </w:tcPr>
          <w:p>
            <w:pPr>
              <w:ind w:firstLine="420" w:firstLineChars="200"/>
              <w:rPr>
                <w:bCs/>
                <w:szCs w:val="21"/>
              </w:rPr>
            </w:pPr>
            <w:r>
              <w:rPr>
                <w:rFonts w:hint="eastAsia"/>
                <w:bCs/>
                <w:szCs w:val="21"/>
              </w:rPr>
              <w:t xml:space="preserve">投标总价必须是完成该项目的一切费用总和，包括设备费、运输费、装卸费、保险费、技术培训费、设备安装费、调试费、售后服务费、国家规定的各项税费等全部费用； </w:t>
            </w:r>
          </w:p>
        </w:tc>
        <w:tc>
          <w:tcPr>
            <w:tcW w:w="884" w:type="dxa"/>
          </w:tcPr>
          <w:p>
            <w:pPr>
              <w:ind w:firstLine="420" w:firstLineChars="200"/>
              <w:rPr>
                <w:rFonts w:hint="eastAsia"/>
                <w:bCs/>
                <w:szCs w:val="21"/>
              </w:rPr>
            </w:pPr>
          </w:p>
        </w:tc>
        <w:tc>
          <w:tcPr>
            <w:tcW w:w="680" w:type="dxa"/>
          </w:tcPr>
          <w:p>
            <w:pPr>
              <w:ind w:firstLine="420" w:firstLineChars="200"/>
              <w:rPr>
                <w:rFonts w:hint="eastAsia"/>
                <w:bCs/>
                <w:szCs w:val="21"/>
              </w:rPr>
            </w:pPr>
          </w:p>
        </w:tc>
        <w:tc>
          <w:tcPr>
            <w:tcW w:w="0" w:type="auto"/>
          </w:tcPr>
          <w:p>
            <w:pPr>
              <w:ind w:firstLine="420" w:firstLineChars="200"/>
              <w:rPr>
                <w:rFonts w:hint="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restart"/>
            <w:vAlign w:val="center"/>
          </w:tcPr>
          <w:p>
            <w:pPr>
              <w:jc w:val="center"/>
              <w:rPr>
                <w:b/>
                <w:color w:val="FF0000"/>
              </w:rPr>
            </w:pPr>
            <w:r>
              <w:rPr>
                <w:b/>
                <w:color w:val="FF0000"/>
              </w:rPr>
              <w:t>6</w:t>
            </w:r>
          </w:p>
        </w:tc>
        <w:tc>
          <w:tcPr>
            <w:tcW w:w="797" w:type="dxa"/>
            <w:vMerge w:val="restart"/>
            <w:vAlign w:val="center"/>
          </w:tcPr>
          <w:p>
            <w:pPr>
              <w:jc w:val="center"/>
              <w:rPr>
                <w:b/>
                <w:color w:val="FF0000"/>
              </w:rPr>
            </w:pPr>
            <w:r>
              <w:rPr>
                <w:rFonts w:hint="eastAsia"/>
                <w:b/>
                <w:color w:val="FF0000"/>
              </w:rPr>
              <w:t>项目（产品）要求</w:t>
            </w:r>
          </w:p>
        </w:tc>
        <w:tc>
          <w:tcPr>
            <w:tcW w:w="5147" w:type="dxa"/>
          </w:tcPr>
          <w:p>
            <w:pPr>
              <w:rPr>
                <w:b/>
                <w:color w:val="FF0000"/>
              </w:rPr>
            </w:pPr>
            <w:r>
              <w:rPr>
                <w:rFonts w:hint="eastAsia"/>
                <w:b/>
                <w:color w:val="FF0000"/>
              </w:rPr>
              <w:t>★</w:t>
            </w:r>
            <w:r>
              <w:rPr>
                <w:b/>
                <w:color w:val="FF0000"/>
              </w:rPr>
              <w:t>6</w:t>
            </w:r>
            <w:r>
              <w:rPr>
                <w:rFonts w:hint="eastAsia"/>
                <w:b/>
                <w:color w:val="FF0000"/>
              </w:rPr>
              <w:t>.1若所投产品为进口，则投标人必须提供由设备制造商或授权的中国总代理签署的合法有效的保修、维修承诺函（免费保修期满足招标文件要求）扫描件，原件备查；若所投产品为国产产品，则无需提供。</w:t>
            </w:r>
          </w:p>
        </w:tc>
        <w:tc>
          <w:tcPr>
            <w:tcW w:w="884" w:type="dxa"/>
          </w:tcPr>
          <w:p>
            <w:pPr>
              <w:rPr>
                <w:rFonts w:hint="eastAsia"/>
                <w:b/>
                <w:color w:val="FF0000"/>
              </w:rPr>
            </w:pPr>
          </w:p>
        </w:tc>
        <w:tc>
          <w:tcPr>
            <w:tcW w:w="680" w:type="dxa"/>
          </w:tcPr>
          <w:p>
            <w:pPr>
              <w:rPr>
                <w:rFonts w:hint="eastAsia"/>
                <w:b/>
                <w:color w:val="FF0000"/>
              </w:rPr>
            </w:pPr>
          </w:p>
        </w:tc>
        <w:tc>
          <w:tcPr>
            <w:tcW w:w="0" w:type="auto"/>
          </w:tcPr>
          <w:p>
            <w:pPr>
              <w:rPr>
                <w:rFonts w:hint="eastAsia"/>
                <w:b/>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vMerge w:val="continue"/>
            <w:vAlign w:val="center"/>
          </w:tcPr>
          <w:p>
            <w:pPr>
              <w:rPr>
                <w:b/>
                <w:color w:val="FF0000"/>
              </w:rPr>
            </w:pPr>
          </w:p>
        </w:tc>
        <w:tc>
          <w:tcPr>
            <w:tcW w:w="797" w:type="dxa"/>
            <w:vMerge w:val="continue"/>
          </w:tcPr>
          <w:p>
            <w:pPr>
              <w:rPr>
                <w:b/>
                <w:color w:val="FF0000"/>
              </w:rPr>
            </w:pPr>
          </w:p>
        </w:tc>
        <w:tc>
          <w:tcPr>
            <w:tcW w:w="5147" w:type="dxa"/>
          </w:tcPr>
          <w:p>
            <w:pPr>
              <w:rPr>
                <w:b/>
                <w:color w:val="FF0000"/>
              </w:rPr>
            </w:pPr>
            <w:r>
              <w:rPr>
                <w:rFonts w:hint="eastAsia"/>
                <w:b/>
                <w:color w:val="FF0000"/>
              </w:rPr>
              <w:t>★</w:t>
            </w:r>
            <w:r>
              <w:rPr>
                <w:b/>
                <w:color w:val="FF0000"/>
              </w:rPr>
              <w:t>6.2</w:t>
            </w:r>
            <w:r>
              <w:rPr>
                <w:rFonts w:hint="eastAsia"/>
                <w:b/>
                <w:color w:val="FF0000"/>
              </w:rPr>
              <w:t>投标人所投产品具备相关主管部门要求的认证资料：所投产品为第一类医疗器械的，提供食品药品监督管理部门签发的有效的《医疗器械备案凭证》扫描件，原件备查；所投产品为第二、三类医疗器械的，提供食品药品监督管理部门签发的涵盖所投产品的《医疗器械注册证》(有效期内)扫描件，原件备查。</w:t>
            </w:r>
          </w:p>
        </w:tc>
        <w:tc>
          <w:tcPr>
            <w:tcW w:w="884" w:type="dxa"/>
          </w:tcPr>
          <w:p>
            <w:pPr>
              <w:rPr>
                <w:rFonts w:hint="eastAsia"/>
                <w:b/>
                <w:color w:val="FF0000"/>
              </w:rPr>
            </w:pPr>
          </w:p>
        </w:tc>
        <w:tc>
          <w:tcPr>
            <w:tcW w:w="680" w:type="dxa"/>
          </w:tcPr>
          <w:p>
            <w:pPr>
              <w:rPr>
                <w:rFonts w:hint="eastAsia"/>
                <w:b/>
                <w:color w:val="FF0000"/>
              </w:rPr>
            </w:pPr>
          </w:p>
        </w:tc>
        <w:tc>
          <w:tcPr>
            <w:tcW w:w="0" w:type="auto"/>
          </w:tcPr>
          <w:p>
            <w:pPr>
              <w:rPr>
                <w:rFonts w:hint="eastAsia"/>
                <w:b/>
                <w:color w:val="FF0000"/>
              </w:rPr>
            </w:pPr>
          </w:p>
        </w:tc>
      </w:tr>
    </w:tbl>
    <w:p>
      <w:pPr>
        <w:ind w:firstLine="482" w:firstLineChars="200"/>
        <w:rPr>
          <w:b/>
          <w:sz w:val="24"/>
        </w:rPr>
      </w:pPr>
      <w:r>
        <w:rPr>
          <w:rFonts w:hint="eastAsia"/>
          <w:b/>
          <w:sz w:val="24"/>
        </w:rPr>
        <w:t>《商务要求偏离表》编制指引：</w:t>
      </w:r>
    </w:p>
    <w:p>
      <w:pPr>
        <w:ind w:firstLine="482" w:firstLineChars="200"/>
        <w:rPr>
          <w:b/>
          <w:sz w:val="24"/>
        </w:rPr>
      </w:pPr>
      <w:r>
        <w:rPr>
          <w:rFonts w:hint="eastAsia"/>
          <w:b/>
          <w:sz w:val="24"/>
        </w:rPr>
        <w:t>1、商务要求偏离表的序号、商务需求项、招标商务要求等栏目对应“招标项目需求”中的“商务需求”章节相关内容。</w:t>
      </w:r>
    </w:p>
    <w:p>
      <w:pPr>
        <w:ind w:firstLine="482" w:firstLineChars="200"/>
        <w:rPr>
          <w:b/>
          <w:sz w:val="24"/>
        </w:rPr>
      </w:pPr>
      <w:r>
        <w:rPr>
          <w:b/>
          <w:sz w:val="24"/>
        </w:rPr>
        <w:t>2</w:t>
      </w:r>
      <w:r>
        <w:rPr>
          <w:rFonts w:hint="eastAsia"/>
          <w:b/>
          <w:sz w:val="24"/>
        </w:rPr>
        <w:t>、“投标商务响应”一栏必须一一对照“招标商务要求”，详细填写自身响应情况，而不能不合理照搬照抄招标文件的商务要求，以体现具体响应情况。</w:t>
      </w:r>
    </w:p>
    <w:p>
      <w:pPr>
        <w:ind w:firstLine="482" w:firstLineChars="200"/>
        <w:rPr>
          <w:color w:val="FF0000"/>
          <w:sz w:val="24"/>
        </w:rPr>
      </w:pPr>
      <w:r>
        <w:rPr>
          <w:b/>
          <w:sz w:val="24"/>
        </w:rPr>
        <w:t>3</w:t>
      </w:r>
      <w:r>
        <w:rPr>
          <w:rFonts w:hint="eastAsia"/>
          <w:b/>
          <w:sz w:val="24"/>
        </w:rPr>
        <w:t>、“偏离情况”一栏填写如实填写“正偏离”、“负偏离”或“无偏离”，其中：“正偏离”表示“投标响应优于招标商务要求”，“负偏离”表示“投标响应不满足招标商务要求”，“无偏离”表示“投标响应与招标商务要求一致”。</w:t>
      </w:r>
    </w:p>
    <w:p>
      <w:pPr>
        <w:rPr>
          <w:sz w:val="24"/>
        </w:rPr>
      </w:pPr>
      <w:r>
        <w:rPr>
          <w:rFonts w:hint="eastAsia"/>
          <w:b/>
          <w:sz w:val="24"/>
        </w:rPr>
        <w:t>“投标商务响应”对比“招标商务要求”存在响应不全（包括未响应整项招标商务要求或者未响应一项招标商务要求的部分内容），均视为“负偏离”。</w:t>
      </w:r>
    </w:p>
    <w:p>
      <w:pPr>
        <w:rPr>
          <w:sz w:val="24"/>
        </w:rPr>
      </w:pPr>
    </w:p>
    <w:p>
      <w:pPr>
        <w:keepNext/>
        <w:keepLines/>
        <w:spacing w:before="260" w:after="260"/>
        <w:jc w:val="center"/>
        <w:outlineLvl w:val="2"/>
        <w:rPr>
          <w:rFonts w:ascii="黑体" w:hAnsi="宋体" w:eastAsia="黑体"/>
          <w:bCs/>
          <w:sz w:val="24"/>
        </w:rPr>
      </w:pPr>
      <w:bookmarkStart w:id="68" w:name="_Hlk72260576"/>
      <w:r>
        <w:rPr>
          <w:rFonts w:hint="eastAsia" w:ascii="黑体" w:hAnsi="宋体" w:eastAsia="黑体"/>
          <w:bCs/>
          <w:sz w:val="24"/>
        </w:rPr>
        <w:t>六、项目实施方案</w:t>
      </w:r>
    </w:p>
    <w:p>
      <w:pPr>
        <w:rPr>
          <w:sz w:val="24"/>
        </w:rPr>
      </w:pPr>
      <w:r>
        <w:rPr>
          <w:rFonts w:hint="eastAsia"/>
          <w:sz w:val="24"/>
        </w:rPr>
        <w:t>主要内容应包括</w:t>
      </w:r>
      <w:r>
        <w:rPr>
          <w:rFonts w:hint="eastAsia"/>
          <w:color w:val="FF0000"/>
          <w:sz w:val="24"/>
        </w:rPr>
        <w:t>(根据项目实际情况适当调整内容)</w:t>
      </w:r>
      <w:r>
        <w:rPr>
          <w:rFonts w:hint="eastAsia"/>
          <w:sz w:val="24"/>
        </w:rPr>
        <w:t>：</w:t>
      </w:r>
    </w:p>
    <w:p>
      <w:pPr>
        <w:rPr>
          <w:sz w:val="24"/>
        </w:rPr>
      </w:pPr>
    </w:p>
    <w:p>
      <w:pPr>
        <w:rPr>
          <w:sz w:val="24"/>
        </w:rPr>
      </w:pPr>
      <w:r>
        <w:rPr>
          <w:rFonts w:hint="eastAsia"/>
          <w:sz w:val="24"/>
        </w:rPr>
        <w:t>1、项目实施方案、维修维护方案</w:t>
      </w:r>
    </w:p>
    <w:p>
      <w:pPr>
        <w:rPr>
          <w:sz w:val="24"/>
        </w:rPr>
      </w:pPr>
      <w:r>
        <w:rPr>
          <w:sz w:val="24"/>
        </w:rPr>
        <w:t>2</w:t>
      </w:r>
      <w:r>
        <w:rPr>
          <w:rFonts w:hint="eastAsia"/>
          <w:sz w:val="24"/>
        </w:rPr>
        <w:t>、其他相关配套措施</w:t>
      </w:r>
    </w:p>
    <w:p>
      <w:pPr>
        <w:rPr>
          <w:sz w:val="24"/>
        </w:rPr>
      </w:pPr>
      <w:r>
        <w:rPr>
          <w:rFonts w:hint="eastAsia"/>
          <w:sz w:val="24"/>
        </w:rPr>
        <w:t>3、实施进度表</w:t>
      </w:r>
    </w:p>
    <w:p>
      <w:pPr>
        <w:rPr>
          <w:b/>
          <w:bCs/>
          <w:color w:val="FF0000"/>
          <w:sz w:val="24"/>
        </w:rPr>
      </w:pPr>
      <w:r>
        <w:rPr>
          <w:rFonts w:hint="eastAsia"/>
          <w:b/>
          <w:bCs/>
          <w:color w:val="FF0000"/>
          <w:sz w:val="24"/>
        </w:rPr>
        <w:t>（备注：该部分须与投标文件其他部分内容应当相呼应，不得前后矛盾。）</w:t>
      </w:r>
    </w:p>
    <w:p>
      <w:pPr>
        <w:rPr>
          <w:b/>
          <w:bCs/>
          <w:sz w:val="24"/>
        </w:rPr>
      </w:pPr>
    </w:p>
    <w:p>
      <w:pPr>
        <w:keepNext/>
        <w:keepLines/>
        <w:spacing w:before="260" w:after="260"/>
        <w:jc w:val="center"/>
        <w:outlineLvl w:val="2"/>
        <w:rPr>
          <w:rFonts w:ascii="黑体" w:hAnsi="宋体" w:eastAsia="黑体"/>
          <w:sz w:val="24"/>
          <w:szCs w:val="20"/>
        </w:rPr>
      </w:pPr>
      <w:r>
        <w:rPr>
          <w:rFonts w:hint="eastAsia" w:ascii="黑体" w:hAnsi="宋体" w:eastAsia="黑体"/>
          <w:sz w:val="24"/>
          <w:szCs w:val="20"/>
        </w:rPr>
        <w:t>七、</w:t>
      </w:r>
      <w:bookmarkStart w:id="69" w:name="_Hlk72062872"/>
      <w:r>
        <w:rPr>
          <w:rFonts w:hint="eastAsia" w:ascii="黑体" w:hAnsi="宋体" w:eastAsia="黑体"/>
          <w:sz w:val="24"/>
          <w:szCs w:val="20"/>
        </w:rPr>
        <w:t>投标人认为需要加以说明的其他内容</w:t>
      </w:r>
      <w:bookmarkEnd w:id="69"/>
    </w:p>
    <w:bookmarkEnd w:id="68"/>
    <w:p>
      <w:pPr>
        <w:outlineLvl w:val="3"/>
        <w:rPr>
          <w:b/>
          <w:sz w:val="22"/>
        </w:rPr>
      </w:pPr>
      <w:r>
        <w:rPr>
          <w:rFonts w:hint="eastAsia" w:ascii="黑体" w:hAnsi="宋体" w:eastAsia="黑体"/>
          <w:bCs/>
          <w:kern w:val="0"/>
          <w:sz w:val="24"/>
          <w:szCs w:val="32"/>
        </w:rPr>
        <w:t>（一）</w:t>
      </w:r>
      <w:r>
        <w:rPr>
          <w:rFonts w:hint="eastAsia"/>
          <w:b/>
          <w:sz w:val="22"/>
        </w:rPr>
        <w:t>投标人认为需提供的其他证明文件</w:t>
      </w:r>
    </w:p>
    <w:p/>
    <w:p/>
    <w:p/>
    <w:p>
      <w:pPr>
        <w:keepNext/>
        <w:keepLines/>
        <w:adjustRightInd w:val="0"/>
        <w:spacing w:before="260" w:after="260"/>
        <w:jc w:val="center"/>
        <w:textAlignment w:val="baseline"/>
        <w:outlineLvl w:val="1"/>
        <w:rPr>
          <w:rFonts w:ascii="宋体" w:hAnsi="宋体"/>
          <w:b/>
          <w:bCs/>
          <w:kern w:val="0"/>
          <w:sz w:val="24"/>
          <w:szCs w:val="20"/>
        </w:rPr>
      </w:pPr>
      <w:r>
        <w:rPr>
          <w:rFonts w:hint="eastAsia" w:ascii="宋体" w:hAnsi="宋体"/>
          <w:b/>
          <w:bCs/>
          <w:kern w:val="0"/>
          <w:sz w:val="24"/>
          <w:szCs w:val="20"/>
        </w:rPr>
        <w:t>第四章  合同条款及格式</w:t>
      </w:r>
    </w:p>
    <w:p>
      <w:pPr>
        <w:ind w:firstLine="411" w:firstLineChars="196"/>
      </w:pPr>
    </w:p>
    <w:p>
      <w:pPr>
        <w:jc w:val="center"/>
        <w:outlineLvl w:val="0"/>
      </w:pPr>
      <w:bookmarkStart w:id="70" w:name="_Hlk72574405"/>
      <w:bookmarkStart w:id="71" w:name="_Hlk72260917"/>
      <w:r>
        <w:rPr>
          <w:rFonts w:hint="eastAsia"/>
          <w:b/>
          <w:sz w:val="24"/>
        </w:rPr>
        <w:t>（仅供参考，具体以项目需求及采购结果为准）</w:t>
      </w:r>
      <w:bookmarkEnd w:id="70"/>
    </w:p>
    <w:p>
      <w:pPr>
        <w:rPr>
          <w:rFonts w:ascii="宋体" w:hAnsi="宋体"/>
          <w:b/>
          <w:bCs/>
          <w:szCs w:val="21"/>
        </w:rPr>
      </w:pPr>
      <w:r>
        <w:rPr>
          <w:rFonts w:hint="eastAsia" w:ascii="宋体" w:hAnsi="宋体"/>
          <w:b/>
          <w:bCs/>
          <w:szCs w:val="21"/>
        </w:rPr>
        <w:t>甲方：</w:t>
      </w:r>
    </w:p>
    <w:p>
      <w:pPr>
        <w:rPr>
          <w:rFonts w:ascii="宋体" w:hAnsi="宋体"/>
          <w:szCs w:val="21"/>
        </w:rPr>
      </w:pPr>
      <w:bookmarkStart w:id="72" w:name="_Hlk75014453"/>
      <w:r>
        <w:rPr>
          <w:rFonts w:hint="eastAsia" w:ascii="宋体" w:hAnsi="宋体"/>
          <w:szCs w:val="21"/>
        </w:rPr>
        <w:t>地址：</w:t>
      </w:r>
    </w:p>
    <w:p>
      <w:pPr>
        <w:rPr>
          <w:rFonts w:ascii="宋体" w:hAnsi="宋体"/>
          <w:szCs w:val="21"/>
        </w:rPr>
      </w:pPr>
      <w:r>
        <w:rPr>
          <w:rFonts w:hint="eastAsia" w:ascii="宋体" w:hAnsi="宋体"/>
          <w:szCs w:val="21"/>
        </w:rPr>
        <w:t>联系人：</w:t>
      </w:r>
    </w:p>
    <w:p>
      <w:pPr>
        <w:rPr>
          <w:rFonts w:ascii="宋体" w:hAnsi="宋体"/>
          <w:b/>
          <w:bCs/>
          <w:szCs w:val="21"/>
        </w:rPr>
      </w:pPr>
      <w:r>
        <w:rPr>
          <w:rFonts w:hint="eastAsia" w:ascii="宋体" w:hAnsi="宋体"/>
          <w:szCs w:val="21"/>
        </w:rPr>
        <w:t>联系电话：</w:t>
      </w:r>
      <w:bookmarkEnd w:id="72"/>
    </w:p>
    <w:p>
      <w:pPr>
        <w:rPr>
          <w:rFonts w:ascii="宋体" w:hAnsi="宋体"/>
          <w:b/>
          <w:bCs/>
          <w:szCs w:val="21"/>
        </w:rPr>
      </w:pPr>
    </w:p>
    <w:p>
      <w:pPr>
        <w:rPr>
          <w:rFonts w:ascii="宋体" w:hAnsi="宋体"/>
          <w:b/>
          <w:bCs/>
          <w:szCs w:val="21"/>
        </w:rPr>
      </w:pPr>
      <w:r>
        <w:rPr>
          <w:rFonts w:hint="eastAsia" w:ascii="宋体" w:hAnsi="宋体"/>
          <w:b/>
          <w:bCs/>
          <w:szCs w:val="21"/>
        </w:rPr>
        <w:t>乙方：</w:t>
      </w:r>
      <w:bookmarkEnd w:id="71"/>
    </w:p>
    <w:p>
      <w:pPr>
        <w:rPr>
          <w:rFonts w:ascii="宋体" w:hAnsi="宋体"/>
          <w:szCs w:val="21"/>
        </w:rPr>
      </w:pPr>
      <w:r>
        <w:rPr>
          <w:rFonts w:hint="eastAsia" w:ascii="宋体" w:hAnsi="宋体"/>
          <w:szCs w:val="21"/>
        </w:rPr>
        <w:t>地址：</w:t>
      </w:r>
    </w:p>
    <w:p>
      <w:pPr>
        <w:rPr>
          <w:rFonts w:ascii="宋体" w:hAnsi="宋体"/>
          <w:szCs w:val="21"/>
        </w:rPr>
      </w:pPr>
      <w:r>
        <w:rPr>
          <w:rFonts w:hint="eastAsia" w:ascii="宋体" w:hAnsi="宋体"/>
          <w:szCs w:val="21"/>
        </w:rPr>
        <w:t>联系人：</w:t>
      </w:r>
    </w:p>
    <w:p>
      <w:pPr>
        <w:rPr>
          <w:rFonts w:ascii="宋体" w:hAnsi="宋体"/>
          <w:szCs w:val="21"/>
        </w:rPr>
      </w:pPr>
      <w:r>
        <w:rPr>
          <w:rFonts w:hint="eastAsia" w:ascii="宋体" w:hAnsi="宋体"/>
          <w:szCs w:val="21"/>
        </w:rPr>
        <w:t>联系电话：</w:t>
      </w:r>
    </w:p>
    <w:p>
      <w:pPr>
        <w:rPr>
          <w:rFonts w:ascii="宋体" w:hAnsi="宋体"/>
          <w:szCs w:val="21"/>
        </w:rPr>
      </w:pPr>
    </w:p>
    <w:p>
      <w:pPr>
        <w:spacing w:line="360" w:lineRule="auto"/>
        <w:ind w:firstLine="560"/>
        <w:jc w:val="left"/>
        <w:rPr>
          <w:szCs w:val="21"/>
        </w:rPr>
      </w:pPr>
      <w:bookmarkStart w:id="73" w:name="_Hlk72574434"/>
      <w:r>
        <w:rPr>
          <w:rFonts w:hint="eastAsia"/>
          <w:szCs w:val="21"/>
        </w:rPr>
        <w:t>根据深圳公共资源交易中心（深圳交易集团有限公司政府采购业务分公司）号项目结果，</w:t>
      </w:r>
      <w:r>
        <w:rPr>
          <w:rFonts w:hint="eastAsia" w:ascii="宋体" w:hAnsi="宋体"/>
          <w:szCs w:val="21"/>
        </w:rPr>
        <w:t>*</w:t>
      </w:r>
      <w:r>
        <w:rPr>
          <w:rFonts w:ascii="宋体" w:hAnsi="宋体"/>
          <w:szCs w:val="21"/>
        </w:rPr>
        <w:t>**</w:t>
      </w:r>
      <w:r>
        <w:rPr>
          <w:rFonts w:hint="eastAsia" w:ascii="宋体" w:hAnsi="宋体"/>
          <w:szCs w:val="21"/>
        </w:rPr>
        <w:t>单位为中标人</w:t>
      </w:r>
      <w:r>
        <w:rPr>
          <w:rFonts w:hint="eastAsia"/>
          <w:szCs w:val="21"/>
        </w:rPr>
        <w:t>。</w:t>
      </w:r>
      <w:bookmarkEnd w:id="73"/>
      <w:r>
        <w:rPr>
          <w:rFonts w:hint="eastAsia"/>
          <w:szCs w:val="21"/>
        </w:rPr>
        <w:t>按照《中华人民共和国民法典》（第三编 合同）和《深圳经济特区政府采购条例》，经深圳市（以下简称甲方）和单位（以下简称乙方）协商，达成以下合同条款：</w:t>
      </w:r>
    </w:p>
    <w:p>
      <w:pPr>
        <w:spacing w:line="360" w:lineRule="auto"/>
        <w:ind w:firstLine="560"/>
        <w:jc w:val="left"/>
        <w:outlineLvl w:val="0"/>
        <w:rPr>
          <w:b/>
          <w:szCs w:val="21"/>
        </w:rPr>
      </w:pPr>
      <w:r>
        <w:rPr>
          <w:rFonts w:hint="eastAsia"/>
          <w:b/>
          <w:szCs w:val="21"/>
        </w:rPr>
        <w:t>第一条  合同标的</w:t>
      </w:r>
    </w:p>
    <w:p>
      <w:pPr>
        <w:spacing w:line="360" w:lineRule="auto"/>
        <w:ind w:firstLine="560"/>
        <w:jc w:val="left"/>
        <w:rPr>
          <w:szCs w:val="21"/>
        </w:rPr>
      </w:pPr>
      <w:r>
        <w:rPr>
          <w:rFonts w:hint="eastAsia"/>
          <w:szCs w:val="21"/>
        </w:rPr>
        <w:t>乙方根据甲方需求提供下列货物：</w:t>
      </w:r>
    </w:p>
    <w:p>
      <w:pPr>
        <w:spacing w:line="360" w:lineRule="auto"/>
        <w:ind w:firstLine="560"/>
        <w:jc w:val="left"/>
        <w:rPr>
          <w:szCs w:val="21"/>
        </w:rPr>
      </w:pPr>
      <w:r>
        <w:rPr>
          <w:rFonts w:hint="eastAsia"/>
          <w:szCs w:val="21"/>
        </w:rPr>
        <w:t>货物名称、规格及数量详见。</w:t>
      </w:r>
    </w:p>
    <w:p>
      <w:pPr>
        <w:spacing w:line="360" w:lineRule="auto"/>
        <w:ind w:firstLine="560"/>
        <w:jc w:val="left"/>
        <w:outlineLvl w:val="0"/>
        <w:rPr>
          <w:b/>
          <w:szCs w:val="21"/>
        </w:rPr>
      </w:pPr>
      <w:r>
        <w:rPr>
          <w:rFonts w:hint="eastAsia"/>
          <w:b/>
          <w:szCs w:val="21"/>
        </w:rPr>
        <w:t>第二条  合同价款</w:t>
      </w:r>
    </w:p>
    <w:p>
      <w:pPr>
        <w:spacing w:line="360" w:lineRule="auto"/>
        <w:ind w:firstLine="560"/>
        <w:jc w:val="left"/>
        <w:rPr>
          <w:szCs w:val="21"/>
        </w:rPr>
      </w:pPr>
      <w:r>
        <w:rPr>
          <w:rFonts w:hint="eastAsia"/>
          <w:szCs w:val="21"/>
        </w:rPr>
        <w:t>本合同项下总价款为（大写）人民币，分项价款详见。本合同总价款已包括乙方为履行本合同义务所发生的一切费用，系固定不变价格，且不随通货膨胀的影响而波动。</w:t>
      </w:r>
    </w:p>
    <w:p>
      <w:pPr>
        <w:numPr>
          <w:ilvl w:val="0"/>
          <w:numId w:val="10"/>
        </w:numPr>
        <w:spacing w:line="360" w:lineRule="auto"/>
        <w:ind w:firstLine="560"/>
        <w:jc w:val="left"/>
        <w:outlineLvl w:val="0"/>
        <w:rPr>
          <w:b/>
          <w:szCs w:val="21"/>
        </w:rPr>
      </w:pPr>
      <w:r>
        <w:rPr>
          <w:rFonts w:hint="eastAsia"/>
          <w:b/>
          <w:szCs w:val="21"/>
        </w:rPr>
        <w:t>履行期限</w:t>
      </w:r>
    </w:p>
    <w:p>
      <w:pPr>
        <w:spacing w:line="360" w:lineRule="auto"/>
        <w:ind w:firstLine="560"/>
        <w:jc w:val="left"/>
        <w:outlineLvl w:val="0"/>
        <w:rPr>
          <w:b/>
          <w:szCs w:val="21"/>
        </w:rPr>
      </w:pPr>
      <w:r>
        <w:rPr>
          <w:rFonts w:hint="eastAsia"/>
          <w:bCs/>
          <w:szCs w:val="21"/>
        </w:rPr>
        <w:t>乙方应于本合同签订之日其日内将符合要求的产品向甲方交付（含安装调试），但乙方交付前应向书面通知甲方并征得甲方同意。</w:t>
      </w:r>
    </w:p>
    <w:p>
      <w:pPr>
        <w:numPr>
          <w:ilvl w:val="0"/>
          <w:numId w:val="10"/>
        </w:numPr>
        <w:spacing w:line="360" w:lineRule="auto"/>
        <w:ind w:firstLine="560"/>
        <w:jc w:val="left"/>
        <w:outlineLvl w:val="0"/>
        <w:rPr>
          <w:b/>
          <w:szCs w:val="21"/>
        </w:rPr>
      </w:pPr>
      <w:r>
        <w:rPr>
          <w:rFonts w:hint="eastAsia"/>
          <w:b/>
          <w:szCs w:val="21"/>
        </w:rPr>
        <w:t>权利保证</w:t>
      </w:r>
    </w:p>
    <w:p>
      <w:pPr>
        <w:spacing w:line="360" w:lineRule="auto"/>
        <w:ind w:firstLine="560"/>
        <w:jc w:val="left"/>
        <w:rPr>
          <w:rFonts w:ascii="宋体" w:hAnsi="宋体"/>
          <w:szCs w:val="21"/>
        </w:rPr>
      </w:pPr>
      <w:r>
        <w:rPr>
          <w:rFonts w:hint="eastAsia" w:ascii="宋体" w:hAnsi="宋体"/>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pPr>
        <w:spacing w:line="360" w:lineRule="auto"/>
        <w:ind w:firstLine="560"/>
        <w:jc w:val="left"/>
        <w:outlineLvl w:val="0"/>
        <w:rPr>
          <w:b/>
          <w:szCs w:val="21"/>
        </w:rPr>
      </w:pPr>
      <w:r>
        <w:rPr>
          <w:rFonts w:hint="eastAsia"/>
          <w:b/>
          <w:szCs w:val="21"/>
        </w:rPr>
        <w:t>第五条  质量保证</w:t>
      </w:r>
    </w:p>
    <w:p>
      <w:pPr>
        <w:spacing w:line="360" w:lineRule="auto"/>
        <w:ind w:firstLine="560"/>
        <w:jc w:val="left"/>
        <w:rPr>
          <w:rFonts w:ascii="宋体" w:hAnsi="宋体"/>
          <w:szCs w:val="21"/>
        </w:rPr>
      </w:pPr>
      <w:r>
        <w:rPr>
          <w:rFonts w:hint="eastAsia" w:ascii="宋体" w:hAnsi="宋体"/>
          <w:szCs w:val="21"/>
        </w:rPr>
        <w:t>1、乙方所提供的货物的技术规格符合招标文件规定的技术规格，货物符合中华人民共和国的设计和制造生产标准或行业标准。</w:t>
      </w:r>
    </w:p>
    <w:p>
      <w:pPr>
        <w:spacing w:line="360" w:lineRule="auto"/>
        <w:ind w:firstLine="560"/>
        <w:jc w:val="left"/>
        <w:rPr>
          <w:rFonts w:ascii="宋体" w:hAnsi="宋体"/>
          <w:szCs w:val="21"/>
        </w:rPr>
      </w:pPr>
      <w:r>
        <w:rPr>
          <w:rFonts w:hint="eastAsia" w:ascii="宋体" w:hAnsi="宋体"/>
          <w:szCs w:val="21"/>
        </w:rPr>
        <w:t>2、乙方应保证货物是全新、未使用过的原装合格正品（包括零部件），并完全符合甲方要求的质量、规格和性能的要求。如货物安装或配置了软件的，乙方保证相关软件均为正版软件。</w:t>
      </w:r>
    </w:p>
    <w:p>
      <w:pPr>
        <w:spacing w:line="360" w:lineRule="auto"/>
        <w:ind w:firstLine="560"/>
        <w:jc w:val="left"/>
        <w:rPr>
          <w:rFonts w:ascii="宋体" w:hAnsi="宋体"/>
          <w:szCs w:val="21"/>
        </w:rPr>
      </w:pPr>
      <w:r>
        <w:rPr>
          <w:rFonts w:hint="eastAsia" w:ascii="宋体" w:hAnsi="宋体"/>
          <w:szCs w:val="21"/>
        </w:rPr>
        <w:t>3、乙方保证交货时一并提供货物的质量合格凭证或文件。</w:t>
      </w:r>
    </w:p>
    <w:p>
      <w:pPr>
        <w:spacing w:line="360" w:lineRule="auto"/>
        <w:ind w:firstLine="560"/>
        <w:jc w:val="left"/>
        <w:rPr>
          <w:b/>
          <w:szCs w:val="21"/>
        </w:rPr>
      </w:pPr>
      <w:r>
        <w:rPr>
          <w:rFonts w:hint="eastAsia"/>
          <w:b/>
          <w:szCs w:val="21"/>
        </w:rPr>
        <w:t>第六条  交货和验收</w:t>
      </w:r>
    </w:p>
    <w:p>
      <w:pPr>
        <w:spacing w:line="360" w:lineRule="auto"/>
        <w:ind w:firstLine="560"/>
        <w:jc w:val="left"/>
        <w:rPr>
          <w:rFonts w:ascii="宋体" w:hAnsi="宋体"/>
          <w:szCs w:val="21"/>
        </w:rPr>
      </w:pPr>
      <w:r>
        <w:rPr>
          <w:rFonts w:hint="eastAsia" w:ascii="宋体" w:hAnsi="宋体"/>
          <w:szCs w:val="21"/>
        </w:rPr>
        <w:t>1、乙方应按照本合同或招投标文件规定的时间和方式向甲方交付货物，交货地点由甲方指定。因交货产生的费用由乙方自行承担。</w:t>
      </w:r>
    </w:p>
    <w:p>
      <w:pPr>
        <w:spacing w:line="360" w:lineRule="auto"/>
        <w:ind w:firstLine="560"/>
        <w:jc w:val="left"/>
        <w:rPr>
          <w:rFonts w:ascii="宋体" w:hAnsi="宋体"/>
          <w:szCs w:val="21"/>
        </w:rPr>
      </w:pPr>
      <w:r>
        <w:rPr>
          <w:rFonts w:hint="eastAsia" w:ascii="宋体" w:hAnsi="宋体"/>
          <w:szCs w:val="21"/>
        </w:rPr>
        <w:t>2、乙方交付的货物应当完全符合招投标文件所规定的货物、数量、质量和规格要求。乙方提供的货物不符合招投标文件和合同规定的，甲方有权拒收货物，由此引起的风险，由乙方承担。</w:t>
      </w:r>
    </w:p>
    <w:p>
      <w:pPr>
        <w:spacing w:line="360" w:lineRule="auto"/>
        <w:ind w:firstLine="560"/>
        <w:jc w:val="left"/>
        <w:rPr>
          <w:rFonts w:ascii="宋体" w:hAnsi="宋体"/>
          <w:szCs w:val="21"/>
        </w:rPr>
      </w:pPr>
      <w:r>
        <w:rPr>
          <w:rFonts w:hint="eastAsia" w:ascii="宋体" w:hAnsi="宋体"/>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pPr>
        <w:spacing w:line="360" w:lineRule="auto"/>
        <w:ind w:firstLine="560"/>
        <w:jc w:val="left"/>
        <w:rPr>
          <w:rFonts w:ascii="宋体" w:hAnsi="宋体"/>
          <w:szCs w:val="21"/>
        </w:rPr>
      </w:pPr>
      <w:r>
        <w:rPr>
          <w:rFonts w:hint="eastAsia" w:ascii="宋体" w:hAnsi="宋体"/>
          <w:szCs w:val="21"/>
        </w:rPr>
        <w:t>4、乙方应在到货（安装、调试完）后  日内向甲方发出验收申请。甲方应当在收到申请  日内组织验收，验收合格的，由甲方向乙方签署货物验收单。验收合格的，由甲方向乙方签署货物验收单。甲方逾期未组织验收，也未提出异议的，视为验收合格。需要安装调试的，安装调试完毕验收合格后才视为最终验收合格和满足付款条件。</w:t>
      </w:r>
    </w:p>
    <w:p>
      <w:pPr>
        <w:spacing w:line="360" w:lineRule="auto"/>
        <w:ind w:firstLine="560"/>
        <w:jc w:val="left"/>
        <w:rPr>
          <w:rFonts w:ascii="宋体" w:hAnsi="宋体"/>
          <w:szCs w:val="21"/>
        </w:rPr>
      </w:pPr>
      <w:r>
        <w:rPr>
          <w:rFonts w:hint="eastAsia" w:ascii="宋体" w:hAnsi="宋体"/>
          <w:szCs w:val="21"/>
        </w:rPr>
        <w:t>5、货物的所有权和灭失的风险自乙方将货物交付给甲方时转移。</w:t>
      </w:r>
    </w:p>
    <w:p>
      <w:pPr>
        <w:spacing w:line="360" w:lineRule="auto"/>
        <w:ind w:firstLine="560"/>
        <w:jc w:val="left"/>
        <w:outlineLvl w:val="0"/>
        <w:rPr>
          <w:b/>
          <w:szCs w:val="21"/>
        </w:rPr>
      </w:pPr>
      <w:r>
        <w:rPr>
          <w:rFonts w:hint="eastAsia"/>
          <w:b/>
          <w:szCs w:val="21"/>
        </w:rPr>
        <w:t>第七条  保修及其他服务</w:t>
      </w:r>
    </w:p>
    <w:p>
      <w:pPr>
        <w:spacing w:line="360" w:lineRule="auto"/>
        <w:ind w:firstLine="560"/>
        <w:jc w:val="left"/>
        <w:rPr>
          <w:rFonts w:ascii="宋体" w:hAnsi="宋体"/>
          <w:szCs w:val="21"/>
        </w:rPr>
      </w:pPr>
      <w:r>
        <w:rPr>
          <w:rFonts w:hint="eastAsia" w:ascii="宋体" w:hAnsi="宋体"/>
          <w:szCs w:val="21"/>
        </w:rPr>
        <w:t>1、乙方应按照国家有关法律法规规章和“三包”规定和招标文件的要求及乙方在投标文件的相关承诺提供保修及其他服务。</w:t>
      </w:r>
    </w:p>
    <w:p>
      <w:pPr>
        <w:spacing w:line="360" w:lineRule="auto"/>
        <w:ind w:firstLine="560"/>
        <w:jc w:val="left"/>
        <w:rPr>
          <w:rFonts w:ascii="宋体" w:hAnsi="宋体"/>
          <w:szCs w:val="21"/>
        </w:rPr>
      </w:pPr>
      <w:r>
        <w:rPr>
          <w:rFonts w:hint="eastAsia" w:ascii="宋体" w:hAnsi="宋体"/>
          <w:szCs w:val="21"/>
        </w:rPr>
        <w:t>2、</w:t>
      </w:r>
      <w:r>
        <w:rPr>
          <w:rFonts w:ascii="宋体" w:hAnsi="宋体"/>
          <w:szCs w:val="21"/>
        </w:rPr>
        <w:t>保修期内，乙方负责对其提供的货物进行维修和系统维护，不再收取任何费用。</w:t>
      </w:r>
      <w:r>
        <w:rPr>
          <w:rFonts w:hint="eastAsia" w:ascii="宋体" w:hAnsi="宋体"/>
          <w:szCs w:val="21"/>
        </w:rPr>
        <w:t>所有货物保修服务方式均为乙方上门保修，即由乙方派员到货物使用现场维修，由此产生的一切费用均由乙方承担。保修期后的货物维护另行协商。</w:t>
      </w:r>
    </w:p>
    <w:p>
      <w:pPr>
        <w:spacing w:line="360" w:lineRule="auto"/>
        <w:ind w:firstLine="560"/>
        <w:jc w:val="left"/>
        <w:rPr>
          <w:rFonts w:ascii="宋体" w:hAnsi="宋体"/>
          <w:szCs w:val="21"/>
        </w:rPr>
      </w:pPr>
      <w:r>
        <w:rPr>
          <w:rFonts w:hint="eastAsia" w:ascii="宋体" w:hAnsi="宋体"/>
          <w:szCs w:val="21"/>
        </w:rPr>
        <w:t>3、在甲方提出维修要求后，乙方应于  小时内响应，  小时维修到位，并在  小时内消除故障。消耗品和零配件供应及时，特殊情况下可提供备用机。</w:t>
      </w:r>
    </w:p>
    <w:p>
      <w:pPr>
        <w:spacing w:line="360" w:lineRule="auto"/>
        <w:ind w:firstLine="560"/>
        <w:jc w:val="left"/>
        <w:outlineLvl w:val="0"/>
        <w:rPr>
          <w:b/>
          <w:szCs w:val="21"/>
        </w:rPr>
      </w:pPr>
      <w:r>
        <w:rPr>
          <w:rFonts w:hint="eastAsia"/>
          <w:b/>
          <w:szCs w:val="21"/>
        </w:rPr>
        <w:t>第八条 保密条款</w:t>
      </w:r>
    </w:p>
    <w:p>
      <w:pPr>
        <w:spacing w:line="360" w:lineRule="auto"/>
        <w:ind w:firstLine="420" w:firstLineChars="200"/>
        <w:jc w:val="left"/>
        <w:outlineLvl w:val="0"/>
        <w:rPr>
          <w:bCs/>
          <w:szCs w:val="21"/>
        </w:rPr>
      </w:pPr>
      <w:r>
        <w:rPr>
          <w:bCs/>
          <w:szCs w:val="21"/>
        </w:rPr>
        <w:t>1</w:t>
      </w:r>
      <w:r>
        <w:rPr>
          <w:rFonts w:hint="eastAsia"/>
          <w:bCs/>
          <w:szCs w:val="21"/>
        </w:rPr>
        <w:t>、乙方对在本合同履行中获取或者知悉甲方提供的资料、信息负有保密义务。</w:t>
      </w:r>
    </w:p>
    <w:p>
      <w:pPr>
        <w:spacing w:line="360" w:lineRule="auto"/>
        <w:ind w:firstLine="560"/>
        <w:jc w:val="left"/>
        <w:outlineLvl w:val="0"/>
        <w:rPr>
          <w:bCs/>
          <w:szCs w:val="21"/>
        </w:rPr>
      </w:pPr>
      <w:r>
        <w:rPr>
          <w:bCs/>
          <w:szCs w:val="21"/>
        </w:rPr>
        <w:t>2</w:t>
      </w:r>
      <w:r>
        <w:rPr>
          <w:rFonts w:hint="eastAsia"/>
          <w:bCs/>
          <w:szCs w:val="21"/>
        </w:rPr>
        <w:t>、乙方不得私自复印、留存、泄漏本合同履行有关的资料、信息。除非依照法律规定或者经甲方书面同意，乙方不得向第三方提供或披露由甲方提供的资料和信息，也不得用于本合同履行以外的其他用途，并保证采取一切合理和必要的措施防止任何第三方接触到甲方的上述资料和信息。</w:t>
      </w:r>
    </w:p>
    <w:p>
      <w:pPr>
        <w:spacing w:line="360" w:lineRule="auto"/>
        <w:ind w:firstLine="560"/>
        <w:jc w:val="left"/>
        <w:outlineLvl w:val="0"/>
        <w:rPr>
          <w:b/>
          <w:szCs w:val="21"/>
        </w:rPr>
      </w:pPr>
      <w:r>
        <w:rPr>
          <w:bCs/>
          <w:szCs w:val="21"/>
        </w:rPr>
        <w:t>3</w:t>
      </w:r>
      <w:r>
        <w:rPr>
          <w:rFonts w:hint="eastAsia"/>
          <w:bCs/>
          <w:szCs w:val="21"/>
        </w:rPr>
        <w:t>、保密期限自本协议签订生效之日起至保密信息被依法公开披露或成为公开信息之日止。合同中止、终止或者解除不视为免除保密义务，乙方仍应当承担保密义务。</w:t>
      </w:r>
    </w:p>
    <w:p>
      <w:pPr>
        <w:spacing w:line="360" w:lineRule="auto"/>
        <w:ind w:firstLine="560"/>
        <w:jc w:val="left"/>
        <w:outlineLvl w:val="0"/>
        <w:rPr>
          <w:b/>
          <w:szCs w:val="21"/>
        </w:rPr>
      </w:pPr>
      <w:r>
        <w:rPr>
          <w:rFonts w:hint="eastAsia"/>
          <w:b/>
          <w:szCs w:val="21"/>
        </w:rPr>
        <w:t>第九条  履约保证金</w:t>
      </w:r>
    </w:p>
    <w:p>
      <w:pPr>
        <w:spacing w:line="360" w:lineRule="auto"/>
        <w:ind w:firstLine="560"/>
        <w:jc w:val="left"/>
        <w:rPr>
          <w:rFonts w:ascii="宋体" w:hAnsi="宋体"/>
          <w:szCs w:val="21"/>
        </w:rPr>
      </w:pPr>
      <w:r>
        <w:rPr>
          <w:rFonts w:hint="eastAsia" w:ascii="宋体" w:hAnsi="宋体"/>
          <w:szCs w:val="21"/>
        </w:rPr>
        <w:t>1、乙方应在签订本合同之日，向甲方或甲方指定的机构提交履约保证金_________元。</w:t>
      </w:r>
    </w:p>
    <w:p>
      <w:pPr>
        <w:spacing w:line="360" w:lineRule="auto"/>
        <w:ind w:firstLine="560"/>
        <w:jc w:val="left"/>
        <w:rPr>
          <w:rFonts w:ascii="宋体" w:hAnsi="宋体"/>
          <w:szCs w:val="21"/>
        </w:rPr>
      </w:pPr>
      <w:r>
        <w:rPr>
          <w:rFonts w:hint="eastAsia" w:ascii="宋体" w:hAnsi="宋体"/>
          <w:szCs w:val="21"/>
        </w:rPr>
        <w:t>2、如乙方未能履行合同规定的义务，甲方有权从履约保证金中取得补偿。</w:t>
      </w:r>
    </w:p>
    <w:p>
      <w:pPr>
        <w:spacing w:line="360" w:lineRule="auto"/>
        <w:ind w:firstLine="560"/>
        <w:jc w:val="left"/>
        <w:rPr>
          <w:rFonts w:ascii="宋体" w:hAnsi="宋体"/>
          <w:szCs w:val="21"/>
        </w:rPr>
      </w:pPr>
      <w:r>
        <w:rPr>
          <w:rFonts w:hint="eastAsia" w:ascii="宋体" w:hAnsi="宋体"/>
          <w:szCs w:val="21"/>
        </w:rPr>
        <w:t>3、甲方在乙方履行完毕本合同项下全部义务后______天内无息退还乙方。</w:t>
      </w:r>
    </w:p>
    <w:p>
      <w:pPr>
        <w:numPr>
          <w:ilvl w:val="255"/>
          <w:numId w:val="0"/>
        </w:numPr>
        <w:spacing w:line="360" w:lineRule="auto"/>
        <w:ind w:firstLine="422" w:firstLineChars="200"/>
        <w:jc w:val="left"/>
        <w:outlineLvl w:val="0"/>
        <w:rPr>
          <w:b/>
          <w:szCs w:val="21"/>
        </w:rPr>
      </w:pPr>
      <w:r>
        <w:rPr>
          <w:rFonts w:hint="eastAsia"/>
          <w:b/>
          <w:szCs w:val="21"/>
        </w:rPr>
        <w:t>第十条  货款支付</w:t>
      </w:r>
    </w:p>
    <w:p>
      <w:pPr>
        <w:spacing w:line="360" w:lineRule="auto"/>
        <w:jc w:val="left"/>
        <w:outlineLvl w:val="0"/>
        <w:rPr>
          <w:b/>
          <w:szCs w:val="21"/>
          <w:u w:val="single"/>
        </w:rPr>
      </w:pPr>
      <w:r>
        <w:rPr>
          <w:rFonts w:hint="eastAsia"/>
          <w:b/>
          <w:szCs w:val="21"/>
          <w:u w:val="single"/>
        </w:rPr>
        <w:t>（详见商务要求）</w:t>
      </w:r>
    </w:p>
    <w:p>
      <w:pPr>
        <w:spacing w:line="360" w:lineRule="auto"/>
        <w:ind w:firstLine="560"/>
        <w:jc w:val="left"/>
        <w:rPr>
          <w:szCs w:val="21"/>
        </w:rPr>
      </w:pPr>
    </w:p>
    <w:p>
      <w:pPr>
        <w:spacing w:line="360" w:lineRule="auto"/>
        <w:ind w:firstLine="422" w:firstLineChars="200"/>
        <w:jc w:val="left"/>
        <w:outlineLvl w:val="0"/>
        <w:rPr>
          <w:b/>
          <w:szCs w:val="21"/>
        </w:rPr>
      </w:pPr>
      <w:r>
        <w:rPr>
          <w:rFonts w:hint="eastAsia"/>
          <w:b/>
          <w:szCs w:val="21"/>
        </w:rPr>
        <w:t>第十一条 违约责任</w:t>
      </w:r>
      <w:r>
        <w:rPr>
          <w:rFonts w:hint="eastAsia"/>
          <w:b/>
          <w:szCs w:val="21"/>
          <w:u w:val="single"/>
        </w:rPr>
        <w:t>（详见商务要求）</w:t>
      </w:r>
    </w:p>
    <w:p>
      <w:pPr>
        <w:spacing w:line="360" w:lineRule="auto"/>
        <w:ind w:firstLine="560"/>
        <w:jc w:val="left"/>
        <w:rPr>
          <w:rFonts w:ascii="宋体" w:hAnsi="宋体"/>
          <w:szCs w:val="21"/>
        </w:rPr>
      </w:pPr>
      <w:r>
        <w:rPr>
          <w:rFonts w:hint="eastAsia" w:ascii="宋体" w:hAnsi="宋体"/>
          <w:szCs w:val="21"/>
        </w:rPr>
        <w:t>１、甲方无正当理由拒收货物、拒付货物款的，由甲方向乙方偿付合同总价的【】%违约金。</w:t>
      </w:r>
    </w:p>
    <w:p>
      <w:pPr>
        <w:spacing w:line="360" w:lineRule="auto"/>
        <w:ind w:firstLine="560"/>
        <w:jc w:val="left"/>
        <w:rPr>
          <w:rFonts w:ascii="宋体" w:hAnsi="宋体"/>
          <w:szCs w:val="21"/>
        </w:rPr>
      </w:pPr>
      <w:r>
        <w:rPr>
          <w:rFonts w:hint="eastAsia" w:ascii="宋体" w:hAnsi="宋体"/>
          <w:szCs w:val="21"/>
        </w:rPr>
        <w:t>２、甲方未按合同规定的期限向乙方支付货款的，每逾期1天甲方向乙方偿付欠款总额的【】‰滞纳金，但累计滞纳金总额不超过欠款总额的【】% 。</w:t>
      </w:r>
    </w:p>
    <w:p>
      <w:pPr>
        <w:spacing w:line="360" w:lineRule="auto"/>
        <w:ind w:firstLine="560"/>
        <w:jc w:val="left"/>
        <w:rPr>
          <w:rFonts w:ascii="宋体" w:hAnsi="宋体"/>
          <w:szCs w:val="21"/>
        </w:rPr>
      </w:pPr>
      <w:r>
        <w:rPr>
          <w:rFonts w:hint="eastAsia" w:ascii="宋体" w:hAnsi="宋体"/>
          <w:szCs w:val="21"/>
        </w:rPr>
        <w:t>３、</w:t>
      </w:r>
      <w:r>
        <w:rPr>
          <w:rFonts w:ascii="宋体" w:hAnsi="宋体"/>
          <w:szCs w:val="21"/>
        </w:rPr>
        <w:t>乙方逾期交付货物的，每逾期1天，乙方向甲方偿付逾期交货部分货款总额的</w:t>
      </w:r>
      <w:r>
        <w:rPr>
          <w:rFonts w:hint="eastAsia" w:ascii="宋体" w:hAnsi="宋体"/>
          <w:szCs w:val="21"/>
        </w:rPr>
        <w:t>【】</w:t>
      </w:r>
      <w:r>
        <w:rPr>
          <w:rFonts w:ascii="宋体" w:hAnsi="宋体"/>
          <w:szCs w:val="21"/>
        </w:rPr>
        <w:t>‰的滞纳金</w:t>
      </w:r>
      <w:r>
        <w:rPr>
          <w:rFonts w:hint="eastAsia" w:ascii="宋体" w:hAnsi="宋体"/>
          <w:szCs w:val="21"/>
        </w:rPr>
        <w:t>。如乙方逾期交货达天，甲方有权解除合同，履约保证金不予退回，同时乙方应向甲方支付合同总价【】％的违约金。</w:t>
      </w:r>
    </w:p>
    <w:p>
      <w:pPr>
        <w:spacing w:line="360" w:lineRule="auto"/>
        <w:ind w:firstLine="560"/>
        <w:jc w:val="left"/>
        <w:rPr>
          <w:rFonts w:ascii="宋体" w:hAnsi="宋体"/>
          <w:szCs w:val="21"/>
        </w:rPr>
      </w:pPr>
      <w:r>
        <w:rPr>
          <w:rFonts w:hint="eastAsia" w:ascii="宋体" w:hAnsi="宋体"/>
          <w:szCs w:val="21"/>
        </w:rPr>
        <w:t>4、经甲方验收不合格的，甲方有权拒收。乙方经修理或者更换后仍不合格的，甲方有权解除合同，要求乙方返还甲方已支付的合同款项，并有权要求乙方按合同总额【】％支付违约金。5、在乙方承诺的或国家规定的质量保证期内（取两者中最长的期限），</w:t>
      </w:r>
      <w:r>
        <w:rPr>
          <w:rFonts w:ascii="宋体" w:hAnsi="宋体"/>
          <w:szCs w:val="21"/>
        </w:rPr>
        <w:t>如经乙方两次维修</w:t>
      </w:r>
      <w:r>
        <w:rPr>
          <w:rFonts w:hint="eastAsia" w:ascii="宋体" w:hAnsi="宋体"/>
          <w:szCs w:val="21"/>
        </w:rPr>
        <w:t>或更换</w:t>
      </w:r>
      <w:r>
        <w:rPr>
          <w:rFonts w:ascii="宋体" w:hAnsi="宋体"/>
          <w:szCs w:val="21"/>
        </w:rPr>
        <w:t>，货物仍不能达到合同约定</w:t>
      </w:r>
      <w:r>
        <w:rPr>
          <w:rFonts w:hint="eastAsia" w:ascii="宋体" w:hAnsi="宋体"/>
          <w:szCs w:val="21"/>
        </w:rPr>
        <w:t>的</w:t>
      </w:r>
      <w:r>
        <w:rPr>
          <w:rFonts w:ascii="宋体" w:hAnsi="宋体"/>
          <w:szCs w:val="21"/>
        </w:rPr>
        <w:t>质量标准，甲方有权退货，乙方</w:t>
      </w:r>
      <w:r>
        <w:rPr>
          <w:rFonts w:hint="eastAsia" w:ascii="宋体" w:hAnsi="宋体"/>
          <w:szCs w:val="21"/>
        </w:rPr>
        <w:t>应</w:t>
      </w:r>
      <w:r>
        <w:rPr>
          <w:rFonts w:ascii="宋体" w:hAnsi="宋体"/>
          <w:szCs w:val="21"/>
        </w:rPr>
        <w:t>退回全部货款</w:t>
      </w:r>
      <w:r>
        <w:rPr>
          <w:rFonts w:hint="eastAsia" w:ascii="宋体" w:hAnsi="宋体"/>
          <w:szCs w:val="21"/>
        </w:rPr>
        <w:t>并</w:t>
      </w:r>
      <w:r>
        <w:rPr>
          <w:rFonts w:ascii="宋体" w:hAnsi="宋体"/>
          <w:szCs w:val="21"/>
        </w:rPr>
        <w:t>赔偿甲方因此遭受的损失。</w:t>
      </w:r>
    </w:p>
    <w:p>
      <w:pPr>
        <w:spacing w:line="360" w:lineRule="auto"/>
        <w:ind w:firstLine="560"/>
        <w:jc w:val="left"/>
        <w:rPr>
          <w:rFonts w:ascii="宋体" w:hAnsi="宋体"/>
          <w:szCs w:val="21"/>
        </w:rPr>
      </w:pPr>
      <w:r>
        <w:rPr>
          <w:rFonts w:hint="eastAsia" w:ascii="宋体" w:hAnsi="宋体"/>
          <w:szCs w:val="21"/>
        </w:rPr>
        <w:t>6.</w:t>
      </w:r>
      <w:bookmarkStart w:id="74" w:name="_Hlk75014743"/>
      <w:r>
        <w:rPr>
          <w:rFonts w:hint="eastAsia" w:ascii="宋体" w:hAnsi="宋体"/>
          <w:szCs w:val="21"/>
        </w:rPr>
        <w:t>乙方违反本合同约定的保密义务，甲方有权要求乙方按合同总额【】%支付违约金；造成不良影响或对甲方造成损失的，甲方有权要求乙方消除影响，承担赔偿责任，并有权解除合同。</w:t>
      </w:r>
      <w:bookmarkEnd w:id="74"/>
    </w:p>
    <w:p>
      <w:pPr>
        <w:spacing w:line="360" w:lineRule="auto"/>
        <w:ind w:firstLine="560"/>
        <w:jc w:val="left"/>
        <w:rPr>
          <w:rFonts w:ascii="宋体" w:hAnsi="宋体"/>
          <w:szCs w:val="21"/>
        </w:rPr>
      </w:pPr>
      <w:r>
        <w:rPr>
          <w:rFonts w:hint="eastAsia" w:ascii="宋体" w:hAnsi="宋体"/>
          <w:szCs w:val="21"/>
        </w:rPr>
        <w:t>7、</w:t>
      </w:r>
      <w:bookmarkStart w:id="75" w:name="_Hlk75015079"/>
      <w:r>
        <w:rPr>
          <w:rFonts w:hint="eastAsia" w:ascii="宋体" w:hAnsi="宋体"/>
          <w:szCs w:val="21"/>
        </w:rPr>
        <w:t>因乙方提供的产品受到侵权指控或者引发法律纠纷，影响甲方正常使用或者导致合同目的不能实现的，甲方有权要求乙方按合同总额【】%支付违约金，并有权解除合同。</w:t>
      </w:r>
      <w:bookmarkEnd w:id="75"/>
    </w:p>
    <w:p>
      <w:pPr>
        <w:spacing w:line="360" w:lineRule="auto"/>
        <w:ind w:firstLine="560"/>
        <w:jc w:val="left"/>
        <w:rPr>
          <w:rFonts w:ascii="宋体" w:hAnsi="宋体"/>
          <w:szCs w:val="21"/>
        </w:rPr>
      </w:pPr>
      <w:r>
        <w:rPr>
          <w:rFonts w:hint="eastAsia" w:ascii="宋体" w:hAnsi="宋体"/>
          <w:szCs w:val="21"/>
        </w:rPr>
        <w:t>8、乙方未履行本合同项下的其他义务或违反其在投标文件中的相关承诺的，应按合同总价款的【】%向甲方承担违约责任。</w:t>
      </w:r>
    </w:p>
    <w:p>
      <w:pPr>
        <w:spacing w:line="360" w:lineRule="auto"/>
        <w:ind w:firstLine="560"/>
        <w:jc w:val="left"/>
        <w:rPr>
          <w:rFonts w:ascii="宋体" w:hAnsi="宋体"/>
          <w:szCs w:val="21"/>
        </w:rPr>
      </w:pPr>
      <w:r>
        <w:rPr>
          <w:rFonts w:hint="eastAsia" w:ascii="宋体" w:hAnsi="宋体"/>
          <w:szCs w:val="21"/>
        </w:rPr>
        <w:t>9、乙方在承担上述一项或多项违约责任后，仍应继续履行合同规定的义务（甲方解除合同的除外）。甲方未能及时追究乙方的任何一项违约责任并不表明甲方放弃追究乙方该项或其他违约责任。</w:t>
      </w:r>
    </w:p>
    <w:p>
      <w:pPr>
        <w:spacing w:line="360" w:lineRule="auto"/>
        <w:ind w:firstLine="560"/>
        <w:jc w:val="left"/>
        <w:outlineLvl w:val="0"/>
        <w:rPr>
          <w:b/>
          <w:szCs w:val="21"/>
        </w:rPr>
      </w:pPr>
      <w:r>
        <w:rPr>
          <w:rFonts w:hint="eastAsia"/>
          <w:b/>
          <w:szCs w:val="21"/>
        </w:rPr>
        <w:t>第十条    合同的变更和终止</w:t>
      </w:r>
    </w:p>
    <w:p>
      <w:pPr>
        <w:spacing w:line="360" w:lineRule="auto"/>
        <w:ind w:firstLine="560"/>
        <w:jc w:val="left"/>
        <w:rPr>
          <w:rFonts w:ascii="宋体" w:hAnsi="宋体"/>
          <w:szCs w:val="21"/>
        </w:rPr>
      </w:pPr>
      <w:r>
        <w:rPr>
          <w:rFonts w:hint="eastAsia" w:ascii="宋体" w:hAnsi="宋体"/>
          <w:szCs w:val="21"/>
        </w:rPr>
        <w:t>除</w:t>
      </w:r>
      <w:bookmarkStart w:id="76" w:name="_Hlk75015119"/>
      <w:r>
        <w:rPr>
          <w:rFonts w:hint="eastAsia" w:ascii="宋体" w:hAnsi="宋体"/>
          <w:szCs w:val="21"/>
        </w:rPr>
        <w:t>《深圳经济特区政府采购条例》第40条、</w:t>
      </w:r>
      <w:bookmarkEnd w:id="76"/>
      <w:r>
        <w:rPr>
          <w:rFonts w:hint="eastAsia" w:ascii="宋体" w:hAnsi="宋体"/>
          <w:szCs w:val="21"/>
        </w:rPr>
        <w:t>《中华人民共和国政府采购法》第50条第二款规定或者主管部门另有政策规定的情形外，本合同一经签订，甲乙双方不得擅自变更、中止或终止合同。</w:t>
      </w:r>
    </w:p>
    <w:p>
      <w:pPr>
        <w:spacing w:line="360" w:lineRule="auto"/>
        <w:ind w:firstLine="560"/>
        <w:jc w:val="left"/>
        <w:outlineLvl w:val="0"/>
        <w:rPr>
          <w:b/>
          <w:szCs w:val="21"/>
        </w:rPr>
      </w:pPr>
      <w:r>
        <w:rPr>
          <w:rFonts w:hint="eastAsia"/>
          <w:b/>
          <w:szCs w:val="21"/>
        </w:rPr>
        <w:t>第十一条   争议的解决</w:t>
      </w:r>
    </w:p>
    <w:p>
      <w:pPr>
        <w:spacing w:line="360" w:lineRule="auto"/>
        <w:ind w:firstLine="560"/>
        <w:jc w:val="left"/>
        <w:rPr>
          <w:rFonts w:ascii="宋体" w:hAnsi="宋体"/>
          <w:szCs w:val="21"/>
        </w:rPr>
      </w:pPr>
      <w:r>
        <w:rPr>
          <w:rFonts w:hint="eastAsia" w:ascii="宋体" w:hAnsi="宋体"/>
          <w:szCs w:val="21"/>
        </w:rPr>
        <w:t>1、因货物的质量问题发生争议的，应当邀请国家认可的质量检测机构对货物质量进行鉴定。货物符合标准的，鉴定费由甲方承担；货物不符合质量标准的，鉴定费由乙方承担。</w:t>
      </w:r>
    </w:p>
    <w:p>
      <w:pPr>
        <w:spacing w:line="360" w:lineRule="auto"/>
        <w:ind w:firstLine="560"/>
        <w:jc w:val="left"/>
        <w:rPr>
          <w:rFonts w:ascii="宋体" w:hAnsi="宋体"/>
          <w:szCs w:val="21"/>
        </w:rPr>
      </w:pPr>
      <w:r>
        <w:rPr>
          <w:rFonts w:hint="eastAsia" w:ascii="宋体" w:hAnsi="宋体"/>
          <w:szCs w:val="21"/>
        </w:rPr>
        <w:t>2、因履行本合同引起的或与本合同有关的争议，甲、乙双方应首先通过友好协商解决，如果协商不能解决争议，则向甲方所在地有管辖权的人民法院提起诉讼；</w:t>
      </w:r>
    </w:p>
    <w:p>
      <w:pPr>
        <w:spacing w:line="360" w:lineRule="auto"/>
        <w:ind w:firstLine="560"/>
        <w:jc w:val="left"/>
        <w:outlineLvl w:val="0"/>
        <w:rPr>
          <w:b/>
          <w:szCs w:val="21"/>
        </w:rPr>
      </w:pPr>
      <w:r>
        <w:rPr>
          <w:rFonts w:hint="eastAsia"/>
          <w:b/>
          <w:szCs w:val="21"/>
        </w:rPr>
        <w:t>第十二条   合同生效及其他</w:t>
      </w:r>
    </w:p>
    <w:p>
      <w:pPr>
        <w:spacing w:line="360" w:lineRule="auto"/>
        <w:ind w:firstLine="560"/>
        <w:jc w:val="left"/>
        <w:rPr>
          <w:rFonts w:ascii="宋体" w:hAnsi="宋体"/>
          <w:szCs w:val="21"/>
        </w:rPr>
      </w:pPr>
      <w:r>
        <w:rPr>
          <w:rFonts w:hint="eastAsia" w:ascii="宋体" w:hAnsi="宋体"/>
          <w:szCs w:val="21"/>
        </w:rPr>
        <w:t>1、下列文件均为本合同的组成部分：</w:t>
      </w:r>
    </w:p>
    <w:p>
      <w:pPr>
        <w:spacing w:line="360" w:lineRule="auto"/>
        <w:ind w:firstLine="560"/>
        <w:jc w:val="left"/>
        <w:rPr>
          <w:rFonts w:ascii="宋体" w:hAnsi="宋体"/>
          <w:szCs w:val="21"/>
        </w:rPr>
      </w:pPr>
      <w:r>
        <w:rPr>
          <w:rFonts w:hint="eastAsia" w:ascii="宋体" w:hAnsi="宋体"/>
          <w:szCs w:val="21"/>
        </w:rPr>
        <w:t>（1）号招标文件、答疑及补充通知；</w:t>
      </w:r>
    </w:p>
    <w:p>
      <w:pPr>
        <w:spacing w:line="360" w:lineRule="auto"/>
        <w:ind w:firstLine="560"/>
        <w:jc w:val="left"/>
        <w:rPr>
          <w:rFonts w:ascii="宋体" w:hAnsi="宋体"/>
          <w:szCs w:val="21"/>
        </w:rPr>
      </w:pPr>
      <w:r>
        <w:rPr>
          <w:rFonts w:hint="eastAsia" w:ascii="宋体" w:hAnsi="宋体"/>
          <w:szCs w:val="21"/>
        </w:rPr>
        <w:t>（2）乙方的投标文件；</w:t>
      </w:r>
    </w:p>
    <w:p>
      <w:pPr>
        <w:spacing w:line="360" w:lineRule="auto"/>
        <w:ind w:firstLine="560"/>
        <w:jc w:val="left"/>
        <w:rPr>
          <w:rFonts w:ascii="宋体" w:hAnsi="宋体"/>
          <w:szCs w:val="21"/>
        </w:rPr>
      </w:pPr>
      <w:r>
        <w:rPr>
          <w:rFonts w:hint="eastAsia" w:ascii="宋体" w:hAnsi="宋体"/>
          <w:szCs w:val="21"/>
        </w:rPr>
        <w:t>（3）本合同执行中甲乙双方共同签署的补充与修正文件。</w:t>
      </w:r>
    </w:p>
    <w:p>
      <w:pPr>
        <w:spacing w:line="360" w:lineRule="auto"/>
        <w:ind w:firstLine="560"/>
        <w:jc w:val="left"/>
        <w:rPr>
          <w:rFonts w:ascii="宋体" w:hAnsi="宋体"/>
          <w:szCs w:val="21"/>
        </w:rPr>
      </w:pPr>
      <w:r>
        <w:rPr>
          <w:rFonts w:hint="eastAsia" w:ascii="宋体" w:hAnsi="宋体"/>
          <w:szCs w:val="21"/>
        </w:rPr>
        <w:t>2、本合同一式份，甲、乙方双方各执份，具有同等法律效力。本合同自双方法定代表人（或授权代表）签字并盖章之日起生效。</w:t>
      </w:r>
    </w:p>
    <w:p>
      <w:pPr>
        <w:spacing w:line="360" w:lineRule="auto"/>
        <w:ind w:firstLine="560"/>
        <w:jc w:val="left"/>
        <w:rPr>
          <w:rFonts w:ascii="宋体" w:hAnsi="宋体"/>
          <w:szCs w:val="21"/>
        </w:rPr>
      </w:pPr>
    </w:p>
    <w:p>
      <w:pPr>
        <w:spacing w:line="360" w:lineRule="auto"/>
        <w:ind w:firstLine="560"/>
        <w:jc w:val="left"/>
        <w:rPr>
          <w:rFonts w:ascii="宋体" w:hAnsi="宋体"/>
          <w:szCs w:val="21"/>
        </w:rPr>
      </w:pPr>
    </w:p>
    <w:p>
      <w:pPr>
        <w:spacing w:line="360" w:lineRule="auto"/>
        <w:ind w:firstLine="560"/>
        <w:jc w:val="left"/>
        <w:rPr>
          <w:rFonts w:ascii="宋体" w:hAnsi="宋体"/>
          <w:szCs w:val="21"/>
        </w:rPr>
      </w:pPr>
      <w:r>
        <w:rPr>
          <w:rFonts w:hint="eastAsia" w:ascii="宋体" w:hAnsi="宋体"/>
          <w:szCs w:val="21"/>
        </w:rPr>
        <w:t>甲方（采购人）：   （盖章）       乙方（供应商）：    （盖章）</w:t>
      </w:r>
    </w:p>
    <w:p>
      <w:pPr>
        <w:spacing w:line="360" w:lineRule="auto"/>
        <w:ind w:firstLine="560"/>
        <w:jc w:val="left"/>
        <w:rPr>
          <w:rFonts w:ascii="宋体" w:hAnsi="宋体"/>
          <w:szCs w:val="21"/>
        </w:rPr>
      </w:pPr>
      <w:r>
        <w:rPr>
          <w:rFonts w:hint="eastAsia" w:ascii="宋体" w:hAnsi="宋体"/>
          <w:szCs w:val="21"/>
        </w:rPr>
        <w:t xml:space="preserve">法定代表人：                     法定代表人： </w:t>
      </w:r>
    </w:p>
    <w:p>
      <w:pPr>
        <w:spacing w:line="360" w:lineRule="auto"/>
        <w:ind w:firstLine="560"/>
        <w:jc w:val="left"/>
        <w:rPr>
          <w:rFonts w:ascii="宋体" w:hAnsi="宋体"/>
          <w:szCs w:val="21"/>
        </w:rPr>
      </w:pPr>
      <w:r>
        <w:rPr>
          <w:rFonts w:hint="eastAsia" w:ascii="宋体" w:hAnsi="宋体"/>
          <w:szCs w:val="21"/>
        </w:rPr>
        <w:t>委托代理人：                     委托代理人：</w:t>
      </w:r>
    </w:p>
    <w:p>
      <w:pPr>
        <w:ind w:firstLine="525" w:firstLineChars="250"/>
        <w:rPr>
          <w:rFonts w:ascii="宋体" w:hAnsi="宋体"/>
          <w:b/>
          <w:szCs w:val="21"/>
        </w:rPr>
      </w:pPr>
      <w:r>
        <w:rPr>
          <w:rFonts w:hint="eastAsia" w:ascii="宋体" w:hAnsi="宋体"/>
          <w:szCs w:val="21"/>
        </w:rPr>
        <w:t>日期：   年     月    日         日期：   年     月    日</w:t>
      </w:r>
    </w:p>
    <w:p/>
    <w:p>
      <w:pPr>
        <w:widowControl/>
        <w:jc w:val="left"/>
        <w:rPr>
          <w:rFonts w:ascii="宋体" w:hAnsi="宋体"/>
          <w:szCs w:val="21"/>
        </w:rPr>
      </w:pPr>
      <w:r>
        <w:rPr>
          <w:rFonts w:ascii="宋体" w:hAnsi="宋体"/>
          <w:szCs w:val="21"/>
        </w:rPr>
        <w:br w:type="page"/>
      </w:r>
    </w:p>
    <w:p>
      <w:pPr>
        <w:keepNext/>
        <w:keepLines/>
        <w:adjustRightInd w:val="0"/>
        <w:spacing w:before="120" w:beforeLines="50" w:after="120" w:afterLines="50"/>
        <w:ind w:left="562"/>
        <w:jc w:val="center"/>
        <w:textAlignment w:val="baseline"/>
        <w:outlineLvl w:val="0"/>
        <w:rPr>
          <w:rFonts w:ascii="宋体" w:hAnsi="宋体"/>
          <w:b/>
          <w:bCs/>
          <w:kern w:val="0"/>
          <w:sz w:val="28"/>
          <w:szCs w:val="28"/>
        </w:rPr>
      </w:pPr>
      <w:r>
        <w:rPr>
          <w:rFonts w:hint="eastAsia" w:ascii="宋体" w:hAnsi="宋体"/>
          <w:b/>
          <w:bCs/>
          <w:kern w:val="0"/>
          <w:sz w:val="28"/>
          <w:szCs w:val="28"/>
        </w:rPr>
        <w:t>第二册  通用条款（公开招标）</w:t>
      </w:r>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bookmarkStart w:id="77" w:name="_Hlk72399513"/>
      <w:r>
        <w:rPr>
          <w:rFonts w:hint="eastAsia" w:ascii="宋体" w:hAnsi="宋体"/>
          <w:b/>
          <w:bCs/>
          <w:kern w:val="0"/>
          <w:sz w:val="28"/>
          <w:szCs w:val="28"/>
        </w:rPr>
        <w:t>总则</w:t>
      </w:r>
    </w:p>
    <w:bookmarkEnd w:id="77"/>
    <w:p>
      <w:pPr>
        <w:outlineLvl w:val="1"/>
        <w:rPr>
          <w:rFonts w:ascii="黑体" w:hAnsi="宋体" w:eastAsia="黑体"/>
          <w:sz w:val="24"/>
        </w:rPr>
      </w:pPr>
      <w:r>
        <w:rPr>
          <w:rFonts w:hint="eastAsia" w:ascii="黑体" w:hAnsi="宋体" w:eastAsia="黑体"/>
          <w:sz w:val="24"/>
        </w:rPr>
        <w:t>1. 通用条款说明</w:t>
      </w:r>
    </w:p>
    <w:p>
      <w:pPr>
        <w:ind w:firstLine="411" w:firstLineChars="196"/>
        <w:rPr>
          <w:rFonts w:ascii="宋体" w:hAnsi="宋体"/>
          <w:szCs w:val="21"/>
        </w:rPr>
      </w:pPr>
      <w:r>
        <w:rPr>
          <w:rFonts w:hint="eastAsia" w:ascii="宋体" w:hAnsi="宋体"/>
          <w:szCs w:val="21"/>
        </w:rPr>
        <w:t>1.1政府集中采购机构发出招标文件通用条款版本，列出深圳市政府采购项目进行招标采购所适用的通用条款内容。</w:t>
      </w:r>
      <w:bookmarkStart w:id="78" w:name="_Hlk72399729"/>
      <w:r>
        <w:rPr>
          <w:rFonts w:hint="eastAsia" w:ascii="宋体" w:hAnsi="宋体"/>
          <w:szCs w:val="21"/>
        </w:rPr>
        <w:t>如有需要，政府集中采购机构可以对通用条款的内容进行补充。</w:t>
      </w:r>
      <w:bookmarkEnd w:id="78"/>
    </w:p>
    <w:p>
      <w:pPr>
        <w:ind w:firstLine="411" w:firstLineChars="196"/>
        <w:rPr>
          <w:rFonts w:ascii="宋体" w:hAnsi="宋体"/>
          <w:szCs w:val="21"/>
        </w:rPr>
      </w:pPr>
      <w:r>
        <w:rPr>
          <w:rFonts w:hint="eastAsia" w:ascii="宋体" w:hAnsi="宋体"/>
          <w:szCs w:val="21"/>
        </w:rPr>
        <w:t>1.2招标文件分为第一册“专用条款”和第二册“通用条款”。</w:t>
      </w:r>
    </w:p>
    <w:p>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pPr>
        <w:ind w:firstLine="411" w:firstLineChars="196"/>
        <w:rPr>
          <w:rFonts w:ascii="宋体" w:hAnsi="宋体"/>
          <w:szCs w:val="21"/>
        </w:rPr>
      </w:pPr>
      <w:r>
        <w:rPr>
          <w:rFonts w:hint="eastAsia" w:ascii="宋体" w:hAnsi="宋体"/>
          <w:szCs w:val="21"/>
        </w:rPr>
        <w:t>1.5 “专用条款”和“通用条款”表述不一致或有冲突时，以“专用条款”为准。</w:t>
      </w:r>
    </w:p>
    <w:p>
      <w:pPr>
        <w:outlineLvl w:val="1"/>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pPr>
        <w:ind w:firstLine="411" w:firstLineChars="196"/>
        <w:rPr>
          <w:rFonts w:ascii="宋体" w:hAnsi="宋体"/>
          <w:szCs w:val="21"/>
        </w:rPr>
      </w:pPr>
      <w:r>
        <w:rPr>
          <w:rFonts w:hint="eastAsia" w:ascii="宋体" w:hAnsi="宋体"/>
          <w:szCs w:val="21"/>
        </w:rPr>
        <w:t>本项目按照《深圳经济特区政府采购条例》、《深圳经济特区政府采购条例实施细则》及政府采购其他法律法规，通过公开招标方式确定中标供应商。</w:t>
      </w:r>
    </w:p>
    <w:p>
      <w:pPr>
        <w:outlineLvl w:val="1"/>
        <w:rPr>
          <w:rFonts w:ascii="黑体" w:hAnsi="宋体" w:eastAsia="黑体"/>
          <w:sz w:val="24"/>
        </w:rPr>
      </w:pPr>
      <w:r>
        <w:rPr>
          <w:rFonts w:hint="eastAsia" w:ascii="黑体" w:hAnsi="宋体" w:eastAsia="黑体"/>
          <w:sz w:val="24"/>
        </w:rPr>
        <w:t>3．定义</w:t>
      </w:r>
    </w:p>
    <w:p>
      <w:pPr>
        <w:ind w:firstLine="420" w:firstLineChars="200"/>
        <w:rPr>
          <w:rFonts w:ascii="宋体" w:hAnsi="宋体"/>
          <w:szCs w:val="21"/>
        </w:rPr>
      </w:pPr>
      <w:r>
        <w:rPr>
          <w:rFonts w:ascii="宋体" w:hAnsi="宋体"/>
          <w:szCs w:val="21"/>
        </w:rPr>
        <w:t>招标文件中下列术语应解释为：</w:t>
      </w:r>
    </w:p>
    <w:p>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p>
    <w:p>
      <w:pPr>
        <w:ind w:firstLine="411" w:firstLineChars="196"/>
        <w:rPr>
          <w:rFonts w:ascii="宋体" w:hAnsi="宋体"/>
          <w:szCs w:val="21"/>
        </w:rPr>
      </w:pPr>
      <w:r>
        <w:rPr>
          <w:rFonts w:hint="eastAsia" w:ascii="宋体" w:hAnsi="宋体"/>
          <w:szCs w:val="21"/>
        </w:rPr>
        <w:t>3.2 “政府集中采购机构”</w:t>
      </w:r>
      <w:r>
        <w:rPr>
          <w:rFonts w:hint="eastAsia" w:ascii="Arial" w:hAnsi="Arial" w:cs="Arial"/>
          <w:szCs w:val="21"/>
          <w:shd w:val="clear" w:color="auto" w:fill="FFFFFF"/>
        </w:rPr>
        <w:t>是指市政府设立的，组织实施政府采购项目，并对政府采购活动提供服务的专门机构；</w:t>
      </w:r>
      <w:r>
        <w:rPr>
          <w:rFonts w:hint="eastAsia" w:ascii="宋体" w:hAnsi="宋体"/>
          <w:szCs w:val="21"/>
        </w:rPr>
        <w:t>本文件所述的“政府集中采购机构”</w:t>
      </w:r>
      <w:r>
        <w:rPr>
          <w:rFonts w:ascii="宋体" w:hAnsi="宋体"/>
          <w:szCs w:val="21"/>
        </w:rPr>
        <w:t>指</w:t>
      </w:r>
      <w:r>
        <w:rPr>
          <w:rFonts w:hint="eastAsia" w:ascii="宋体" w:hAnsi="宋体"/>
          <w:b/>
          <w:bCs/>
          <w:szCs w:val="21"/>
        </w:rPr>
        <w:t>深圳公共资源交易中心</w:t>
      </w:r>
      <w:r>
        <w:rPr>
          <w:rFonts w:hint="eastAsia" w:ascii="宋体" w:hAnsi="宋体"/>
          <w:szCs w:val="21"/>
        </w:rPr>
        <w:t>；</w:t>
      </w:r>
    </w:p>
    <w:p>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pPr>
        <w:ind w:firstLine="411" w:firstLineChars="196"/>
        <w:rPr>
          <w:rFonts w:ascii="宋体" w:hAnsi="宋体"/>
          <w:szCs w:val="21"/>
        </w:rPr>
      </w:pPr>
      <w:r>
        <w:rPr>
          <w:rFonts w:hint="eastAsia" w:ascii="宋体" w:hAnsi="宋体"/>
          <w:szCs w:val="21"/>
        </w:rPr>
        <w:t>3.4“评审委员会”是依据《深圳经济特区政府采购条例》、《深圳经济特区政府采购条例实施细则》等有关规定组建的专门负责本次招标其评审工作的临时性机构；</w:t>
      </w:r>
    </w:p>
    <w:p>
      <w:pPr>
        <w:ind w:firstLine="411" w:firstLineChars="196"/>
        <w:rPr>
          <w:rFonts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pPr>
        <w:ind w:firstLine="411" w:firstLineChars="196"/>
        <w:rPr>
          <w:rFonts w:ascii="宋体" w:hAnsi="宋体"/>
          <w:szCs w:val="21"/>
        </w:rPr>
      </w:pPr>
      <w:r>
        <w:rPr>
          <w:rFonts w:hint="eastAsia" w:ascii="宋体" w:hAnsi="宋体"/>
          <w:szCs w:val="21"/>
        </w:rPr>
        <w:t>3.6“合同”指由本次招标所产生的合同或合约文件；</w:t>
      </w:r>
    </w:p>
    <w:p>
      <w:pPr>
        <w:ind w:firstLine="411" w:firstLineChars="196"/>
        <w:rPr>
          <w:rFonts w:ascii="宋体" w:hAnsi="宋体"/>
          <w:szCs w:val="21"/>
        </w:rPr>
      </w:pPr>
      <w:r>
        <w:rPr>
          <w:rFonts w:hint="eastAsia" w:ascii="宋体" w:hAnsi="宋体"/>
          <w:szCs w:val="21"/>
        </w:rPr>
        <w:t>3.7“电子投标文件”指利用</w:t>
      </w:r>
      <w:r>
        <w:rPr>
          <w:rFonts w:hint="eastAsia" w:ascii="宋体" w:hAnsi="宋体"/>
          <w:b/>
          <w:bCs/>
          <w:color w:val="FF0000"/>
          <w:szCs w:val="21"/>
        </w:rPr>
        <w:t>深圳公共资源交易中心（深圳交易集团有限公司政府采购业务分公司）</w:t>
      </w:r>
      <w:r>
        <w:rPr>
          <w:rFonts w:hint="eastAsia" w:ascii="宋体" w:hAnsi="宋体"/>
          <w:szCs w:val="21"/>
        </w:rPr>
        <w:t>网站提供的投标书加密软件加密的投标文件,适用于网上投标</w:t>
      </w:r>
      <w:bookmarkStart w:id="79" w:name="_Hlk72398581"/>
      <w:r>
        <w:rPr>
          <w:rFonts w:hint="eastAsia" w:ascii="宋体" w:hAnsi="宋体"/>
          <w:szCs w:val="21"/>
        </w:rPr>
        <w:t>（此投标书加密软件可从</w:t>
      </w:r>
      <w:r>
        <w:t>www.szggzy.com</w:t>
      </w:r>
      <w:r>
        <w:rPr>
          <w:rFonts w:hint="eastAsia" w:ascii="宋体" w:hAnsi="宋体"/>
          <w:szCs w:val="21"/>
        </w:rPr>
        <w:t>网站“服务导航-政府采购-资料下载”栏目中下载）；</w:t>
      </w:r>
      <w:bookmarkEnd w:id="79"/>
    </w:p>
    <w:p>
      <w:pPr>
        <w:ind w:firstLine="411" w:firstLineChars="196"/>
        <w:rPr>
          <w:rFonts w:ascii="宋体" w:hAnsi="宋体"/>
          <w:szCs w:val="21"/>
        </w:rPr>
      </w:pPr>
      <w:r>
        <w:rPr>
          <w:rFonts w:hint="eastAsia" w:ascii="宋体" w:hAnsi="宋体"/>
          <w:szCs w:val="21"/>
        </w:rPr>
        <w:t>3.8“网上投标”指通过</w:t>
      </w:r>
      <w:r>
        <w:rPr>
          <w:rFonts w:hint="eastAsia" w:ascii="宋体" w:hAnsi="宋体"/>
          <w:b/>
          <w:bCs/>
          <w:color w:val="FF0000"/>
          <w:szCs w:val="21"/>
        </w:rPr>
        <w:t>深圳公共资源交易中心（深圳交易集团有限公司政府采购业务分公司）</w:t>
      </w:r>
      <w:r>
        <w:rPr>
          <w:rFonts w:hint="eastAsia" w:ascii="宋体" w:hAnsi="宋体"/>
          <w:szCs w:val="21"/>
        </w:rPr>
        <w:t>网站上传电子投标文件；</w:t>
      </w:r>
    </w:p>
    <w:p>
      <w:pPr>
        <w:ind w:firstLine="411" w:firstLineChars="196"/>
        <w:rPr>
          <w:rFonts w:ascii="宋体" w:hAnsi="宋体"/>
          <w:szCs w:val="21"/>
        </w:rPr>
      </w:pPr>
      <w:r>
        <w:rPr>
          <w:rFonts w:hint="eastAsia" w:ascii="宋体" w:hAnsi="宋体"/>
          <w:szCs w:val="21"/>
        </w:rPr>
        <w:t>3.9招标文件中的标题或题名仅起引导作用，而不应视为对招标文件内容的理解和解释。</w:t>
      </w:r>
    </w:p>
    <w:p>
      <w:pPr>
        <w:outlineLvl w:val="1"/>
        <w:rPr>
          <w:rFonts w:ascii="黑体" w:hAnsi="宋体" w:eastAsia="黑体"/>
          <w:sz w:val="24"/>
        </w:rPr>
      </w:pPr>
      <w:r>
        <w:rPr>
          <w:rFonts w:hint="eastAsia" w:ascii="黑体" w:hAnsi="宋体" w:eastAsia="黑体"/>
          <w:sz w:val="24"/>
        </w:rPr>
        <w:t xml:space="preserve">4. </w:t>
      </w:r>
      <w:bookmarkStart w:id="80" w:name="_Hlk72398643"/>
      <w:r>
        <w:rPr>
          <w:rFonts w:hint="eastAsia" w:ascii="黑体" w:hAnsi="宋体" w:eastAsia="黑体"/>
          <w:sz w:val="24"/>
        </w:rPr>
        <w:t>政府采购供应商责任</w:t>
      </w:r>
    </w:p>
    <w:p>
      <w:pPr>
        <w:ind w:firstLine="411" w:firstLineChars="196"/>
        <w:rPr>
          <w:rFonts w:ascii="宋体" w:hAnsi="宋体"/>
          <w:szCs w:val="21"/>
        </w:rPr>
      </w:pPr>
      <w:r>
        <w:rPr>
          <w:rFonts w:hint="eastAsia" w:ascii="宋体" w:hAnsi="宋体"/>
          <w:szCs w:val="21"/>
        </w:rPr>
        <w:t>4.1欢迎诚信、有实力和有社会责任心的供应商参与政府采购事业。</w:t>
      </w:r>
    </w:p>
    <w:p>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pPr>
        <w:outlineLvl w:val="1"/>
        <w:rPr>
          <w:rFonts w:ascii="黑体" w:hAnsi="宋体" w:eastAsia="黑体"/>
          <w:sz w:val="24"/>
        </w:rPr>
      </w:pPr>
      <w:r>
        <w:rPr>
          <w:rFonts w:hint="eastAsia" w:ascii="黑体" w:hAnsi="宋体" w:eastAsia="黑体"/>
          <w:sz w:val="24"/>
        </w:rPr>
        <w:t>5．投标人参加政府采购的条件</w:t>
      </w:r>
    </w:p>
    <w:p>
      <w:pPr>
        <w:ind w:firstLine="411" w:firstLineChars="196"/>
        <w:rPr>
          <w:rFonts w:ascii="宋体" w:hAnsi="宋体"/>
          <w:szCs w:val="21"/>
        </w:rPr>
      </w:pPr>
      <w:r>
        <w:rPr>
          <w:rFonts w:hint="eastAsia" w:ascii="宋体" w:hAnsi="宋体"/>
          <w:szCs w:val="21"/>
        </w:rPr>
        <w:t>5.1投标人应在投标前到</w:t>
      </w:r>
      <w:r>
        <w:rPr>
          <w:rFonts w:hint="eastAsia" w:ascii="宋体" w:hAnsi="宋体"/>
          <w:b/>
          <w:bCs/>
          <w:szCs w:val="21"/>
        </w:rPr>
        <w:t>深圳公共资源交易中心（具体在深圳交易集团有限公司政府采购业务分公司进行办理）</w:t>
      </w:r>
      <w:r>
        <w:rPr>
          <w:rFonts w:hint="eastAsia" w:ascii="宋体" w:hAnsi="宋体"/>
          <w:szCs w:val="21"/>
        </w:rPr>
        <w:t>进行注册并办理电子密钥。《</w:t>
      </w:r>
      <w:r>
        <w:fldChar w:fldCharType="begin"/>
      </w:r>
      <w:r>
        <w:instrText xml:space="preserve"> HYPERLINK "http://www.szzfcg.cn/viewer.do?id=2455258" \t "documentViewer2455258" </w:instrText>
      </w:r>
      <w:r>
        <w:fldChar w:fldCharType="separate"/>
      </w:r>
      <w:r>
        <w:rPr>
          <w:rFonts w:ascii="宋体" w:hAnsi="宋体"/>
          <w:szCs w:val="21"/>
        </w:rPr>
        <w:t>供应商注册及电子密钥新申请指引</w:t>
      </w:r>
      <w:r>
        <w:rPr>
          <w:rFonts w:ascii="宋体" w:hAnsi="宋体"/>
          <w:szCs w:val="21"/>
        </w:rPr>
        <w:fldChar w:fldCharType="end"/>
      </w:r>
      <w:r>
        <w:rPr>
          <w:rFonts w:hint="eastAsia" w:ascii="宋体" w:hAnsi="宋体"/>
          <w:szCs w:val="21"/>
        </w:rPr>
        <w:t>》详见</w:t>
      </w:r>
      <w:r>
        <w:t>www.szggzy.com</w:t>
      </w:r>
      <w:r>
        <w:rPr>
          <w:rFonts w:hint="eastAsia" w:ascii="宋体" w:hAnsi="宋体"/>
          <w:szCs w:val="21"/>
        </w:rPr>
        <w:t>网站“服务导航-政府采购-办事指南”。</w:t>
      </w:r>
    </w:p>
    <w:p>
      <w:pPr>
        <w:ind w:firstLine="411" w:firstLineChars="196"/>
        <w:rPr>
          <w:rFonts w:ascii="宋体" w:hAnsi="宋体"/>
          <w:szCs w:val="21"/>
        </w:rPr>
      </w:pPr>
      <w:r>
        <w:rPr>
          <w:rFonts w:hint="eastAsia" w:ascii="宋体" w:hAnsi="宋体"/>
          <w:szCs w:val="21"/>
        </w:rPr>
        <w:t>5.2投标人资格要求</w:t>
      </w:r>
    </w:p>
    <w:p>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pPr>
        <w:ind w:firstLine="411" w:firstLineChars="196"/>
        <w:rPr>
          <w:rFonts w:ascii="宋体" w:hAnsi="宋体"/>
          <w:szCs w:val="21"/>
        </w:rPr>
      </w:pPr>
      <w:r>
        <w:rPr>
          <w:rFonts w:hint="eastAsia" w:ascii="宋体" w:hAnsi="宋体"/>
          <w:szCs w:val="21"/>
        </w:rPr>
        <w:t>5.3联合体投标</w:t>
      </w:r>
    </w:p>
    <w:p>
      <w:pPr>
        <w:ind w:firstLine="411" w:firstLineChars="196"/>
        <w:rPr>
          <w:rFonts w:ascii="宋体" w:hAnsi="宋体"/>
          <w:szCs w:val="21"/>
        </w:rPr>
      </w:pPr>
      <w:r>
        <w:rPr>
          <w:rFonts w:hint="eastAsia" w:ascii="宋体" w:hAnsi="宋体"/>
          <w:szCs w:val="21"/>
        </w:rPr>
        <w:t>5.3.1　以下有关联合体投标的条款仅适用于允许投标人组成联合体投标的项目。</w:t>
      </w:r>
    </w:p>
    <w:p>
      <w:pPr>
        <w:ind w:firstLine="411" w:firstLineChars="196"/>
        <w:rPr>
          <w:rFonts w:ascii="宋体" w:hAnsi="宋体"/>
          <w:szCs w:val="21"/>
        </w:rPr>
      </w:pPr>
      <w:r>
        <w:rPr>
          <w:rFonts w:hint="eastAsia" w:ascii="宋体" w:hAnsi="宋体"/>
          <w:szCs w:val="21"/>
        </w:rPr>
        <w:t>5.3.2  由两个或两个以上的自然人、法人或者其他组织可以组成一个联合体，以一个供应商的身份共同投标时，应符合以下原则：</w:t>
      </w:r>
    </w:p>
    <w:p>
      <w:pPr>
        <w:ind w:firstLine="411" w:firstLineChars="196"/>
        <w:rPr>
          <w:rFonts w:ascii="宋体" w:hAnsi="宋体"/>
        </w:rPr>
      </w:pPr>
      <w:r>
        <w:rPr>
          <w:rFonts w:hint="eastAsia" w:ascii="宋体" w:hAnsi="宋体"/>
        </w:rPr>
        <w:t>（1）投标联合体各方参加政府采购活动应当具备下列条件：</w:t>
      </w:r>
    </w:p>
    <w:p>
      <w:pPr>
        <w:ind w:left="420" w:leftChars="200" w:firstLine="411" w:firstLineChars="196"/>
        <w:rPr>
          <w:rFonts w:ascii="宋体" w:hAnsi="宋体"/>
        </w:rPr>
      </w:pPr>
      <w:r>
        <w:rPr>
          <w:rFonts w:hint="eastAsia" w:ascii="宋体" w:hAnsi="宋体"/>
        </w:rPr>
        <w:t>1、具有独立承担民事责任的能力；</w:t>
      </w:r>
    </w:p>
    <w:p>
      <w:pPr>
        <w:ind w:left="420" w:firstLine="411" w:firstLineChars="196"/>
        <w:rPr>
          <w:rFonts w:ascii="宋体" w:hAnsi="宋体"/>
        </w:rPr>
      </w:pPr>
      <w:r>
        <w:rPr>
          <w:rFonts w:hint="eastAsia" w:ascii="宋体" w:hAnsi="宋体"/>
        </w:rPr>
        <w:t>2、有良好的商业信誉和健全的财务会计制度；</w:t>
      </w:r>
    </w:p>
    <w:p>
      <w:pPr>
        <w:ind w:left="420" w:leftChars="200" w:firstLine="411" w:firstLineChars="196"/>
        <w:rPr>
          <w:rFonts w:ascii="宋体" w:hAnsi="宋体"/>
        </w:rPr>
      </w:pPr>
      <w:r>
        <w:rPr>
          <w:rFonts w:hint="eastAsia" w:ascii="宋体" w:hAnsi="宋体"/>
        </w:rPr>
        <w:t>3、具有履行合同所必需的设备和专业技术能力；</w:t>
      </w:r>
    </w:p>
    <w:p>
      <w:pPr>
        <w:ind w:left="420" w:leftChars="200" w:firstLine="411" w:firstLineChars="196"/>
        <w:rPr>
          <w:rFonts w:ascii="宋体" w:hAnsi="宋体"/>
        </w:rPr>
      </w:pPr>
      <w:r>
        <w:rPr>
          <w:rFonts w:hint="eastAsia" w:ascii="宋体" w:hAnsi="宋体"/>
        </w:rPr>
        <w:t>4、有依法缴纳税收和社会保障资金的良好记录；</w:t>
      </w:r>
    </w:p>
    <w:p>
      <w:pPr>
        <w:ind w:left="420" w:leftChars="200" w:firstLine="411" w:firstLineChars="196"/>
        <w:rPr>
          <w:rFonts w:ascii="宋体" w:hAnsi="宋体"/>
        </w:rPr>
      </w:pPr>
      <w:r>
        <w:rPr>
          <w:rFonts w:hint="eastAsia" w:ascii="宋体" w:hAnsi="宋体"/>
        </w:rPr>
        <w:t>5、参加政府采购活动前三年内，在经营活动中没有重大违法记录；</w:t>
      </w:r>
    </w:p>
    <w:p>
      <w:pPr>
        <w:ind w:left="420" w:leftChars="200" w:firstLine="411" w:firstLineChars="196"/>
        <w:rPr>
          <w:rFonts w:ascii="宋体" w:hAnsi="宋体"/>
        </w:rPr>
      </w:pPr>
      <w:r>
        <w:rPr>
          <w:rFonts w:hint="eastAsia" w:ascii="宋体" w:hAnsi="宋体"/>
        </w:rPr>
        <w:t>6、法律、行政法规规定的其他条件。</w:t>
      </w:r>
    </w:p>
    <w:p>
      <w:pPr>
        <w:ind w:firstLine="411" w:firstLineChars="196"/>
        <w:rPr>
          <w:rFonts w:ascii="宋体" w:hAnsi="宋体"/>
        </w:rPr>
      </w:pPr>
      <w:r>
        <w:rPr>
          <w:rFonts w:hint="eastAsia" w:ascii="宋体" w:hAnsi="宋体"/>
        </w:rPr>
        <w:t>（2）在投标截止前，投标联合体各方均应注册成政府集中采购机构供应商；</w:t>
      </w:r>
    </w:p>
    <w:p>
      <w:pPr>
        <w:ind w:firstLine="411" w:firstLineChars="196"/>
        <w:rPr>
          <w:rFonts w:ascii="宋体" w:hAnsi="宋体"/>
        </w:rPr>
      </w:pPr>
      <w:r>
        <w:rPr>
          <w:rFonts w:hint="eastAsia" w:ascii="宋体" w:hAnsi="宋体"/>
        </w:rPr>
        <w:t>（3）联合体中有同类资质的供应商按照联合体分工承担相同工作的，应当按照资质等级较低的供应商确定资质等级；</w:t>
      </w:r>
    </w:p>
    <w:p>
      <w:pPr>
        <w:ind w:firstLine="411"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pPr>
        <w:ind w:firstLine="411" w:firstLineChars="196"/>
        <w:rPr>
          <w:rFonts w:ascii="宋体" w:hAnsi="宋体"/>
        </w:rPr>
      </w:pPr>
      <w:r>
        <w:rPr>
          <w:rFonts w:hint="eastAsia" w:ascii="宋体" w:hAnsi="宋体"/>
        </w:rPr>
        <w:t>（5）投标人的投标文件及中标后签署的合同协议对联合体各方均具法律约束力；</w:t>
      </w:r>
    </w:p>
    <w:p>
      <w:pPr>
        <w:ind w:firstLine="411" w:firstLineChars="196"/>
        <w:rPr>
          <w:rFonts w:ascii="宋体" w:hAnsi="宋体"/>
        </w:rPr>
      </w:pPr>
      <w:r>
        <w:rPr>
          <w:rFonts w:hint="eastAsia" w:ascii="宋体" w:hAnsi="宋体"/>
        </w:rPr>
        <w:t>（6）联合体各方应当签订联合体投标协议，明确约定各方拟承担的工作和责任，并将该协议随投标文件一并递交给政府集中采购机构；</w:t>
      </w:r>
    </w:p>
    <w:p>
      <w:pPr>
        <w:ind w:firstLine="411" w:firstLineChars="196"/>
        <w:rPr>
          <w:rFonts w:ascii="宋体" w:hAnsi="宋体"/>
        </w:rPr>
      </w:pPr>
      <w:r>
        <w:rPr>
          <w:rFonts w:hint="eastAsia" w:ascii="宋体" w:hAnsi="宋体"/>
        </w:rPr>
        <w:t>（7）联合体中标后，联合体各方应当共同与采购人签订合同，就中标项目向采购人承担连带责任；</w:t>
      </w:r>
    </w:p>
    <w:p>
      <w:pPr>
        <w:ind w:firstLine="411" w:firstLineChars="196"/>
        <w:rPr>
          <w:rFonts w:ascii="宋体" w:hAnsi="宋体"/>
        </w:rPr>
      </w:pPr>
      <w:r>
        <w:rPr>
          <w:rFonts w:hint="eastAsia" w:ascii="宋体" w:hAnsi="宋体"/>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11" w:firstLineChars="196"/>
        <w:rPr>
          <w:rFonts w:ascii="宋体" w:hAnsi="宋体"/>
          <w:szCs w:val="21"/>
        </w:rPr>
      </w:pPr>
      <w:r>
        <w:rPr>
          <w:rFonts w:hint="eastAsia" w:ascii="宋体" w:hAnsi="宋体"/>
        </w:rPr>
        <w:t>（9）本通用条款中“投标人”一词亦指联合体各方，专用条款另有规定或说明的除外。</w:t>
      </w:r>
    </w:p>
    <w:p>
      <w:pPr>
        <w:outlineLvl w:val="1"/>
        <w:rPr>
          <w:rFonts w:ascii="黑体" w:hAnsi="宋体" w:eastAsia="黑体"/>
          <w:sz w:val="24"/>
        </w:rPr>
      </w:pPr>
      <w:r>
        <w:rPr>
          <w:rFonts w:hint="eastAsia" w:ascii="黑体" w:hAnsi="宋体" w:eastAsia="黑体"/>
          <w:sz w:val="24"/>
        </w:rPr>
        <w:t>6．政策导向</w:t>
      </w:r>
    </w:p>
    <w:p>
      <w:pPr>
        <w:ind w:firstLine="411" w:firstLineChars="196"/>
        <w:rPr>
          <w:rFonts w:ascii="宋体" w:hAnsi="宋体"/>
        </w:rPr>
      </w:pPr>
      <w:r>
        <w:rPr>
          <w:rFonts w:hint="eastAsia" w:ascii="宋体" w:hAnsi="宋体"/>
        </w:rPr>
        <w:t>6.1政府采购扶持贫困地区、中小企业、监狱企业和残疾人福利性单位发展，支持节能减排、环境保护。</w:t>
      </w:r>
    </w:p>
    <w:p>
      <w:pPr>
        <w:ind w:firstLine="405"/>
        <w:rPr>
          <w:shd w:val="clear" w:color="auto" w:fill="FFFFFF"/>
        </w:rPr>
      </w:pPr>
      <w:r>
        <w:rPr>
          <w:rFonts w:hint="eastAsia" w:ascii="宋体" w:hAnsi="宋体"/>
        </w:rPr>
        <w:t>6.2本项目落实深圳市政府采购供应商诚信管理政策要求。</w:t>
      </w:r>
    </w:p>
    <w:p>
      <w:pPr>
        <w:outlineLvl w:val="1"/>
        <w:rPr>
          <w:rFonts w:ascii="黑体" w:hAnsi="宋体" w:eastAsia="黑体"/>
          <w:sz w:val="24"/>
        </w:rPr>
      </w:pPr>
      <w:r>
        <w:rPr>
          <w:rFonts w:hint="eastAsia" w:ascii="黑体" w:hAnsi="宋体" w:eastAsia="黑体"/>
          <w:sz w:val="24"/>
        </w:rPr>
        <w:t>7. 本项目若涉及采购货物，则合格的货物及相应服务应满足以下要求：</w:t>
      </w:r>
    </w:p>
    <w:p>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4投标人</w:t>
      </w:r>
      <w:bookmarkStart w:id="81"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81"/>
    </w:p>
    <w:p>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pPr>
        <w:outlineLvl w:val="1"/>
        <w:rPr>
          <w:rFonts w:ascii="黑体" w:hAnsi="宋体" w:eastAsia="黑体"/>
          <w:sz w:val="24"/>
        </w:rPr>
      </w:pPr>
      <w:r>
        <w:rPr>
          <w:rFonts w:hint="eastAsia" w:ascii="黑体" w:hAnsi="宋体" w:eastAsia="黑体"/>
          <w:sz w:val="24"/>
        </w:rPr>
        <w:t>8．投标费用</w:t>
      </w:r>
    </w:p>
    <w:p>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pPr>
        <w:outlineLvl w:val="1"/>
        <w:rPr>
          <w:rFonts w:ascii="黑体" w:hAnsi="宋体" w:eastAsia="黑体"/>
          <w:sz w:val="24"/>
        </w:rPr>
      </w:pPr>
      <w:r>
        <w:rPr>
          <w:rFonts w:hint="eastAsia" w:ascii="黑体" w:hAnsi="宋体" w:eastAsia="黑体"/>
          <w:sz w:val="24"/>
        </w:rPr>
        <w:t>9．踏勘现场</w:t>
      </w:r>
    </w:p>
    <w:p>
      <w:pPr>
        <w:ind w:firstLine="411" w:firstLineChars="196"/>
        <w:rPr>
          <w:rFonts w:ascii="宋体" w:hAnsi="宋体"/>
          <w:szCs w:val="21"/>
        </w:rPr>
      </w:pPr>
      <w:r>
        <w:rPr>
          <w:rFonts w:hint="eastAsia" w:ascii="宋体" w:hAnsi="宋体"/>
          <w:szCs w:val="21"/>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pPr>
        <w:ind w:firstLine="411" w:firstLineChars="196"/>
        <w:rPr>
          <w:rFonts w:ascii="宋体" w:hAnsi="宋体"/>
        </w:rPr>
      </w:pPr>
      <w:r>
        <w:rPr>
          <w:rFonts w:hint="eastAsia" w:ascii="宋体" w:hAnsi="宋体"/>
        </w:rPr>
        <w:t>9.3采购人应当通过政府集中采购机构向投标人提供有关现场的书面资料和数据。</w:t>
      </w:r>
    </w:p>
    <w:p>
      <w:pPr>
        <w:ind w:firstLine="411" w:firstLineChars="196"/>
        <w:rPr>
          <w:rFonts w:ascii="宋体" w:hAnsi="宋体"/>
        </w:rPr>
      </w:pPr>
      <w:r>
        <w:rPr>
          <w:rFonts w:hint="eastAsia" w:ascii="宋体" w:hAnsi="宋体"/>
        </w:rPr>
        <w:t>9.4任何人或任何组织在踏勘现场时向投标人提供的任何书面资料或口头承诺，未经政府集中采购机构在网上发布或书面通知，均作无效处理。</w:t>
      </w:r>
    </w:p>
    <w:p>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pPr>
        <w:outlineLvl w:val="1"/>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任何人或任何组织在标前会议时向投标人提供的任何书面资料或口头承诺，未经政府集中采购机构在网上发布或书面通知，均作无效处理。</w:t>
      </w:r>
    </w:p>
    <w:p>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80"/>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招标文件</w:t>
      </w:r>
    </w:p>
    <w:p>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82" w:name="_Hlk72399819"/>
      <w:r>
        <w:rPr>
          <w:rFonts w:hint="eastAsia" w:ascii="黑体" w:hAnsi="宋体" w:eastAsia="黑体"/>
          <w:sz w:val="24"/>
        </w:rPr>
        <w:t>招标文件的编制与组成</w:t>
      </w:r>
    </w:p>
    <w:p>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.1招标文件除以下内容外，政府集中采购机构在招标期间发出的澄清或修改等相关公告或通知内容，均是招标文件的组成部分，对投标人起约束作用；</w:t>
      </w:r>
    </w:p>
    <w:p>
      <w:pPr>
        <w:ind w:firstLine="411" w:firstLineChars="196"/>
        <w:rPr>
          <w:rFonts w:ascii="宋体" w:hAnsi="宋体"/>
          <w:szCs w:val="21"/>
        </w:rPr>
      </w:pPr>
      <w:r>
        <w:rPr>
          <w:rFonts w:hint="eastAsia" w:ascii="宋体" w:hAnsi="宋体"/>
          <w:szCs w:val="21"/>
        </w:rPr>
        <w:t>招标文件包括下列内容：</w:t>
      </w:r>
    </w:p>
    <w:p>
      <w:pPr>
        <w:ind w:left="420" w:leftChars="200" w:firstLine="413" w:firstLineChars="196"/>
        <w:rPr>
          <w:rFonts w:ascii="宋体" w:hAnsi="宋体"/>
          <w:b/>
          <w:szCs w:val="21"/>
        </w:rPr>
      </w:pPr>
      <w:r>
        <w:rPr>
          <w:rFonts w:hint="eastAsia" w:ascii="宋体" w:hAnsi="宋体"/>
          <w:b/>
          <w:szCs w:val="21"/>
        </w:rPr>
        <w:t>第一册  专用条款</w:t>
      </w:r>
    </w:p>
    <w:p>
      <w:pPr>
        <w:ind w:left="1079" w:leftChars="514"/>
        <w:rPr>
          <w:rFonts w:ascii="宋体" w:hAnsi="宋体"/>
          <w:b/>
          <w:szCs w:val="21"/>
        </w:rPr>
      </w:pPr>
      <w:r>
        <w:rPr>
          <w:rFonts w:hint="eastAsia" w:ascii="宋体" w:hAnsi="宋体"/>
          <w:b/>
          <w:szCs w:val="21"/>
        </w:rPr>
        <w:t>关键信息</w:t>
      </w:r>
    </w:p>
    <w:p>
      <w:pPr>
        <w:ind w:left="630" w:leftChars="300" w:firstLine="411" w:firstLineChars="196"/>
        <w:outlineLvl w:val="0"/>
        <w:rPr>
          <w:rFonts w:ascii="宋体" w:hAnsi="宋体"/>
          <w:szCs w:val="21"/>
        </w:rPr>
      </w:pPr>
      <w:r>
        <w:rPr>
          <w:rFonts w:hint="eastAsia" w:ascii="宋体" w:hAnsi="宋体"/>
          <w:szCs w:val="21"/>
        </w:rPr>
        <w:t>第一章  招标公告</w:t>
      </w:r>
    </w:p>
    <w:p>
      <w:pPr>
        <w:ind w:left="630" w:leftChars="300" w:firstLine="411" w:firstLineChars="196"/>
        <w:outlineLvl w:val="0"/>
        <w:rPr>
          <w:rFonts w:ascii="宋体" w:hAnsi="宋体"/>
          <w:szCs w:val="21"/>
        </w:rPr>
      </w:pPr>
      <w:r>
        <w:rPr>
          <w:rFonts w:hint="eastAsia" w:ascii="宋体" w:hAnsi="宋体"/>
          <w:szCs w:val="21"/>
        </w:rPr>
        <w:t>第二章  对通用条款的补充内容及其他关键信息</w:t>
      </w:r>
    </w:p>
    <w:p>
      <w:pPr>
        <w:ind w:left="630" w:leftChars="300" w:firstLine="411" w:firstLineChars="196"/>
        <w:outlineLvl w:val="0"/>
        <w:rPr>
          <w:rFonts w:ascii="宋体" w:hAnsi="宋体"/>
          <w:szCs w:val="21"/>
        </w:rPr>
      </w:pPr>
      <w:r>
        <w:rPr>
          <w:rFonts w:hint="eastAsia" w:ascii="宋体" w:hAnsi="宋体"/>
          <w:szCs w:val="21"/>
        </w:rPr>
        <w:t>第三章  用户需求书</w:t>
      </w:r>
    </w:p>
    <w:p>
      <w:pPr>
        <w:ind w:left="630" w:leftChars="300" w:firstLine="411" w:firstLineChars="196"/>
        <w:outlineLvl w:val="0"/>
        <w:rPr>
          <w:rFonts w:ascii="宋体" w:hAnsi="宋体"/>
          <w:szCs w:val="21"/>
        </w:rPr>
      </w:pPr>
      <w:r>
        <w:rPr>
          <w:rFonts w:hint="eastAsia"/>
        </w:rPr>
        <w:t>第四章 投标文件格式及附件</w:t>
      </w:r>
    </w:p>
    <w:p>
      <w:pPr>
        <w:ind w:left="630" w:leftChars="300" w:firstLine="411" w:firstLineChars="196"/>
        <w:outlineLvl w:val="0"/>
        <w:rPr>
          <w:rFonts w:ascii="宋体" w:hAnsi="宋体"/>
          <w:szCs w:val="21"/>
        </w:rPr>
      </w:pPr>
      <w:r>
        <w:rPr>
          <w:rFonts w:hint="eastAsia" w:ascii="宋体" w:hAnsi="宋体"/>
          <w:szCs w:val="21"/>
        </w:rPr>
        <w:t>第五章  合同条款及格式</w:t>
      </w:r>
    </w:p>
    <w:p>
      <w:pPr>
        <w:ind w:left="420" w:leftChars="200" w:firstLine="413" w:firstLineChars="196"/>
        <w:outlineLvl w:val="0"/>
        <w:rPr>
          <w:rFonts w:ascii="宋体" w:hAnsi="宋体"/>
          <w:b/>
          <w:szCs w:val="21"/>
        </w:rPr>
      </w:pPr>
      <w:r>
        <w:rPr>
          <w:rFonts w:hint="eastAsia" w:ascii="宋体" w:hAnsi="宋体"/>
          <w:b/>
          <w:szCs w:val="21"/>
        </w:rPr>
        <w:t>第二册  通用条款</w:t>
      </w:r>
    </w:p>
    <w:p>
      <w:pPr>
        <w:ind w:left="630" w:leftChars="300" w:firstLine="411" w:firstLineChars="196"/>
        <w:outlineLvl w:val="0"/>
        <w:rPr>
          <w:rFonts w:ascii="宋体" w:hAnsi="宋体"/>
          <w:szCs w:val="21"/>
        </w:rPr>
      </w:pPr>
      <w:r>
        <w:rPr>
          <w:rFonts w:hint="eastAsia" w:ascii="宋体" w:hAnsi="宋体"/>
          <w:szCs w:val="21"/>
        </w:rPr>
        <w:t>第一章  总则</w:t>
      </w:r>
    </w:p>
    <w:p>
      <w:pPr>
        <w:ind w:left="630" w:leftChars="300" w:firstLine="411" w:firstLineChars="196"/>
        <w:outlineLvl w:val="0"/>
        <w:rPr>
          <w:rFonts w:ascii="宋体" w:hAnsi="宋体"/>
          <w:szCs w:val="21"/>
        </w:rPr>
      </w:pPr>
      <w:r>
        <w:rPr>
          <w:rFonts w:hint="eastAsia" w:ascii="宋体" w:hAnsi="宋体"/>
          <w:szCs w:val="21"/>
        </w:rPr>
        <w:t>第二章  招标文件</w:t>
      </w:r>
    </w:p>
    <w:p>
      <w:pPr>
        <w:ind w:left="630" w:leftChars="300" w:firstLine="411" w:firstLineChars="196"/>
        <w:outlineLvl w:val="0"/>
        <w:rPr>
          <w:rFonts w:ascii="宋体" w:hAnsi="宋体"/>
          <w:szCs w:val="21"/>
        </w:rPr>
      </w:pPr>
      <w:r>
        <w:rPr>
          <w:rFonts w:hint="eastAsia" w:ascii="宋体" w:hAnsi="宋体"/>
          <w:szCs w:val="21"/>
        </w:rPr>
        <w:t>第三章  投标文件的编制</w:t>
      </w:r>
    </w:p>
    <w:p>
      <w:pPr>
        <w:ind w:left="630" w:leftChars="300" w:firstLine="411" w:firstLineChars="196"/>
        <w:outlineLvl w:val="0"/>
        <w:rPr>
          <w:rFonts w:ascii="宋体" w:hAnsi="宋体"/>
          <w:szCs w:val="21"/>
        </w:rPr>
      </w:pPr>
      <w:r>
        <w:rPr>
          <w:rFonts w:hint="eastAsia" w:ascii="宋体" w:hAnsi="宋体"/>
          <w:szCs w:val="21"/>
        </w:rPr>
        <w:t>第四章  投标文件的递交</w:t>
      </w:r>
    </w:p>
    <w:p>
      <w:pPr>
        <w:ind w:left="630" w:leftChars="300" w:firstLine="411" w:firstLineChars="196"/>
        <w:outlineLvl w:val="0"/>
        <w:rPr>
          <w:rFonts w:ascii="宋体" w:hAnsi="宋体"/>
          <w:szCs w:val="21"/>
        </w:rPr>
      </w:pPr>
      <w:r>
        <w:rPr>
          <w:rFonts w:hint="eastAsia" w:ascii="宋体" w:hAnsi="宋体"/>
          <w:szCs w:val="21"/>
        </w:rPr>
        <w:t>第五章  开标</w:t>
      </w:r>
    </w:p>
    <w:p>
      <w:pPr>
        <w:ind w:left="630" w:leftChars="300" w:firstLine="411" w:firstLineChars="196"/>
        <w:outlineLvl w:val="0"/>
        <w:rPr>
          <w:rFonts w:ascii="宋体" w:hAnsi="宋体"/>
          <w:szCs w:val="21"/>
        </w:rPr>
      </w:pPr>
      <w:r>
        <w:rPr>
          <w:rFonts w:hint="eastAsia" w:ascii="宋体" w:hAnsi="宋体"/>
          <w:szCs w:val="21"/>
        </w:rPr>
        <w:t>第六章  评审要求</w:t>
      </w:r>
    </w:p>
    <w:p>
      <w:pPr>
        <w:ind w:left="630" w:leftChars="300" w:firstLine="411" w:firstLineChars="196"/>
        <w:outlineLvl w:val="0"/>
        <w:rPr>
          <w:rFonts w:ascii="宋体" w:hAnsi="宋体"/>
          <w:szCs w:val="21"/>
        </w:rPr>
      </w:pPr>
      <w:r>
        <w:rPr>
          <w:rFonts w:hint="eastAsia" w:ascii="宋体" w:hAnsi="宋体"/>
          <w:szCs w:val="21"/>
        </w:rPr>
        <w:t>第七章  评审程序及评审方法</w:t>
      </w:r>
    </w:p>
    <w:p>
      <w:pPr>
        <w:ind w:left="630" w:leftChars="300" w:firstLine="411" w:firstLineChars="196"/>
        <w:outlineLvl w:val="0"/>
        <w:rPr>
          <w:rFonts w:ascii="宋体" w:hAnsi="宋体"/>
          <w:szCs w:val="21"/>
        </w:rPr>
      </w:pPr>
      <w:r>
        <w:rPr>
          <w:rFonts w:hint="eastAsia" w:ascii="宋体" w:hAnsi="宋体"/>
          <w:szCs w:val="21"/>
        </w:rPr>
        <w:t>第八章  定标及公示</w:t>
      </w:r>
    </w:p>
    <w:p>
      <w:pPr>
        <w:ind w:left="630" w:leftChars="300" w:firstLine="411" w:firstLineChars="196"/>
        <w:outlineLvl w:val="0"/>
        <w:rPr>
          <w:rFonts w:ascii="宋体" w:hAnsi="宋体"/>
          <w:szCs w:val="21"/>
        </w:rPr>
      </w:pPr>
      <w:r>
        <w:rPr>
          <w:rFonts w:hint="eastAsia" w:ascii="宋体" w:hAnsi="宋体"/>
          <w:szCs w:val="21"/>
        </w:rPr>
        <w:t>第九章  公开招标失败的后续处理</w:t>
      </w:r>
    </w:p>
    <w:p>
      <w:pPr>
        <w:ind w:left="630" w:leftChars="300" w:firstLine="411" w:firstLineChars="196"/>
        <w:outlineLvl w:val="0"/>
        <w:rPr>
          <w:rFonts w:ascii="宋体" w:hAnsi="宋体"/>
          <w:szCs w:val="21"/>
        </w:rPr>
      </w:pPr>
      <w:r>
        <w:rPr>
          <w:rFonts w:hint="eastAsia" w:ascii="宋体" w:hAnsi="宋体"/>
          <w:szCs w:val="21"/>
        </w:rPr>
        <w:t>第十章  合同的授予与备案</w:t>
      </w:r>
    </w:p>
    <w:p>
      <w:pPr>
        <w:ind w:left="630" w:leftChars="300" w:firstLine="411" w:firstLineChars="196"/>
        <w:outlineLvl w:val="0"/>
        <w:rPr>
          <w:rFonts w:ascii="宋体" w:hAnsi="宋体"/>
          <w:szCs w:val="21"/>
        </w:rPr>
      </w:pPr>
      <w:r>
        <w:rPr>
          <w:rFonts w:hint="eastAsia" w:ascii="宋体" w:hAnsi="宋体"/>
          <w:szCs w:val="21"/>
        </w:rPr>
        <w:t>第十一章  质疑处理</w:t>
      </w:r>
    </w:p>
    <w:p>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.2投标人如对招标文件内容有疑问，应当在招标公告规定的澄清（提问）截止时间前以网上提问的形式通过网上政府采购系统提交政府集中采购机构。</w:t>
      </w:r>
    </w:p>
    <w:p>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3.1招标文件发出后，在投标截止日期前任何时候，确需要变更招标文件内容的，政府集中采购机构可主动或在解答投标人提出的澄清问题时对招标文件进行修改。</w:t>
      </w:r>
    </w:p>
    <w:p>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3.2招标文件的修改以书面形式（包括政府集中采购机构网站发布方式，如更正公告等）发送给所有投标人，招标文件的修改内容作为招标文件的组成部分，并具有约束力。</w:t>
      </w:r>
    </w:p>
    <w:p>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pPr>
        <w:ind w:firstLine="411" w:firstLineChars="196"/>
        <w:rPr>
          <w:rFonts w:ascii="宋体" w:hAnsi="宋体"/>
          <w:szCs w:val="21"/>
        </w:rPr>
      </w:pPr>
      <w:r>
        <w:rPr>
          <w:rFonts w:ascii="宋体" w:hAnsi="宋体"/>
          <w:szCs w:val="21"/>
        </w:rPr>
        <w:t>1</w:t>
      </w:r>
      <w:r>
        <w:rPr>
          <w:rFonts w:hint="eastAsia" w:ascii="宋体" w:hAnsi="宋体"/>
          <w:szCs w:val="21"/>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82"/>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投标文件的编制</w:t>
      </w:r>
    </w:p>
    <w:p>
      <w:pPr>
        <w:rPr>
          <w:rFonts w:ascii="黑体" w:hAnsi="宋体" w:eastAsia="黑体"/>
          <w:sz w:val="24"/>
        </w:rPr>
      </w:pPr>
      <w:r>
        <w:rPr>
          <w:rFonts w:hint="eastAsia" w:ascii="黑体" w:hAnsi="宋体" w:eastAsia="黑体"/>
          <w:sz w:val="24"/>
        </w:rPr>
        <w:t>14．</w:t>
      </w:r>
      <w:bookmarkStart w:id="83" w:name="_Hlk72400236"/>
      <w:r>
        <w:rPr>
          <w:rFonts w:hint="eastAsia" w:ascii="黑体" w:hAnsi="宋体" w:eastAsia="黑体"/>
          <w:sz w:val="24"/>
        </w:rPr>
        <w:t>投标文件的语言及度量单位</w:t>
      </w:r>
    </w:p>
    <w:p>
      <w:pPr>
        <w:ind w:firstLine="411" w:firstLineChars="196"/>
        <w:rPr>
          <w:rFonts w:ascii="宋体" w:hAnsi="宋体"/>
          <w:szCs w:val="21"/>
        </w:rPr>
      </w:pPr>
      <w:r>
        <w:rPr>
          <w:rFonts w:hint="eastAsia" w:ascii="宋体" w:hAnsi="宋体"/>
          <w:szCs w:val="21"/>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83"/>
    <w:p>
      <w:pPr>
        <w:rPr>
          <w:rFonts w:ascii="黑体" w:hAnsi="宋体" w:eastAsia="黑体"/>
          <w:sz w:val="24"/>
        </w:rPr>
      </w:pPr>
      <w:r>
        <w:rPr>
          <w:rFonts w:hint="eastAsia" w:ascii="黑体" w:hAnsi="宋体" w:eastAsia="黑体"/>
          <w:sz w:val="24"/>
        </w:rPr>
        <w:t>15．</w:t>
      </w:r>
      <w:bookmarkStart w:id="84" w:name="_Hlk72401567"/>
      <w:r>
        <w:rPr>
          <w:rFonts w:hint="eastAsia" w:ascii="黑体" w:hAnsi="宋体" w:eastAsia="黑体"/>
          <w:sz w:val="24"/>
        </w:rPr>
        <w:t>投标文件的组成</w:t>
      </w:r>
    </w:p>
    <w:p>
      <w:pPr>
        <w:ind w:firstLine="411" w:firstLineChars="196"/>
        <w:rPr>
          <w:rFonts w:ascii="宋体" w:hAnsi="宋体"/>
          <w:szCs w:val="21"/>
        </w:rPr>
      </w:pPr>
      <w:r>
        <w:rPr>
          <w:rFonts w:hint="eastAsia" w:ascii="宋体" w:hAnsi="宋体"/>
          <w:szCs w:val="21"/>
        </w:rPr>
        <w:t>具体内容在招标文件专用条款中进行规定。</w:t>
      </w:r>
    </w:p>
    <w:p>
      <w:pPr>
        <w:rPr>
          <w:rFonts w:ascii="黑体" w:hAnsi="宋体" w:eastAsia="黑体"/>
          <w:sz w:val="24"/>
        </w:rPr>
      </w:pPr>
      <w:r>
        <w:rPr>
          <w:rFonts w:ascii="黑体" w:hAnsi="宋体" w:eastAsia="黑体"/>
          <w:sz w:val="24"/>
        </w:rPr>
        <w:t>16．投标文件格式</w:t>
      </w:r>
    </w:p>
    <w:p>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pPr>
        <w:rPr>
          <w:rFonts w:ascii="黑体" w:hAnsi="宋体" w:eastAsia="黑体"/>
          <w:sz w:val="24"/>
        </w:rPr>
      </w:pPr>
      <w:r>
        <w:rPr>
          <w:rFonts w:hint="eastAsia" w:ascii="黑体" w:hAnsi="宋体" w:eastAsia="黑体"/>
          <w:sz w:val="24"/>
        </w:rPr>
        <w:t>17．投标货币</w:t>
      </w:r>
    </w:p>
    <w:p>
      <w:pPr>
        <w:ind w:firstLine="411" w:firstLineChars="196"/>
        <w:rPr>
          <w:rFonts w:ascii="宋体" w:hAnsi="宋体"/>
          <w:szCs w:val="21"/>
        </w:rPr>
      </w:pPr>
      <w:r>
        <w:rPr>
          <w:rFonts w:hint="eastAsia" w:ascii="宋体" w:hAnsi="宋体"/>
          <w:szCs w:val="21"/>
        </w:rPr>
        <w:t>本项目的投标报价应以人民币计。</w:t>
      </w:r>
    </w:p>
    <w:bookmarkEnd w:id="84"/>
    <w:p>
      <w:pPr>
        <w:rPr>
          <w:rFonts w:ascii="黑体" w:hAnsi="宋体" w:eastAsia="黑体"/>
          <w:sz w:val="24"/>
        </w:rPr>
      </w:pPr>
      <w:r>
        <w:rPr>
          <w:rFonts w:hint="eastAsia" w:ascii="黑体" w:hAnsi="宋体" w:eastAsia="黑体"/>
          <w:sz w:val="24"/>
        </w:rPr>
        <w:t>18．</w:t>
      </w:r>
      <w:bookmarkStart w:id="85" w:name="_Hlk72401735"/>
      <w:r>
        <w:rPr>
          <w:rFonts w:hint="eastAsia" w:ascii="黑体" w:hAnsi="宋体" w:eastAsia="黑体"/>
          <w:sz w:val="24"/>
        </w:rPr>
        <w:t>证明投标文件投标技术方案的合格性和符合招标文件规定的文件要求</w:t>
      </w:r>
    </w:p>
    <w:p>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11" w:firstLineChars="196"/>
        <w:rPr>
          <w:rFonts w:ascii="宋体" w:hAnsi="宋体"/>
          <w:szCs w:val="21"/>
        </w:rPr>
      </w:pPr>
      <w:r>
        <w:rPr>
          <w:rFonts w:hint="eastAsia" w:ascii="宋体" w:hAnsi="宋体"/>
          <w:szCs w:val="21"/>
        </w:rPr>
        <w:t>18.2.1主要技术指标和性能的详细说明。</w:t>
      </w:r>
    </w:p>
    <w:p>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85"/>
    <w:p>
      <w:pPr>
        <w:rPr>
          <w:rFonts w:ascii="黑体" w:hAnsi="宋体" w:eastAsia="黑体"/>
          <w:sz w:val="24"/>
        </w:rPr>
      </w:pPr>
      <w:r>
        <w:rPr>
          <w:rFonts w:hint="eastAsia" w:ascii="黑体" w:hAnsi="宋体" w:eastAsia="黑体"/>
          <w:sz w:val="24"/>
        </w:rPr>
        <w:t>19．</w:t>
      </w:r>
      <w:bookmarkStart w:id="86" w:name="_Hlk72402034"/>
      <w:r>
        <w:rPr>
          <w:rFonts w:hint="eastAsia" w:ascii="黑体" w:hAnsi="宋体" w:eastAsia="黑体"/>
          <w:sz w:val="24"/>
        </w:rPr>
        <w:t>投标文件其他证明文件的要求</w:t>
      </w:r>
    </w:p>
    <w:p>
      <w:pPr>
        <w:rPr>
          <w:rFonts w:ascii="宋体" w:hAnsi="宋体"/>
          <w:color w:val="FF0000"/>
          <w:szCs w:val="21"/>
        </w:rPr>
      </w:pP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87" w:name="_Hlk71407299"/>
    </w:p>
    <w:bookmarkEnd w:id="87"/>
    <w:p>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hAnsi="宋体" w:eastAsia="黑体"/>
          <w:sz w:val="24"/>
        </w:rPr>
      </w:pPr>
      <w:r>
        <w:rPr>
          <w:rFonts w:hint="eastAsia" w:ascii="黑体" w:hAnsi="宋体" w:eastAsia="黑体"/>
          <w:sz w:val="24"/>
        </w:rPr>
        <w:t>20．投标有效期</w:t>
      </w:r>
    </w:p>
    <w:bookmarkEnd w:id="86"/>
    <w:p>
      <w:pPr>
        <w:ind w:firstLine="411" w:firstLineChars="196"/>
        <w:rPr>
          <w:rFonts w:ascii="宋体" w:hAnsi="宋体"/>
          <w:szCs w:val="21"/>
        </w:rPr>
      </w:pPr>
      <w:bookmarkStart w:id="88"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pPr>
        <w:ind w:firstLine="411" w:firstLineChars="196"/>
        <w:rPr>
          <w:rFonts w:ascii="宋体" w:hAnsi="宋体"/>
          <w:szCs w:val="21"/>
        </w:rPr>
      </w:pPr>
      <w:r>
        <w:rPr>
          <w:rFonts w:hint="eastAsia" w:ascii="宋体" w:hAnsi="宋体"/>
          <w:szCs w:val="21"/>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88"/>
    <w:p>
      <w:pPr>
        <w:rPr>
          <w:rFonts w:ascii="黑体" w:hAnsi="宋体" w:eastAsia="黑体"/>
          <w:sz w:val="24"/>
        </w:rPr>
      </w:pPr>
      <w:r>
        <w:rPr>
          <w:rFonts w:hint="eastAsia" w:ascii="黑体" w:hAnsi="宋体" w:eastAsia="黑体"/>
          <w:sz w:val="24"/>
        </w:rPr>
        <w:t>21．</w:t>
      </w:r>
      <w:bookmarkStart w:id="89" w:name="_Hlk72402325"/>
      <w:r>
        <w:rPr>
          <w:rFonts w:hint="eastAsia" w:ascii="黑体" w:hAnsi="宋体" w:eastAsia="黑体"/>
          <w:sz w:val="24"/>
        </w:rPr>
        <w:t xml:space="preserve">关于投标保证金 </w:t>
      </w:r>
    </w:p>
    <w:p>
      <w:pPr>
        <w:rPr>
          <w:rFonts w:ascii="宋体" w:hAnsi="宋体"/>
          <w:szCs w:val="21"/>
        </w:rPr>
      </w:pPr>
      <w:r>
        <w:rPr>
          <w:rFonts w:hint="eastAsia" w:ascii="宋体" w:hAnsi="宋体"/>
          <w:szCs w:val="21"/>
        </w:rPr>
        <w:t xml:space="preserve">    21.1 </w:t>
      </w:r>
      <w:r>
        <w:rPr>
          <w:rFonts w:hint="eastAsia"/>
        </w:rPr>
        <w:t>根据《</w:t>
      </w:r>
      <w:r>
        <w:t>深圳市财政局关于明确政府采购保证金管理工作的通知</w:t>
      </w:r>
      <w:r>
        <w:rPr>
          <w:rFonts w:hint="eastAsia"/>
        </w:rPr>
        <w:t>》（深财购[</w:t>
      </w:r>
      <w:r>
        <w:t>2019]42</w:t>
      </w:r>
      <w:r>
        <w:rPr>
          <w:rFonts w:hint="eastAsia"/>
        </w:rPr>
        <w:t>号）文的规定，本项目不收取投标保证金。</w:t>
      </w:r>
    </w:p>
    <w:p>
      <w:pPr>
        <w:rPr>
          <w:rFonts w:ascii="黑体" w:hAnsi="宋体" w:eastAsia="黑体"/>
          <w:sz w:val="24"/>
        </w:rPr>
      </w:pPr>
      <w:r>
        <w:rPr>
          <w:rFonts w:hint="eastAsia" w:ascii="黑体" w:hAnsi="宋体" w:eastAsia="黑体"/>
          <w:sz w:val="24"/>
        </w:rPr>
        <w:t>22．投标人的替代方案</w:t>
      </w:r>
    </w:p>
    <w:p>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89"/>
    <w:p>
      <w:pPr>
        <w:rPr>
          <w:rFonts w:ascii="黑体" w:hAnsi="宋体" w:eastAsia="黑体"/>
          <w:sz w:val="24"/>
        </w:rPr>
      </w:pPr>
      <w:r>
        <w:rPr>
          <w:rFonts w:hint="eastAsia" w:ascii="黑体" w:hAnsi="宋体" w:eastAsia="黑体"/>
          <w:sz w:val="24"/>
        </w:rPr>
        <w:t>23．</w:t>
      </w:r>
      <w:bookmarkStart w:id="90"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pPr>
        <w:ind w:firstLine="411" w:firstLineChars="196"/>
        <w:rPr>
          <w:rFonts w:ascii="宋体" w:hAnsi="宋体"/>
        </w:rPr>
      </w:pPr>
      <w:r>
        <w:rPr>
          <w:rFonts w:hint="eastAsia" w:ascii="宋体" w:hAnsi="宋体"/>
        </w:rPr>
        <w:t>23.1投标人应准备所投项目的电子投标文件一份。此电子投标文件须由投标人根据政府集中采购机构提供的后缀名为.zbs的电子招标文件、《投标书编制软件》编制【要求下载安装《投标书编制软件》及其配套软件，使用电子密钥登录</w:t>
      </w:r>
      <w:r>
        <w:rPr>
          <w:rFonts w:hint="eastAsia" w:ascii="宋体" w:hAnsi="宋体"/>
          <w:szCs w:val="21"/>
        </w:rPr>
        <w:t>深圳交易集团有限公司政府采购业务分公司网站（</w:t>
      </w:r>
      <w:r>
        <w:rPr>
          <w:rFonts w:ascii="宋体" w:hAnsi="宋体"/>
          <w:szCs w:val="21"/>
        </w:rPr>
        <w:t>http://www.szggzy.com/</w:t>
      </w:r>
      <w:r>
        <w:rPr>
          <w:rFonts w:hint="eastAsia" w:ascii="宋体" w:hAnsi="宋体"/>
          <w:szCs w:val="21"/>
        </w:rPr>
        <w:t>），然后在右侧的“</w:t>
      </w:r>
      <w:r>
        <w:rPr>
          <w:rFonts w:hint="eastAsia"/>
        </w:rPr>
        <w:t>相关链接”栏目中</w:t>
      </w:r>
      <w:r>
        <w:rPr>
          <w:rFonts w:hint="eastAsia" w:ascii="宋体" w:hAnsi="宋体"/>
        </w:rPr>
        <w:t>下载。在安装此软件之前，须先安装</w:t>
      </w:r>
      <w:r>
        <w:rPr>
          <w:rFonts w:ascii="宋体" w:hAnsi="宋体"/>
        </w:rPr>
        <w:t>Adobe Reader 7.0</w:t>
      </w:r>
      <w:r>
        <w:rPr>
          <w:rFonts w:hint="eastAsia" w:ascii="宋体" w:hAnsi="宋体"/>
        </w:rPr>
        <w:t>以上版本】。</w:t>
      </w:r>
    </w:p>
    <w:p>
      <w:pPr>
        <w:ind w:firstLine="411" w:firstLineChars="196"/>
        <w:rPr>
          <w:rFonts w:ascii="宋体" w:hAnsi="宋体"/>
        </w:rPr>
      </w:pPr>
      <w:r>
        <w:rPr>
          <w:rFonts w:hint="eastAsia" w:ascii="宋体" w:hAnsi="宋体"/>
        </w:rPr>
        <w:t>23.2投标人在使用《投标书编制软件》编制投标书时须注意：</w:t>
      </w:r>
    </w:p>
    <w:p>
      <w:pPr>
        <w:ind w:firstLine="411" w:firstLineChars="196"/>
        <w:rPr>
          <w:rFonts w:ascii="宋体" w:hAnsi="宋体"/>
        </w:rPr>
      </w:pPr>
      <w:r>
        <w:rPr>
          <w:rFonts w:hint="eastAsia" w:ascii="宋体" w:hAnsi="宋体"/>
        </w:rPr>
        <w:t>23.2.1导入《投标书编制软件》的招标文件项目编号、包号应与以此制作的投标文件项目编号、包号一致。例如，不能将甲项目A包的招标书导入《投标书编制软件》，制作乙项目B包的投标书。</w:t>
      </w:r>
    </w:p>
    <w:p>
      <w:pPr>
        <w:ind w:firstLine="411" w:firstLineChars="196"/>
        <w:rPr>
          <w:rFonts w:ascii="宋体" w:hAnsi="宋体"/>
        </w:rPr>
      </w:pPr>
      <w:r>
        <w:rPr>
          <w:rFonts w:hint="eastAsia" w:ascii="宋体" w:hAnsi="宋体"/>
        </w:rPr>
        <w:t>23.2.2不能用非本公司的电子密钥加密本公司的投标文件，或者用其它公司的登录用户上传本公司的投标文件。</w:t>
      </w:r>
    </w:p>
    <w:p>
      <w:pPr>
        <w:ind w:firstLine="411" w:firstLineChars="196"/>
        <w:rPr>
          <w:rFonts w:ascii="宋体" w:hAnsi="宋体"/>
        </w:rPr>
      </w:pPr>
      <w:r>
        <w:rPr>
          <w:rFonts w:hint="eastAsia" w:ascii="宋体" w:hAnsi="宋体"/>
        </w:rPr>
        <w:t>23.2.3要求用《投标书编制软件》编制投标书的包，不能用其它方式编制投标书。编制投标文件时，电脑须连通互联网。</w:t>
      </w:r>
    </w:p>
    <w:p>
      <w:pPr>
        <w:ind w:firstLine="411" w:firstLineChars="196"/>
        <w:rPr>
          <w:rFonts w:ascii="宋体" w:hAnsi="宋体"/>
        </w:rPr>
      </w:pPr>
      <w:r>
        <w:rPr>
          <w:rFonts w:hint="eastAsia" w:ascii="宋体" w:hAnsi="宋体"/>
        </w:rPr>
        <w:t>23.2.4投标文件不能带病毒。政府集中采购机构将用专业杀毒软件对投标文件进行病毒检测，如果这两种软件均报告发现病毒，则政府集中采购机构认为该投标文件带病毒。</w:t>
      </w:r>
    </w:p>
    <w:p>
      <w:pPr>
        <w:ind w:firstLine="411" w:firstLineChars="196"/>
        <w:rPr>
          <w:rFonts w:ascii="宋体" w:hAnsi="宋体"/>
        </w:rPr>
      </w:pPr>
      <w:r>
        <w:rPr>
          <w:rFonts w:hint="eastAsia" w:ascii="宋体" w:hAnsi="宋体"/>
        </w:rPr>
        <w:t>23.2.5完整填写“投标关键信息”，如下图所示：</w:t>
      </w:r>
    </w:p>
    <w:p>
      <w:pPr>
        <w:ind w:firstLine="411" w:firstLineChars="196"/>
        <w:rPr>
          <w:rFonts w:ascii="宋体" w:hAnsi="宋体"/>
        </w:rPr>
      </w:pPr>
      <w:r>
        <w:rPr>
          <w:rFonts w:hint="eastAsia" w:ascii="宋体" w:hAnsi="宋体"/>
        </w:rPr>
        <w:t>（1）货物类</w:t>
      </w:r>
    </w:p>
    <w:p>
      <w:pPr>
        <w:ind w:firstLine="411" w:firstLineChars="196"/>
        <w:rPr>
          <w:rFonts w:ascii="宋体" w:hAnsi="宋体"/>
        </w:rPr>
      </w:pPr>
      <w:r>
        <w:rPr>
          <w:rFonts w:ascii="宋体" w:hAnsi="宋体"/>
        </w:rPr>
        <w:drawing>
          <wp:inline distT="0" distB="0" distL="0" distR="0">
            <wp:extent cx="5276215" cy="3524250"/>
            <wp:effectExtent l="19050" t="0" r="2" b="0"/>
            <wp:docPr id="9" name="图片 4" descr="C:\Users\weixun\Documents\Tencent Files\175277410\Image\C2C\Image1\T_D}XAT_OUE)6}FU%{YJA`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descr="C:\Users\weixun\Documents\Tencent Files\175277410\Image\C2C\Image1\T_D}XAT_OUE)6}FU%{YJA`W.jpg"/>
                    <pic:cNvPicPr>
                      <a:picLocks noChangeAspect="1" noChangeArrowheads="1"/>
                    </pic:cNvPicPr>
                  </pic:nvPicPr>
                  <pic:blipFill>
                    <a:blip r:embed="rId8" cstate="print"/>
                    <a:srcRect/>
                    <a:stretch>
                      <a:fillRect/>
                    </a:stretch>
                  </pic:blipFill>
                  <pic:spPr>
                    <a:xfrm>
                      <a:off x="0" y="0"/>
                      <a:ext cx="5278755" cy="3525523"/>
                    </a:xfrm>
                    <a:prstGeom prst="rect">
                      <a:avLst/>
                    </a:prstGeom>
                    <a:noFill/>
                    <a:ln w="9525">
                      <a:noFill/>
                      <a:miter lim="800000"/>
                      <a:headEnd/>
                      <a:tailEnd/>
                    </a:ln>
                  </pic:spPr>
                </pic:pic>
              </a:graphicData>
            </a:graphic>
          </wp:inline>
        </w:drawing>
      </w:r>
    </w:p>
    <w:p>
      <w:pPr>
        <w:ind w:firstLine="413" w:firstLineChars="196"/>
        <w:rPr>
          <w:rFonts w:ascii="宋体" w:hAnsi="宋体"/>
          <w:b/>
        </w:rPr>
      </w:pPr>
      <w:r>
        <w:rPr>
          <w:rFonts w:hint="eastAsia" w:ascii="宋体" w:hAnsi="宋体"/>
          <w:b/>
        </w:rPr>
        <w:t>备注：上述“开标一览表”中的“投标总价”将作为价格分计算依据；其它信息仅是对投标文件相关内容的概括性表述，不作为评审依据。</w:t>
      </w:r>
    </w:p>
    <w:p>
      <w:pPr>
        <w:ind w:firstLine="413" w:firstLineChars="196"/>
        <w:rPr>
          <w:rFonts w:ascii="宋体" w:hAnsi="宋体"/>
          <w:b/>
        </w:rPr>
      </w:pPr>
    </w:p>
    <w:p>
      <w:pPr>
        <w:ind w:firstLine="411" w:firstLineChars="196"/>
        <w:rPr>
          <w:rFonts w:ascii="宋体" w:hAnsi="宋体"/>
        </w:rPr>
      </w:pPr>
    </w:p>
    <w:p>
      <w:pPr>
        <w:rPr>
          <w:rFonts w:ascii="宋体" w:hAnsi="宋体"/>
        </w:rPr>
      </w:pPr>
    </w:p>
    <w:p>
      <w:pPr>
        <w:ind w:firstLine="411" w:firstLineChars="196"/>
        <w:rPr>
          <w:rFonts w:ascii="宋体" w:hAnsi="宋体"/>
        </w:rPr>
      </w:pPr>
      <w:r>
        <w:rPr>
          <w:rFonts w:hint="eastAsia" w:ascii="宋体" w:hAnsi="宋体"/>
        </w:rPr>
        <w:t>（2）服务类</w:t>
      </w:r>
    </w:p>
    <w:p>
      <w:pPr>
        <w:widowControl/>
        <w:jc w:val="left"/>
        <w:rPr>
          <w:rFonts w:ascii="宋体" w:hAnsi="宋体" w:cs="宋体"/>
          <w:kern w:val="0"/>
          <w:sz w:val="24"/>
        </w:rPr>
      </w:pPr>
      <w:r>
        <w:rPr>
          <w:rFonts w:ascii="宋体" w:hAnsi="宋体" w:cs="宋体"/>
          <w:kern w:val="0"/>
          <w:sz w:val="24"/>
        </w:rPr>
        <w:drawing>
          <wp:inline distT="0" distB="0" distL="0" distR="0">
            <wp:extent cx="5273675" cy="3667125"/>
            <wp:effectExtent l="19050" t="0" r="2966" b="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9" cstate="print"/>
                    <a:srcRect/>
                    <a:stretch>
                      <a:fillRect/>
                    </a:stretch>
                  </pic:blipFill>
                  <pic:spPr>
                    <a:xfrm>
                      <a:off x="0" y="0"/>
                      <a:ext cx="5278754" cy="3670511"/>
                    </a:xfrm>
                    <a:prstGeom prst="rect">
                      <a:avLst/>
                    </a:prstGeom>
                    <a:noFill/>
                    <a:ln w="9525">
                      <a:noFill/>
                      <a:miter lim="800000"/>
                      <a:headEnd/>
                      <a:tailEnd/>
                    </a:ln>
                  </pic:spPr>
                </pic:pic>
              </a:graphicData>
            </a:graphic>
          </wp:inline>
        </w:drawing>
      </w:r>
    </w:p>
    <w:p>
      <w:pPr>
        <w:ind w:firstLine="413" w:firstLineChars="196"/>
        <w:rPr>
          <w:rFonts w:ascii="宋体" w:hAnsi="宋体"/>
          <w:b/>
        </w:rPr>
      </w:pPr>
      <w:r>
        <w:rPr>
          <w:rFonts w:hint="eastAsia" w:ascii="宋体" w:hAnsi="宋体"/>
          <w:b/>
        </w:rPr>
        <w:t>备注：上述“开标一览表”中的“投标总价”将作为价格分计算依据；其它信息仅是对投标文件相关内容的概括性表述，不作为评审依据。</w:t>
      </w:r>
    </w:p>
    <w:p>
      <w:pPr>
        <w:ind w:firstLine="411" w:firstLineChars="196"/>
        <w:rPr>
          <w:rFonts w:ascii="宋体" w:hAnsi="宋体"/>
        </w:rPr>
      </w:pPr>
      <w:r>
        <w:rPr>
          <w:rFonts w:hint="eastAsia" w:ascii="宋体" w:hAnsi="宋体"/>
        </w:rPr>
        <w:t>23.2.6投标人在编辑投标文件时，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p>
      <w:pPr>
        <w:ind w:firstLine="411" w:firstLineChars="196"/>
        <w:rPr>
          <w:rFonts w:ascii="宋体" w:hAnsi="宋体"/>
        </w:rPr>
      </w:pPr>
      <w:r>
        <w:rPr>
          <w:rFonts w:hint="eastAsia" w:ascii="宋体" w:hAnsi="宋体"/>
        </w:rPr>
        <w:t>23.2.7投标文件编写完成后，</w:t>
      </w:r>
      <w:r>
        <w:rPr>
          <w:rFonts w:hint="eastAsia" w:ascii="宋体" w:hAnsi="宋体"/>
          <w:b/>
        </w:rPr>
        <w:t>必须用属于投标人的电子密钥进行加密，否则视同未盖公章，将导致投标文件无效。</w:t>
      </w:r>
    </w:p>
    <w:p>
      <w:pPr>
        <w:ind w:firstLine="411" w:firstLineChars="196"/>
        <w:rPr>
          <w:rFonts w:ascii="宋体" w:hAnsi="宋体"/>
        </w:rPr>
      </w:pPr>
      <w:r>
        <w:rPr>
          <w:rFonts w:hint="eastAsia" w:ascii="宋体" w:hAnsi="宋体"/>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pPr>
        <w:ind w:firstLine="411" w:firstLineChars="196"/>
        <w:rPr>
          <w:rFonts w:ascii="宋体" w:hAnsi="宋体"/>
        </w:rPr>
      </w:pPr>
      <w:r>
        <w:rPr>
          <w:rFonts w:hint="eastAsia" w:ascii="宋体" w:hAnsi="宋体"/>
        </w:rPr>
        <w:t>23.2.9如果开标时出现网络故障、技术故障，影响了政府采购活动，政府集中采购机构有权采取措施如延期、接受无法从网上上传的投标书等，以保障政府采购活动的公开、公平和公正。</w:t>
      </w:r>
    </w:p>
    <w:p>
      <w:pPr>
        <w:ind w:firstLine="411" w:firstLineChars="196"/>
        <w:rPr>
          <w:rFonts w:ascii="宋体" w:hAnsi="宋体"/>
        </w:rPr>
      </w:pPr>
      <w:r>
        <w:rPr>
          <w:rFonts w:hint="eastAsia" w:ascii="宋体" w:hAnsi="宋体"/>
        </w:rPr>
        <w:t>23.3电报、电话、传真形式的投标概不接受。</w:t>
      </w:r>
    </w:p>
    <w:p>
      <w:pPr>
        <w:ind w:firstLine="413" w:firstLineChars="196"/>
        <w:rPr>
          <w:rFonts w:ascii="宋体" w:hAnsi="宋体"/>
          <w:b/>
        </w:rPr>
      </w:pPr>
      <w:r>
        <w:rPr>
          <w:rFonts w:hint="eastAsia" w:ascii="宋体" w:hAnsi="宋体"/>
          <w:b/>
        </w:rPr>
        <w:t>23.4经投标人电子密钥加密的投标文件无须盖章或签字，</w:t>
      </w:r>
      <w:r>
        <w:rPr>
          <w:rFonts w:hint="eastAsia" w:ascii="宋体" w:hAnsi="宋体"/>
        </w:rPr>
        <w:t>专用条款另有要求的除外。</w:t>
      </w:r>
    </w:p>
    <w:p>
      <w:pPr>
        <w:ind w:firstLine="413" w:firstLineChars="196"/>
        <w:rPr>
          <w:rFonts w:ascii="宋体" w:hAnsi="宋体"/>
        </w:rPr>
      </w:pPr>
      <w:r>
        <w:rPr>
          <w:rFonts w:hint="eastAsia" w:ascii="宋体" w:hAnsi="宋体"/>
          <w:b/>
        </w:rPr>
        <w:t>23.5</w:t>
      </w:r>
      <w:r>
        <w:rPr>
          <w:rFonts w:hint="eastAsia" w:ascii="宋体" w:hAnsi="宋体"/>
        </w:rPr>
        <w:t xml:space="preserve"> 各类资格（资质）文件提供扫描件，专用条款另有要求的除外。</w:t>
      </w:r>
      <w:bookmarkEnd w:id="90"/>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投标文件的递交</w:t>
      </w:r>
    </w:p>
    <w:p>
      <w:pPr>
        <w:rPr>
          <w:rFonts w:ascii="黑体" w:hAnsi="宋体" w:eastAsia="黑体"/>
          <w:sz w:val="24"/>
        </w:rPr>
      </w:pPr>
      <w:bookmarkStart w:id="91" w:name="_Hlk72405459"/>
      <w:r>
        <w:rPr>
          <w:rFonts w:hint="eastAsia" w:ascii="黑体" w:hAnsi="宋体" w:eastAsia="黑体"/>
          <w:sz w:val="24"/>
        </w:rPr>
        <w:t>24．投标文件的保密</w:t>
      </w:r>
    </w:p>
    <w:p>
      <w:pPr>
        <w:ind w:firstLine="411" w:firstLineChars="196"/>
        <w:rPr>
          <w:rFonts w:ascii="宋体" w:hAnsi="宋体"/>
        </w:rPr>
      </w:pPr>
      <w:r>
        <w:rPr>
          <w:rFonts w:hint="eastAsia" w:ascii="宋体" w:hAnsi="宋体"/>
        </w:rPr>
        <w:t>24.1在投标文件制作完成后，在投标书编制软件点击“加密投标书”按钮进入加密界面，对投标书进行加密，也可单独使用“深圳政府标书加密软件”（一般是与投标书编制软件捆绑下载）进入加密界面进行加密，无需用其它加密方式。此加密程序确保投标文件在到达投标截止时间后才能解密查看。在加密过程中，请按照软件提示进行操作。加密界面如下图所示：</w:t>
      </w:r>
    </w:p>
    <w:p>
      <w:pPr>
        <w:widowControl/>
        <w:jc w:val="left"/>
        <w:rPr>
          <w:rFonts w:ascii="宋体" w:hAnsi="宋体" w:cs="宋体"/>
          <w:kern w:val="0"/>
          <w:sz w:val="24"/>
        </w:rPr>
      </w:pPr>
      <w:r>
        <w:rPr>
          <w:rFonts w:ascii="宋体" w:hAnsi="宋体" w:cs="宋体"/>
          <w:kern w:val="0"/>
          <w:sz w:val="24"/>
        </w:rPr>
        <w:drawing>
          <wp:inline distT="0" distB="0" distL="0" distR="0">
            <wp:extent cx="4991100" cy="3933825"/>
            <wp:effectExtent l="19050" t="0" r="0" b="0"/>
            <wp:docPr id="12" name="图片 1" descr="C:\Users\weixun\AppData\Local\Temp\WeChat Files\0f46208c35b849896d64636a0e3bb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C:\Users\weixun\AppData\Local\Temp\WeChat Files\0f46208c35b849896d64636a0e3bb87.jpg"/>
                    <pic:cNvPicPr>
                      <a:picLocks noChangeAspect="1" noChangeArrowheads="1"/>
                    </pic:cNvPicPr>
                  </pic:nvPicPr>
                  <pic:blipFill>
                    <a:blip r:embed="rId10" cstate="print"/>
                    <a:srcRect/>
                    <a:stretch>
                      <a:fillRect/>
                    </a:stretch>
                  </pic:blipFill>
                  <pic:spPr>
                    <a:xfrm>
                      <a:off x="0" y="0"/>
                      <a:ext cx="4991100" cy="3933825"/>
                    </a:xfrm>
                    <a:prstGeom prst="rect">
                      <a:avLst/>
                    </a:prstGeom>
                    <a:noFill/>
                    <a:ln w="9525">
                      <a:noFill/>
                      <a:miter lim="800000"/>
                      <a:headEnd/>
                      <a:tailEnd/>
                    </a:ln>
                  </pic:spPr>
                </pic:pic>
              </a:graphicData>
            </a:graphic>
          </wp:inline>
        </w:drawing>
      </w:r>
    </w:p>
    <w:p>
      <w:pPr>
        <w:rPr>
          <w:sz w:val="24"/>
        </w:rPr>
      </w:pPr>
    </w:p>
    <w:p>
      <w:pPr>
        <w:rPr>
          <w:sz w:val="24"/>
        </w:rPr>
      </w:pPr>
      <w:r>
        <w:rPr>
          <w:sz w:val="24"/>
        </w:rPr>
        <w:drawing>
          <wp:inline distT="0" distB="0" distL="0" distR="0">
            <wp:extent cx="4495800" cy="2171700"/>
            <wp:effectExtent l="19050" t="0" r="0" b="0"/>
            <wp:docPr id="13" name="图片 2" descr="C:\Users\weixun\AppData\Local\Temp\WeChat Files\17bf5d9a0536cc3e4cdd2781a40dd7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C:\Users\weixun\AppData\Local\Temp\WeChat Files\17bf5d9a0536cc3e4cdd2781a40dd7f.jpg"/>
                    <pic:cNvPicPr>
                      <a:picLocks noChangeAspect="1" noChangeArrowheads="1"/>
                    </pic:cNvPicPr>
                  </pic:nvPicPr>
                  <pic:blipFill>
                    <a:blip r:embed="rId11" cstate="print"/>
                    <a:srcRect/>
                    <a:stretch>
                      <a:fillRect/>
                    </a:stretch>
                  </pic:blipFill>
                  <pic:spPr>
                    <a:xfrm>
                      <a:off x="0" y="0"/>
                      <a:ext cx="4495800" cy="2171700"/>
                    </a:xfrm>
                    <a:prstGeom prst="rect">
                      <a:avLst/>
                    </a:prstGeom>
                    <a:noFill/>
                    <a:ln w="9525">
                      <a:noFill/>
                      <a:miter lim="800000"/>
                      <a:headEnd/>
                      <a:tailEnd/>
                    </a:ln>
                  </pic:spPr>
                </pic:pic>
              </a:graphicData>
            </a:graphic>
          </wp:inline>
        </w:drawing>
      </w:r>
    </w:p>
    <w:p>
      <w:pPr>
        <w:rPr>
          <w:rFonts w:ascii="宋体" w:hAnsi="宋体"/>
          <w:b/>
        </w:rPr>
      </w:pPr>
      <w:r>
        <w:rPr>
          <w:rFonts w:hint="eastAsia" w:ascii="宋体" w:hAnsi="宋体"/>
          <w:b/>
        </w:rPr>
        <w:t xml:space="preserve"> 24.2若采购项目出现延期情况：</w:t>
      </w:r>
    </w:p>
    <w:p>
      <w:pPr>
        <w:ind w:firstLine="422" w:firstLineChars="200"/>
        <w:rPr>
          <w:rFonts w:ascii="黑体" w:hAnsi="宋体" w:eastAsia="黑体"/>
          <w:b/>
          <w:sz w:val="24"/>
        </w:rPr>
      </w:pPr>
      <w:r>
        <w:rPr>
          <w:rFonts w:hint="eastAsia" w:ascii="宋体" w:hAnsi="宋体"/>
          <w:b/>
        </w:rPr>
        <w:t>如果供下载的招标文件（后缀名为.ZBS）有更新，投标人必须重新下载招标文件、重新制作投标文件、重新加密投标文件、重新上传投标文件；如果供下载的招标文件（后缀名为.ZBS）没有更新，投标人必须重新加密投标文件、重新上传投标文件（是否重新制作投标文件根据项目实际情况定）。否则，投标人自行承担投标文件无法解密导致投标无效的后果。</w:t>
      </w:r>
    </w:p>
    <w:p>
      <w:pPr>
        <w:rPr>
          <w:rFonts w:ascii="黑体" w:hAnsi="宋体" w:eastAsia="黑体"/>
          <w:sz w:val="24"/>
        </w:rPr>
      </w:pPr>
      <w:r>
        <w:rPr>
          <w:rFonts w:hint="eastAsia" w:ascii="黑体" w:hAnsi="宋体" w:eastAsia="黑体"/>
          <w:sz w:val="24"/>
        </w:rPr>
        <w:t>25．上传投标文件及投标截止日期</w:t>
      </w:r>
    </w:p>
    <w:p>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1实行网上投标，</w:t>
      </w:r>
      <w:r>
        <w:rPr>
          <w:rFonts w:ascii="宋体" w:hAnsi="宋体"/>
        </w:rPr>
        <w:t>投标人必须</w:t>
      </w:r>
      <w:r>
        <w:rPr>
          <w:rFonts w:hint="eastAsia" w:ascii="宋体" w:hAnsi="宋体"/>
        </w:rPr>
        <w:t>在招标</w:t>
      </w:r>
      <w:r>
        <w:rPr>
          <w:rFonts w:ascii="宋体" w:hAnsi="宋体"/>
        </w:rPr>
        <w:t>文件规定的投标截止时间前</w:t>
      </w:r>
      <w:r>
        <w:rPr>
          <w:rFonts w:hint="eastAsia" w:ascii="宋体" w:hAnsi="宋体"/>
        </w:rPr>
        <w:t>用电子密钥登录“</w:t>
      </w:r>
      <w:r>
        <w:rPr>
          <w:rFonts w:hint="eastAsia" w:ascii="宋体" w:hAnsi="宋体"/>
          <w:b/>
          <w:bCs/>
          <w:szCs w:val="21"/>
        </w:rPr>
        <w:t>深圳公共资源交易中心（深圳交易集团有限公司政府采购业务分公司）</w:t>
      </w:r>
      <w:r>
        <w:rPr>
          <w:rFonts w:hint="eastAsia" w:ascii="宋体" w:hAnsi="宋体"/>
        </w:rPr>
        <w:t>网站”</w:t>
      </w:r>
      <w:r>
        <w:rPr>
          <w:rFonts w:hint="eastAsia" w:ascii="宋体" w:hAnsi="宋体"/>
          <w:b/>
          <w:bCs/>
          <w:szCs w:val="21"/>
        </w:rPr>
        <w:t>（</w:t>
      </w:r>
      <w:r>
        <w:rPr>
          <w:rFonts w:ascii="宋体" w:hAnsi="宋体"/>
          <w:b/>
          <w:bCs/>
          <w:szCs w:val="21"/>
        </w:rPr>
        <w:t>http://www.szggzy.com/</w:t>
      </w:r>
      <w:r>
        <w:rPr>
          <w:rFonts w:hint="eastAsia" w:ascii="宋体" w:hAnsi="宋体"/>
          <w:b/>
          <w:bCs/>
          <w:szCs w:val="21"/>
        </w:rPr>
        <w:t>）</w:t>
      </w:r>
      <w:r>
        <w:rPr>
          <w:rFonts w:hint="eastAsia" w:ascii="宋体" w:hAnsi="宋体"/>
        </w:rPr>
        <w:t>，使用“应标管理”</w:t>
      </w:r>
      <w:r>
        <w:rPr>
          <w:rFonts w:ascii="宋体" w:hAnsi="宋体"/>
        </w:rPr>
        <w:t>—</w:t>
      </w:r>
      <w:r>
        <w:rPr>
          <w:rFonts w:hint="eastAsia" w:ascii="宋体" w:hAnsi="宋体"/>
        </w:rPr>
        <w:t>》“上传投标文件”功能点上传投标文件。如果没有该功能点，请用本公司的机构管理员在 “系统维护”</w:t>
      </w:r>
      <w:r>
        <w:rPr>
          <w:rFonts w:ascii="宋体" w:hAnsi="宋体"/>
        </w:rPr>
        <w:t>—</w:t>
      </w:r>
      <w:r>
        <w:rPr>
          <w:rFonts w:hint="eastAsia" w:ascii="宋体" w:hAnsi="宋体"/>
        </w:rPr>
        <w:t>》“修改用户权限”中增加该功能点，如果增加不成功，请在工作日与政府集中采购机构联系。如果确有困难，多次上传均告失败，请在投标截止时间之前携带加密后的电子投标文件送达至</w:t>
      </w:r>
      <w:r>
        <w:rPr>
          <w:rFonts w:hint="eastAsia" w:ascii="宋体" w:hAnsi="宋体"/>
          <w:b/>
          <w:bCs/>
          <w:szCs w:val="21"/>
        </w:rPr>
        <w:t>深圳公共资源交易中心（深圳交易集团有限公司政府采购业务分公司）</w:t>
      </w:r>
      <w:r>
        <w:rPr>
          <w:rFonts w:hint="eastAsia" w:ascii="宋体" w:hAnsi="宋体"/>
          <w:b/>
          <w:bCs/>
        </w:rPr>
        <w:t>3楼304室（地址：深圳市福田区景田路70号雅枫国际酒店北侧交易集团评审区三楼），联系方式：83948100，83938584，83938599</w:t>
      </w:r>
      <w:r>
        <w:rPr>
          <w:rFonts w:hint="eastAsia" w:ascii="宋体" w:hAnsi="宋体"/>
        </w:rPr>
        <w:t>。</w:t>
      </w:r>
    </w:p>
    <w:p>
      <w:pPr>
        <w:ind w:firstLine="411" w:firstLineChars="196"/>
        <w:rPr>
          <w:rFonts w:ascii="宋体" w:hAnsi="宋体"/>
        </w:rPr>
      </w:pPr>
      <w:r>
        <w:rPr>
          <w:rFonts w:hint="eastAsia" w:ascii="宋体" w:hAnsi="宋体"/>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3投标截止时间以后不得上传投标文件。</w:t>
      </w:r>
    </w:p>
    <w:bookmarkEnd w:id="91"/>
    <w:p>
      <w:pPr>
        <w:rPr>
          <w:rFonts w:ascii="黑体" w:hAnsi="宋体" w:eastAsia="黑体"/>
          <w:sz w:val="24"/>
        </w:rPr>
      </w:pPr>
      <w:r>
        <w:rPr>
          <w:rFonts w:hint="eastAsia" w:ascii="黑体" w:hAnsi="宋体" w:eastAsia="黑体"/>
          <w:sz w:val="24"/>
        </w:rPr>
        <w:t>26. 样品、现场演示、方案讲解</w:t>
      </w:r>
    </w:p>
    <w:p>
      <w:pPr>
        <w:ind w:firstLine="411" w:firstLineChars="196"/>
        <w:rPr>
          <w:rFonts w:ascii="宋体" w:hAnsi="宋体"/>
          <w:szCs w:val="21"/>
        </w:rPr>
      </w:pPr>
      <w:r>
        <w:rPr>
          <w:rFonts w:hint="eastAsia" w:ascii="宋体" w:hAnsi="宋体"/>
          <w:szCs w:val="21"/>
        </w:rPr>
        <w:t>26.1 样品、现场演示、方案讲解等事项在招标文件专用条款中进行规定。</w:t>
      </w:r>
    </w:p>
    <w:p>
      <w:pPr>
        <w:rPr>
          <w:rFonts w:ascii="黑体" w:hAnsi="宋体" w:eastAsia="黑体"/>
          <w:sz w:val="24"/>
        </w:rPr>
      </w:pPr>
      <w:bookmarkStart w:id="92"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pPr>
        <w:ind w:firstLine="411" w:firstLineChars="196"/>
        <w:rPr>
          <w:rFonts w:ascii="宋体" w:hAnsi="宋体"/>
          <w:szCs w:val="21"/>
        </w:rPr>
      </w:pPr>
      <w:r>
        <w:rPr>
          <w:rFonts w:hint="eastAsia" w:ascii="宋体" w:hAnsi="宋体"/>
          <w:szCs w:val="21"/>
        </w:rPr>
        <w:t>27.4政府集中采购机构不退还投标文件，专用条款另有规定的除外。</w:t>
      </w:r>
    </w:p>
    <w:bookmarkEnd w:id="92"/>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开标</w:t>
      </w:r>
    </w:p>
    <w:p>
      <w:pPr>
        <w:rPr>
          <w:rFonts w:ascii="黑体" w:hAnsi="宋体" w:eastAsia="黑体"/>
          <w:sz w:val="24"/>
        </w:rPr>
      </w:pPr>
      <w:r>
        <w:rPr>
          <w:rFonts w:hint="eastAsia" w:ascii="黑体" w:hAnsi="宋体" w:eastAsia="黑体"/>
          <w:sz w:val="24"/>
        </w:rPr>
        <w:t>28．开标</w:t>
      </w:r>
    </w:p>
    <w:p>
      <w:pPr>
        <w:ind w:firstLine="359" w:firstLineChars="171"/>
        <w:rPr>
          <w:rFonts w:ascii="宋体" w:hAnsi="宋体"/>
          <w:szCs w:val="21"/>
        </w:rPr>
      </w:pPr>
      <w:r>
        <w:rPr>
          <w:rFonts w:ascii="宋体" w:hAnsi="宋体"/>
          <w:szCs w:val="21"/>
        </w:rPr>
        <w:t>2</w:t>
      </w:r>
      <w:r>
        <w:rPr>
          <w:rFonts w:hint="eastAsia" w:ascii="宋体" w:hAnsi="宋体"/>
          <w:szCs w:val="21"/>
        </w:rPr>
        <w:t>8</w:t>
      </w:r>
      <w:r>
        <w:rPr>
          <w:rFonts w:ascii="宋体" w:hAnsi="宋体"/>
          <w:szCs w:val="21"/>
        </w:rPr>
        <w:t>.</w:t>
      </w:r>
      <w:r>
        <w:rPr>
          <w:rFonts w:hint="eastAsia" w:ascii="宋体" w:hAnsi="宋体"/>
          <w:szCs w:val="21"/>
        </w:rPr>
        <w:t>1政府集中采购机构将在投标截止时间后，对投标文件进行解密，开标，并在网上公布开标结果。</w:t>
      </w:r>
    </w:p>
    <w:p>
      <w:pPr>
        <w:ind w:firstLine="315" w:firstLineChars="150"/>
        <w:rPr>
          <w:rFonts w:ascii="宋体" w:hAnsi="宋体"/>
          <w:szCs w:val="21"/>
        </w:rPr>
      </w:pPr>
      <w:r>
        <w:rPr>
          <w:rFonts w:hint="eastAsia" w:ascii="宋体" w:hAnsi="宋体"/>
          <w:szCs w:val="21"/>
        </w:rPr>
        <w:t>28.2 网上投标的，当政府集中采购机构开标后，投标人即可登录“</w:t>
      </w:r>
      <w:r>
        <w:rPr>
          <w:rFonts w:hint="eastAsia" w:ascii="宋体" w:hAnsi="宋体"/>
          <w:b/>
          <w:bCs/>
          <w:color w:val="FF0000"/>
          <w:szCs w:val="21"/>
        </w:rPr>
        <w:t>深圳公共资源交易中心（深圳交易集团有限公司政府采购业务分公司）网站</w:t>
      </w:r>
      <w:r>
        <w:rPr>
          <w:rFonts w:hint="eastAsia" w:ascii="宋体" w:hAnsi="宋体"/>
          <w:szCs w:val="21"/>
        </w:rPr>
        <w:t>”，使用“应标管理</w:t>
      </w:r>
      <w:r>
        <w:rPr>
          <w:rFonts w:ascii="宋体" w:hAnsi="宋体"/>
          <w:szCs w:val="21"/>
        </w:rPr>
        <w:sym w:font="Wingdings" w:char="F0E0"/>
      </w:r>
      <w:r>
        <w:rPr>
          <w:rFonts w:hint="eastAsia" w:ascii="宋体" w:hAnsi="宋体"/>
          <w:szCs w:val="21"/>
        </w:rPr>
        <w:t>浏览开标一览表</w:t>
      </w:r>
      <w:r>
        <w:rPr>
          <w:rFonts w:ascii="宋体" w:hAnsi="宋体"/>
          <w:szCs w:val="21"/>
        </w:rPr>
        <w:t>”</w:t>
      </w:r>
      <w:r>
        <w:rPr>
          <w:rFonts w:hint="eastAsia" w:ascii="宋体" w:hAnsi="宋体"/>
          <w:szCs w:val="21"/>
        </w:rPr>
        <w:t>功能点查看开标一览表。</w:t>
      </w:r>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评审要求</w:t>
      </w:r>
    </w:p>
    <w:p>
      <w:pPr>
        <w:rPr>
          <w:rFonts w:ascii="黑体" w:hAnsi="宋体" w:eastAsia="黑体"/>
          <w:sz w:val="24"/>
        </w:rPr>
      </w:pPr>
      <w:r>
        <w:rPr>
          <w:rFonts w:hint="eastAsia" w:ascii="黑体" w:hAnsi="宋体" w:eastAsia="黑体"/>
          <w:sz w:val="24"/>
        </w:rPr>
        <w:t>29．评审委员会组成</w:t>
      </w:r>
    </w:p>
    <w:p>
      <w:pPr>
        <w:ind w:firstLine="411" w:firstLineChars="196"/>
        <w:rPr>
          <w:rFonts w:ascii="宋体" w:hAnsi="宋体"/>
        </w:rPr>
      </w:pPr>
      <w:r>
        <w:rPr>
          <w:rFonts w:hint="eastAsia" w:ascii="宋体" w:hAnsi="宋体"/>
        </w:rPr>
        <w:t>29.1网上开标结束后召开评审会议，</w:t>
      </w:r>
      <w:r>
        <w:rPr>
          <w:rFonts w:hint="eastAsia" w:ascii="宋体" w:hAnsi="宋体"/>
          <w:szCs w:val="21"/>
        </w:rPr>
        <w:t>评审委员会</w:t>
      </w:r>
      <w:r>
        <w:rPr>
          <w:rFonts w:hint="eastAsia" w:ascii="宋体" w:hAnsi="宋体"/>
        </w:rPr>
        <w:t>由政府集中采购机构依法组建，负责评审活动。</w:t>
      </w:r>
    </w:p>
    <w:p>
      <w:pPr>
        <w:ind w:firstLine="411" w:firstLineChars="196"/>
        <w:rPr>
          <w:rFonts w:ascii="宋体" w:hAnsi="宋体"/>
        </w:rPr>
      </w:pPr>
      <w:bookmarkStart w:id="93"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93"/>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pPr>
        <w:ind w:firstLine="411" w:firstLineChars="196"/>
        <w:rPr>
          <w:rFonts w:ascii="宋体" w:hAnsi="宋体"/>
        </w:rPr>
      </w:pPr>
      <w:r>
        <w:rPr>
          <w:rFonts w:hint="eastAsia" w:ascii="宋体" w:hAnsi="宋体"/>
        </w:rPr>
        <w:t>29.2评审定标应当遵循公平、公正、科学、择优的原则。</w:t>
      </w:r>
    </w:p>
    <w:p>
      <w:pPr>
        <w:ind w:firstLine="411" w:firstLineChars="196"/>
        <w:rPr>
          <w:rFonts w:ascii="宋体" w:hAnsi="宋体"/>
        </w:rPr>
      </w:pPr>
      <w:r>
        <w:rPr>
          <w:rFonts w:hint="eastAsia" w:ascii="宋体" w:hAnsi="宋体"/>
        </w:rPr>
        <w:t>29.3评审活动依法进行，任何单位和个人不得非法干预评标过程和结果。</w:t>
      </w:r>
    </w:p>
    <w:p>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pPr>
        <w:rPr>
          <w:rFonts w:ascii="黑体" w:hAnsi="宋体" w:eastAsia="黑体"/>
          <w:sz w:val="24"/>
        </w:rPr>
      </w:pPr>
      <w:r>
        <w:rPr>
          <w:rFonts w:hint="eastAsia" w:ascii="黑体" w:hAnsi="宋体" w:eastAsia="黑体"/>
          <w:sz w:val="24"/>
        </w:rPr>
        <w:t>30．向评审委员会提供的资料</w:t>
      </w:r>
    </w:p>
    <w:p>
      <w:pPr>
        <w:ind w:firstLine="411" w:firstLineChars="196"/>
        <w:rPr>
          <w:rFonts w:ascii="宋体" w:hAnsi="宋体"/>
        </w:rPr>
      </w:pPr>
      <w:r>
        <w:rPr>
          <w:rFonts w:hint="eastAsia" w:ascii="宋体" w:hAnsi="宋体"/>
        </w:rPr>
        <w:t>30.1公开发布的招标文件，包括图纸、服务清单、答疑文件等；</w:t>
      </w:r>
    </w:p>
    <w:p>
      <w:pPr>
        <w:ind w:firstLine="411" w:firstLineChars="196"/>
        <w:rPr>
          <w:rFonts w:ascii="宋体" w:hAnsi="宋体"/>
        </w:rPr>
      </w:pPr>
      <w:r>
        <w:rPr>
          <w:rFonts w:hint="eastAsia" w:ascii="宋体" w:hAnsi="宋体"/>
        </w:rPr>
        <w:t>30.2其他评标必须的资料。</w:t>
      </w:r>
    </w:p>
    <w:p>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pPr>
        <w:ind w:firstLine="411" w:firstLineChars="196"/>
        <w:rPr>
          <w:rFonts w:ascii="宋体" w:hAnsi="宋体"/>
        </w:rPr>
      </w:pPr>
      <w:r>
        <w:rPr>
          <w:rFonts w:hint="eastAsia" w:ascii="宋体" w:hAnsi="宋体"/>
        </w:rPr>
        <w:t>（1）招标的目的；</w:t>
      </w:r>
    </w:p>
    <w:p>
      <w:pPr>
        <w:ind w:firstLine="411" w:firstLineChars="196"/>
        <w:rPr>
          <w:rFonts w:ascii="宋体" w:hAnsi="宋体"/>
        </w:rPr>
      </w:pPr>
      <w:r>
        <w:rPr>
          <w:rFonts w:hint="eastAsia" w:ascii="宋体" w:hAnsi="宋体"/>
        </w:rPr>
        <w:t>（2）招标项目需求的范围和性质；</w:t>
      </w:r>
    </w:p>
    <w:p>
      <w:pPr>
        <w:ind w:firstLine="411" w:firstLineChars="196"/>
        <w:rPr>
          <w:rFonts w:ascii="宋体" w:hAnsi="宋体"/>
        </w:rPr>
      </w:pPr>
      <w:r>
        <w:rPr>
          <w:rFonts w:hint="eastAsia" w:ascii="宋体" w:hAnsi="宋体"/>
        </w:rPr>
        <w:t>（3）招标文件规定的投标人的资格、财政预算限额、商务条款；</w:t>
      </w:r>
    </w:p>
    <w:p>
      <w:pPr>
        <w:ind w:firstLine="411" w:firstLineChars="196"/>
        <w:rPr>
          <w:rFonts w:ascii="宋体" w:hAnsi="宋体"/>
        </w:rPr>
      </w:pPr>
      <w:r>
        <w:rPr>
          <w:rFonts w:hint="eastAsia" w:ascii="宋体" w:hAnsi="宋体"/>
        </w:rPr>
        <w:t>（4）招标文件规定的评标程序、评标方法和评标因素；</w:t>
      </w:r>
    </w:p>
    <w:p>
      <w:pPr>
        <w:ind w:firstLine="411" w:firstLineChars="196"/>
        <w:rPr>
          <w:rFonts w:ascii="宋体" w:hAnsi="宋体"/>
        </w:rPr>
      </w:pPr>
      <w:r>
        <w:rPr>
          <w:rFonts w:hint="eastAsia" w:ascii="宋体" w:hAnsi="宋体"/>
        </w:rPr>
        <w:t>（5）招标文件所列示的资格性审查表及符合性审查表。</w:t>
      </w:r>
    </w:p>
    <w:p>
      <w:pPr>
        <w:rPr>
          <w:rFonts w:ascii="黑体" w:hAnsi="宋体" w:eastAsia="黑体"/>
          <w:sz w:val="24"/>
        </w:rPr>
      </w:pPr>
      <w:r>
        <w:rPr>
          <w:rFonts w:hint="eastAsia" w:ascii="黑体" w:hAnsi="宋体" w:eastAsia="黑体"/>
          <w:sz w:val="24"/>
        </w:rPr>
        <w:t>31．独立评审</w:t>
      </w:r>
    </w:p>
    <w:p>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评审程序及评审方法</w:t>
      </w:r>
    </w:p>
    <w:p>
      <w:pPr>
        <w:rPr>
          <w:rFonts w:ascii="黑体" w:hAnsi="宋体" w:eastAsia="黑体"/>
          <w:sz w:val="24"/>
        </w:rPr>
      </w:pPr>
      <w:r>
        <w:rPr>
          <w:rFonts w:hint="eastAsia" w:ascii="黑体" w:hAnsi="宋体" w:eastAsia="黑体"/>
          <w:sz w:val="24"/>
        </w:rPr>
        <w:t>32．投标文件初审</w:t>
      </w:r>
    </w:p>
    <w:p>
      <w:pPr>
        <w:ind w:firstLine="411" w:firstLineChars="196"/>
        <w:rPr>
          <w:rFonts w:ascii="宋体" w:hAnsi="宋体"/>
        </w:rPr>
      </w:pPr>
      <w:r>
        <w:rPr>
          <w:rFonts w:hint="eastAsia" w:ascii="宋体" w:hAnsi="宋体"/>
        </w:rPr>
        <w:t>32.1投标文件初审包括资格性审查和符合性审查。</w:t>
      </w:r>
    </w:p>
    <w:p>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pPr>
        <w:ind w:firstLine="411" w:firstLineChars="196"/>
        <w:rPr>
          <w:rFonts w:ascii="宋体" w:hAnsi="宋体"/>
          <w:bCs/>
        </w:rPr>
      </w:pPr>
      <w:r>
        <w:rPr>
          <w:rFonts w:hint="eastAsia" w:ascii="宋体" w:hAnsi="宋体"/>
          <w:bCs/>
        </w:rPr>
        <w:t>32.3 投标文件初审中关于供应商家数的计算:</w:t>
      </w:r>
    </w:p>
    <w:p>
      <w:pPr>
        <w:ind w:firstLine="411" w:firstLineChars="196"/>
        <w:rPr>
          <w:rFonts w:ascii="宋体" w:hAnsi="宋体"/>
          <w:bCs/>
        </w:rPr>
      </w:pPr>
      <w:r>
        <w:rPr>
          <w:rFonts w:hint="eastAsia" w:ascii="宋体" w:hAnsi="宋体"/>
          <w:bCs/>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pPr>
        <w:ind w:firstLine="411" w:firstLineChars="196"/>
        <w:rPr>
          <w:rFonts w:ascii="宋体" w:hAnsi="宋体"/>
        </w:rPr>
      </w:pPr>
      <w:r>
        <w:rPr>
          <w:rFonts w:hint="eastAsia" w:ascii="宋体" w:hAnsi="宋体"/>
        </w:rPr>
        <w:t>32.4投标人投标文件作无效处理的情形，具体包括但不限于以下：</w:t>
      </w:r>
    </w:p>
    <w:p>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pPr>
        <w:ind w:firstLine="411" w:firstLineChars="196"/>
        <w:rPr>
          <w:rFonts w:ascii="宋体" w:hAnsi="宋体"/>
        </w:rPr>
      </w:pPr>
      <w:r>
        <w:rPr>
          <w:rFonts w:hint="eastAsia" w:ascii="宋体" w:hAnsi="宋体"/>
        </w:rPr>
        <w:t>32.4.3不同投标人的投标文件载明的项目管理成员或者联系人员为同一人；</w:t>
      </w:r>
    </w:p>
    <w:p>
      <w:pPr>
        <w:ind w:firstLine="411" w:firstLineChars="196"/>
        <w:rPr>
          <w:rFonts w:ascii="宋体" w:hAnsi="宋体"/>
        </w:rPr>
      </w:pPr>
      <w:r>
        <w:rPr>
          <w:rFonts w:hint="eastAsia" w:ascii="宋体" w:hAnsi="宋体"/>
        </w:rPr>
        <w:t>32.4.4不同投标人的投标文件异常一致或者投标报价呈规律性差异；</w:t>
      </w:r>
    </w:p>
    <w:p>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pPr>
        <w:ind w:firstLine="411" w:firstLineChars="196"/>
        <w:rPr>
          <w:rFonts w:ascii="宋体" w:hAnsi="宋体"/>
        </w:rPr>
      </w:pPr>
      <w:r>
        <w:rPr>
          <w:rFonts w:hint="eastAsia" w:ascii="宋体" w:hAnsi="宋体"/>
        </w:rPr>
        <w:t>32.4.6投标供应商之间相互约定给予未中标的供应商利益补偿；</w:t>
      </w:r>
    </w:p>
    <w:p>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pPr>
        <w:ind w:firstLine="411" w:firstLineChars="196"/>
        <w:rPr>
          <w:rFonts w:ascii="宋体" w:hAnsi="宋体"/>
        </w:rPr>
      </w:pPr>
      <w:r>
        <w:rPr>
          <w:rFonts w:hint="eastAsia" w:ascii="宋体" w:hAnsi="宋体"/>
        </w:rPr>
        <w:t>32.4.8不同投标供应商的投标文件内容存在非正常一致；</w:t>
      </w:r>
    </w:p>
    <w:p>
      <w:pPr>
        <w:ind w:firstLine="411" w:firstLineChars="196"/>
        <w:rPr>
          <w:rFonts w:ascii="宋体" w:hAnsi="宋体"/>
        </w:rPr>
      </w:pPr>
      <w:r>
        <w:rPr>
          <w:rFonts w:hint="eastAsia" w:ascii="宋体" w:hAnsi="宋体"/>
        </w:rPr>
        <w:t>32.4.9在同一单位工作人员为两家以上（含两家）供应商进行同一项投标活动；</w:t>
      </w:r>
    </w:p>
    <w:p>
      <w:pPr>
        <w:ind w:firstLine="411" w:firstLineChars="196"/>
        <w:rPr>
          <w:rFonts w:ascii="宋体" w:hAnsi="宋体"/>
        </w:rPr>
      </w:pPr>
      <w:r>
        <w:rPr>
          <w:rFonts w:hint="eastAsia" w:ascii="宋体" w:hAnsi="宋体"/>
        </w:rPr>
        <w:t>32.4.10主管部门依照法律、法规认定的其他情形。</w:t>
      </w:r>
    </w:p>
    <w:p>
      <w:pPr>
        <w:ind w:firstLine="411" w:firstLineChars="196"/>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pPr>
        <w:rPr>
          <w:rFonts w:ascii="黑体" w:hAnsi="宋体" w:eastAsia="黑体"/>
          <w:sz w:val="24"/>
        </w:rPr>
      </w:pPr>
      <w:r>
        <w:rPr>
          <w:rFonts w:hint="eastAsia" w:ascii="黑体" w:hAnsi="宋体" w:eastAsia="黑体"/>
          <w:sz w:val="24"/>
        </w:rPr>
        <w:t>33．澄清有关问题</w:t>
      </w:r>
    </w:p>
    <w:p>
      <w:pPr>
        <w:ind w:firstLine="411" w:firstLineChars="196"/>
        <w:rPr>
          <w:rFonts w:ascii="宋体" w:hAnsi="宋体"/>
        </w:rPr>
      </w:pPr>
      <w:bookmarkStart w:id="94"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94"/>
    </w:p>
    <w:p>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政府集中采购机构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pPr>
        <w:ind w:firstLine="411" w:firstLineChars="196"/>
        <w:rPr>
          <w:rFonts w:ascii="宋体" w:hAnsi="宋体"/>
        </w:rPr>
      </w:pPr>
      <w:r>
        <w:rPr>
          <w:rFonts w:ascii="宋体" w:hAnsi="宋体"/>
        </w:rPr>
        <w:t>33.3</w:t>
      </w:r>
      <w:r>
        <w:rPr>
          <w:rFonts w:hint="eastAsia" w:ascii="宋体" w:hAnsi="宋体"/>
        </w:rPr>
        <w:t>对于投标文件中含义不明确、同类问题表述不一致或者有明显文字和计算错误的内容，评审委员会应当以书面形式要求投标人作出必要的澄清、说明或者补正。</w:t>
      </w:r>
    </w:p>
    <w:p>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pPr>
        <w:rPr>
          <w:rFonts w:ascii="黑体" w:hAnsi="宋体" w:eastAsia="黑体"/>
          <w:sz w:val="24"/>
        </w:rPr>
      </w:pPr>
      <w:bookmarkStart w:id="95" w:name="_Toc73518151"/>
      <w:bookmarkStart w:id="96" w:name="_Toc100052400"/>
      <w:bookmarkStart w:id="97" w:name="_Toc73517673"/>
      <w:bookmarkStart w:id="98" w:name="_Toc73521581"/>
      <w:bookmarkStart w:id="99" w:name="_Toc73521669"/>
      <w:r>
        <w:rPr>
          <w:rFonts w:hint="eastAsia" w:ascii="黑体" w:hAnsi="宋体" w:eastAsia="黑体"/>
          <w:sz w:val="24"/>
        </w:rPr>
        <w:t>34．错误的修正</w:t>
      </w:r>
      <w:bookmarkEnd w:id="95"/>
      <w:bookmarkEnd w:id="96"/>
      <w:bookmarkEnd w:id="97"/>
      <w:bookmarkEnd w:id="98"/>
      <w:bookmarkEnd w:id="99"/>
    </w:p>
    <w:p>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pPr>
        <w:ind w:firstLine="411" w:firstLineChars="196"/>
        <w:rPr>
          <w:rFonts w:ascii="宋体" w:hAnsi="宋体"/>
          <w:szCs w:val="21"/>
        </w:rPr>
      </w:pPr>
      <w:r>
        <w:rPr>
          <w:rFonts w:hint="eastAsia" w:ascii="宋体" w:hAnsi="宋体"/>
          <w:szCs w:val="21"/>
        </w:rPr>
        <w:t>34.2大写金额和小写金额不一致的，以大写金额为准；</w:t>
      </w:r>
    </w:p>
    <w:p>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pPr>
        <w:ind w:firstLine="411" w:firstLineChars="196"/>
        <w:rPr>
          <w:rFonts w:ascii="宋体" w:hAnsi="宋体"/>
          <w:szCs w:val="21"/>
        </w:rPr>
      </w:pPr>
      <w:r>
        <w:rPr>
          <w:rFonts w:hint="eastAsia" w:ascii="宋体" w:hAnsi="宋体"/>
          <w:szCs w:val="21"/>
        </w:rPr>
        <w:t>34.4总价金额与按单价汇总金额不一致的，以单价金额计算结果为准。</w:t>
      </w:r>
    </w:p>
    <w:p>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pPr>
        <w:rPr>
          <w:rFonts w:ascii="黑体" w:hAnsi="宋体" w:eastAsia="黑体"/>
          <w:sz w:val="24"/>
        </w:rPr>
      </w:pPr>
      <w:r>
        <w:rPr>
          <w:rFonts w:hint="eastAsia" w:ascii="黑体" w:hAnsi="宋体" w:eastAsia="黑体"/>
          <w:sz w:val="24"/>
        </w:rPr>
        <w:t>35．投标文件的比较与评价</w:t>
      </w:r>
    </w:p>
    <w:p>
      <w:pPr>
        <w:ind w:firstLine="411" w:firstLineChars="196"/>
        <w:rPr>
          <w:rFonts w:ascii="宋体" w:hAnsi="宋体"/>
          <w:szCs w:val="21"/>
        </w:rPr>
      </w:pPr>
      <w:r>
        <w:rPr>
          <w:rFonts w:hint="eastAsia" w:ascii="宋体" w:hAnsi="宋体"/>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11" w:firstLineChars="196"/>
        <w:rPr>
          <w:rFonts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pPr>
        <w:rPr>
          <w:rFonts w:ascii="黑体" w:hAnsi="宋体" w:eastAsia="黑体"/>
          <w:sz w:val="24"/>
        </w:rPr>
      </w:pPr>
      <w:r>
        <w:rPr>
          <w:rFonts w:hint="eastAsia" w:ascii="黑体" w:hAnsi="宋体" w:eastAsia="黑体"/>
          <w:sz w:val="24"/>
        </w:rPr>
        <w:t>36. 实地考察或资料查验</w:t>
      </w:r>
    </w:p>
    <w:p>
      <w:pPr>
        <w:ind w:firstLine="411" w:firstLineChars="196"/>
        <w:rPr>
          <w:rFonts w:ascii="宋体" w:hAnsi="宋体"/>
          <w:szCs w:val="21"/>
        </w:rPr>
      </w:pPr>
      <w:r>
        <w:rPr>
          <w:rFonts w:hint="eastAsia" w:ascii="宋体" w:hAnsi="宋体"/>
          <w:szCs w:val="21"/>
        </w:rPr>
        <w:t>36.1在评审过程中，评审委员会有权决定是否对本项目投标人进行实地考察或资料查验（原件）。投标人应随时做好接受实地考察或资料查验的准备。</w:t>
      </w:r>
    </w:p>
    <w:p>
      <w:pPr>
        <w:rPr>
          <w:rFonts w:ascii="黑体" w:hAnsi="宋体" w:eastAsia="黑体"/>
          <w:sz w:val="24"/>
        </w:rPr>
      </w:pPr>
      <w:r>
        <w:rPr>
          <w:rFonts w:hint="eastAsia" w:ascii="黑体" w:hAnsi="宋体" w:eastAsia="黑体"/>
          <w:sz w:val="24"/>
        </w:rPr>
        <w:t>37．评审方法</w:t>
      </w:r>
    </w:p>
    <w:p>
      <w:pPr>
        <w:ind w:firstLine="413" w:firstLineChars="196"/>
        <w:rPr>
          <w:rFonts w:ascii="宋体" w:hAnsi="宋体"/>
          <w:b/>
          <w:bCs/>
          <w:szCs w:val="21"/>
        </w:rPr>
      </w:pPr>
      <w:r>
        <w:rPr>
          <w:rFonts w:hint="eastAsia" w:ascii="宋体" w:hAnsi="宋体"/>
          <w:b/>
          <w:bCs/>
          <w:szCs w:val="21"/>
        </w:rPr>
        <w:t>37.1.1最低价法</w:t>
      </w:r>
    </w:p>
    <w:p>
      <w:pPr>
        <w:ind w:firstLine="411" w:firstLineChars="196"/>
        <w:rPr>
          <w:rFonts w:ascii="ˎ̥" w:hAnsi="ˎ̥"/>
        </w:rPr>
      </w:pPr>
      <w:bookmarkStart w:id="100" w:name="_Hlk72438142"/>
      <w:r>
        <w:rPr>
          <w:rFonts w:ascii="ˎ̥" w:hAnsi="ˎ̥"/>
        </w:rPr>
        <w:t>最低价法，是指</w:t>
      </w:r>
      <w:r>
        <w:rPr>
          <w:rFonts w:hint="eastAsia" w:ascii="ˎ̥" w:hAnsi="ˎ̥"/>
        </w:rPr>
        <w:t>完全</w:t>
      </w:r>
      <w:r>
        <w:rPr>
          <w:rFonts w:ascii="ˎ̥" w:hAnsi="ˎ̥"/>
        </w:rPr>
        <w:t>满足招标文件实质性要求，</w:t>
      </w:r>
      <w:r>
        <w:rPr>
          <w:rFonts w:hint="eastAsia" w:ascii="ˎ̥" w:hAnsi="ˎ̥"/>
        </w:rPr>
        <w:t>按照报价由低到高的顺序，依据招标文件中规定的数量或者比例推荐候选中标供应商。</w:t>
      </w:r>
    </w:p>
    <w:p>
      <w:pPr>
        <w:ind w:firstLine="413" w:firstLineChars="196"/>
        <w:rPr>
          <w:rFonts w:ascii="宋体" w:hAnsi="宋体"/>
          <w:b/>
          <w:bCs/>
          <w:szCs w:val="21"/>
        </w:rPr>
      </w:pPr>
      <w:r>
        <w:rPr>
          <w:rFonts w:hint="eastAsia" w:ascii="宋体" w:hAnsi="宋体"/>
          <w:b/>
          <w:bCs/>
          <w:szCs w:val="21"/>
        </w:rPr>
        <w:t>37.1.2综合评分法</w:t>
      </w:r>
    </w:p>
    <w:p>
      <w:pPr>
        <w:ind w:firstLine="411" w:firstLineChars="196"/>
        <w:rPr>
          <w:rFonts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100"/>
    </w:p>
    <w:p>
      <w:pPr>
        <w:ind w:firstLine="413" w:firstLineChars="196"/>
        <w:rPr>
          <w:rFonts w:ascii="宋体" w:hAnsi="宋体"/>
          <w:b/>
          <w:bCs/>
          <w:szCs w:val="21"/>
        </w:rPr>
      </w:pPr>
      <w:r>
        <w:rPr>
          <w:rFonts w:hint="eastAsia" w:ascii="宋体" w:hAnsi="宋体"/>
          <w:b/>
          <w:bCs/>
          <w:szCs w:val="21"/>
        </w:rPr>
        <w:t>37.2 本项目采用的评审方法见本项目招标文件第一册“专用条款”的相关内容。</w:t>
      </w:r>
    </w:p>
    <w:p>
      <w:pPr>
        <w:ind w:firstLine="413" w:firstLineChars="196"/>
        <w:rPr>
          <w:rFonts w:ascii="宋体" w:hAnsi="宋体"/>
          <w:b/>
          <w:bCs/>
          <w:szCs w:val="21"/>
        </w:rPr>
      </w:pPr>
      <w:r>
        <w:rPr>
          <w:rFonts w:hint="eastAsia" w:ascii="宋体" w:hAnsi="宋体"/>
          <w:b/>
          <w:bCs/>
          <w:szCs w:val="21"/>
        </w:rPr>
        <w:t>37.3重新评审的情形</w:t>
      </w:r>
    </w:p>
    <w:p>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pPr>
        <w:ind w:firstLine="411" w:firstLineChars="196"/>
        <w:rPr>
          <w:rFonts w:ascii="宋体" w:hAnsi="宋体" w:cs="宋体"/>
          <w:kern w:val="0"/>
          <w:szCs w:val="21"/>
        </w:rPr>
      </w:pPr>
      <w:r>
        <w:rPr>
          <w:rFonts w:hint="eastAsia" w:ascii="宋体" w:hAnsi="宋体" w:cs="宋体"/>
          <w:kern w:val="0"/>
          <w:szCs w:val="21"/>
        </w:rPr>
        <w:t>37.3.1分值汇总计算错误的；</w:t>
      </w:r>
    </w:p>
    <w:p>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pPr>
        <w:ind w:firstLine="413" w:firstLineChars="196"/>
        <w:rPr>
          <w:rFonts w:ascii="宋体" w:hAnsi="宋体"/>
          <w:b/>
          <w:bCs/>
          <w:szCs w:val="21"/>
        </w:rPr>
      </w:pPr>
      <w:r>
        <w:rPr>
          <w:rFonts w:hint="eastAsia" w:ascii="宋体" w:hAnsi="宋体"/>
          <w:b/>
          <w:bCs/>
          <w:szCs w:val="21"/>
        </w:rPr>
        <w:t xml:space="preserve"> 37.4重新组建评审委员会的情形</w:t>
      </w:r>
    </w:p>
    <w:p>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定标及公示</w:t>
      </w:r>
    </w:p>
    <w:p>
      <w:pPr>
        <w:rPr>
          <w:rFonts w:ascii="黑体" w:hAnsi="宋体" w:eastAsia="黑体"/>
          <w:sz w:val="24"/>
        </w:rPr>
      </w:pPr>
      <w:r>
        <w:rPr>
          <w:rFonts w:hint="eastAsia" w:ascii="黑体" w:hAnsi="宋体" w:eastAsia="黑体"/>
          <w:sz w:val="24"/>
        </w:rPr>
        <w:t>38．定标方法</w:t>
      </w:r>
    </w:p>
    <w:p>
      <w:pPr>
        <w:ind w:firstLine="411" w:firstLineChars="196"/>
        <w:rPr>
          <w:rFonts w:ascii="宋体" w:hAnsi="宋体"/>
          <w:szCs w:val="21"/>
        </w:rPr>
      </w:pPr>
      <w:bookmarkStart w:id="101" w:name="_Hlk73782795"/>
      <w:r>
        <w:rPr>
          <w:rFonts w:hint="eastAsia" w:ascii="宋体" w:hAnsi="宋体"/>
          <w:szCs w:val="21"/>
        </w:rPr>
        <w:t>38.1非评定分离项目定标方法</w:t>
      </w:r>
    </w:p>
    <w:p>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1.1评审委员会依据本项目招标文件所约定的评审方法进行评审和比较，向政府集中采购机构提交书面评审报告，并根据评审方法比较评价结果从优到劣进行排序，确定候选中标供应商。</w:t>
      </w:r>
    </w:p>
    <w:p>
      <w:pPr>
        <w:ind w:firstLine="411" w:firstLineChars="196"/>
        <w:rPr>
          <w:rFonts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w:t>
      </w:r>
      <w:bookmarkStart w:id="102" w:name="_Hlk73821177"/>
      <w:r>
        <w:rPr>
          <w:rFonts w:hint="eastAsia" w:ascii="ˎ̥" w:hAnsi="ˎ̥"/>
        </w:rPr>
        <w:t>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bookmarkEnd w:id="102"/>
      <w:r>
        <w:rPr>
          <w:rFonts w:ascii="ˎ̥" w:hAnsi="ˎ̥"/>
        </w:rPr>
        <w:t>）。</w:t>
      </w:r>
    </w:p>
    <w:p>
      <w:pPr>
        <w:ind w:firstLine="411" w:firstLineChars="196"/>
        <w:rPr>
          <w:rFonts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p>
    <w:p>
      <w:pPr>
        <w:ind w:firstLine="411" w:firstLineChars="196"/>
        <w:rPr>
          <w:rFonts w:ascii="宋体" w:hAnsi="宋体"/>
          <w:szCs w:val="21"/>
        </w:rPr>
      </w:pPr>
      <w:r>
        <w:rPr>
          <w:rFonts w:hint="eastAsia" w:ascii="宋体" w:hAnsi="宋体"/>
          <w:szCs w:val="21"/>
        </w:rPr>
        <w:t>38.2评定分离项目定标方法</w:t>
      </w:r>
    </w:p>
    <w:p>
      <w:pPr>
        <w:ind w:firstLine="411" w:firstLineChars="196"/>
        <w:rPr>
          <w:rFonts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11" w:firstLineChars="196"/>
      </w:pPr>
      <w:r>
        <w:rPr>
          <w:rFonts w:ascii="宋体" w:hAnsi="宋体"/>
          <w:szCs w:val="21"/>
        </w:rPr>
        <w:t xml:space="preserve">38.2.2 </w:t>
      </w:r>
      <w:bookmarkStart w:id="103"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pPr>
        <w:ind w:firstLine="411" w:firstLineChars="196"/>
        <w:rPr>
          <w:rFonts w:ascii="宋体" w:hAnsi="宋体"/>
          <w:szCs w:val="21"/>
        </w:rPr>
      </w:pPr>
      <w:r>
        <w:rPr>
          <w:rFonts w:hint="eastAsia" w:ascii="宋体" w:hAnsi="宋体"/>
          <w:szCs w:val="21"/>
        </w:rPr>
        <w:t>38.2.3</w:t>
      </w:r>
      <w:bookmarkStart w:id="104"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103"/>
      <w:bookmarkEnd w:id="104"/>
    </w:p>
    <w:p>
      <w:pPr>
        <w:ind w:firstLine="411" w:firstLineChars="196"/>
        <w:rPr>
          <w:rFonts w:ascii="宋体" w:hAnsi="宋体"/>
          <w:szCs w:val="21"/>
        </w:rPr>
      </w:pPr>
      <w:r>
        <w:rPr>
          <w:rFonts w:ascii="宋体" w:hAnsi="宋体"/>
          <w:szCs w:val="21"/>
        </w:rPr>
        <w:t>38.2.4</w:t>
      </w:r>
      <w:r>
        <w:rPr>
          <w:rFonts w:hint="eastAsia" w:ascii="宋体" w:hAnsi="宋体"/>
          <w:szCs w:val="21"/>
        </w:rPr>
        <w:t>政府集中采购机构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rPr>
        <w:t>政府集中采购机构。具体定标程序及相关要求以按照《</w:t>
      </w:r>
      <w:r>
        <w:t>深圳市财政局关于印发</w:t>
      </w:r>
      <w:r>
        <w:rPr>
          <w:rFonts w:hint="eastAsia" w:ascii="宋体" w:hAnsi="宋体"/>
        </w:rPr>
        <w:t>〈</w:t>
      </w:r>
      <w:r>
        <w:t>深圳市政府采购评标定标分离管理办法</w:t>
      </w:r>
      <w:r>
        <w:rPr>
          <w:rFonts w:hint="eastAsia" w:ascii="宋体" w:hAnsi="宋体"/>
        </w:rPr>
        <w:t>〉</w:t>
      </w:r>
      <w:r>
        <w:t>的通知</w:t>
      </w:r>
      <w:r>
        <w:rPr>
          <w:rFonts w:hint="eastAsia"/>
        </w:rPr>
        <w:t>》（深财规【2</w:t>
      </w:r>
      <w:r>
        <w:t>020</w:t>
      </w:r>
      <w:r>
        <w:rPr>
          <w:rFonts w:hint="eastAsia"/>
        </w:rPr>
        <w:t>】1号）执行。</w:t>
      </w:r>
    </w:p>
    <w:p>
      <w:pPr>
        <w:ind w:firstLine="411" w:firstLineChars="196"/>
        <w:rPr>
          <w:rFonts w:ascii="宋体" w:hAnsi="宋体"/>
          <w:szCs w:val="21"/>
        </w:rPr>
      </w:pPr>
      <w:r>
        <w:rPr>
          <w:rFonts w:hint="eastAsia" w:ascii="宋体" w:hAnsi="宋体"/>
          <w:szCs w:val="21"/>
        </w:rPr>
        <w:t>说明：采购人及投标供应商应按照上述方法提前做好相关准备。</w:t>
      </w:r>
    </w:p>
    <w:p>
      <w:pPr>
        <w:ind w:firstLine="411" w:firstLineChars="196"/>
        <w:rPr>
          <w:rFonts w:ascii="宋体" w:hAnsi="宋体"/>
          <w:szCs w:val="21"/>
        </w:rPr>
      </w:pPr>
      <w:r>
        <w:rPr>
          <w:rFonts w:hint="eastAsia" w:ascii="宋体" w:hAnsi="宋体"/>
          <w:szCs w:val="21"/>
        </w:rPr>
        <w:t>38.3专用条款另有规定的，按专用条款相关要求定标。</w:t>
      </w:r>
      <w:bookmarkEnd w:id="101"/>
    </w:p>
    <w:p>
      <w:pPr>
        <w:rPr>
          <w:rFonts w:ascii="黑体" w:hAnsi="宋体" w:eastAsia="黑体"/>
          <w:sz w:val="24"/>
        </w:rPr>
      </w:pPr>
      <w:r>
        <w:rPr>
          <w:rFonts w:hint="eastAsia" w:ascii="黑体" w:hAnsi="宋体" w:eastAsia="黑体"/>
          <w:sz w:val="24"/>
        </w:rPr>
        <w:t>39．编写评审报告</w:t>
      </w:r>
    </w:p>
    <w:p>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hAnsi="宋体" w:eastAsia="黑体"/>
          <w:sz w:val="24"/>
        </w:rPr>
      </w:pPr>
      <w:r>
        <w:rPr>
          <w:rFonts w:hint="eastAsia" w:ascii="黑体" w:hAnsi="宋体" w:eastAsia="黑体"/>
          <w:sz w:val="24"/>
        </w:rPr>
        <w:t>40．中标公告</w:t>
      </w:r>
    </w:p>
    <w:p>
      <w:pPr>
        <w:ind w:firstLine="411" w:firstLineChars="196"/>
        <w:rPr>
          <w:rFonts w:ascii="宋体" w:hAnsi="宋体"/>
          <w:szCs w:val="21"/>
        </w:rPr>
      </w:pPr>
      <w:r>
        <w:rPr>
          <w:rFonts w:hint="eastAsia" w:ascii="宋体" w:hAnsi="宋体"/>
          <w:szCs w:val="21"/>
        </w:rPr>
        <w:t>40.1</w:t>
      </w:r>
      <w:bookmarkStart w:id="105" w:name="_Hlk72438709"/>
      <w:r>
        <w:rPr>
          <w:rFonts w:hint="eastAsia" w:ascii="宋体" w:hAnsi="宋体"/>
          <w:szCs w:val="21"/>
        </w:rPr>
        <w:t>为体现“公开、公平、公正”的原则，评审结束后经采购人确认（确定）评审结果，政府集中采购机构将在</w:t>
      </w:r>
      <w:r>
        <w:rPr>
          <w:rFonts w:hint="eastAsia" w:ascii="宋体" w:hAnsi="宋体"/>
          <w:b/>
          <w:bCs/>
          <w:szCs w:val="21"/>
        </w:rPr>
        <w:t>深圳公共资源交易中心（深圳交易集团有限公司政府采购业务分公司）网站（</w:t>
      </w:r>
      <w:r>
        <w:rPr>
          <w:rFonts w:ascii="宋体" w:hAnsi="宋体"/>
          <w:b/>
          <w:bCs/>
          <w:szCs w:val="21"/>
        </w:rPr>
        <w:t>http://www.szggzy.com/</w:t>
      </w:r>
      <w:r>
        <w:rPr>
          <w:rFonts w:hint="eastAsia" w:ascii="宋体" w:hAnsi="宋体"/>
          <w:b/>
          <w:bCs/>
          <w:szCs w:val="21"/>
        </w:rPr>
        <w:t>）</w:t>
      </w:r>
      <w:r>
        <w:rPr>
          <w:rFonts w:hint="eastAsia" w:ascii="宋体" w:hAnsi="宋体"/>
          <w:szCs w:val="21"/>
        </w:rPr>
        <w:t>上发布中标结果公告。</w:t>
      </w:r>
      <w:bookmarkEnd w:id="105"/>
      <w:bookmarkStart w:id="106"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rPr>
        <w:t>政府集中采购机构</w:t>
      </w:r>
      <w:r>
        <w:rPr>
          <w:rFonts w:ascii="宋体" w:hAnsi="宋体"/>
          <w:szCs w:val="21"/>
        </w:rPr>
        <w:t>提出。 监督电话：0755-83948143。</w:t>
      </w:r>
      <w:r>
        <w:rPr>
          <w:rFonts w:hint="eastAsia" w:ascii="宋体" w:hAnsi="宋体"/>
          <w:szCs w:val="21"/>
        </w:rPr>
        <w:t>若在公示期内未提出质疑，则视为认同该评审结果。</w:t>
      </w:r>
    </w:p>
    <w:bookmarkEnd w:id="106"/>
    <w:p>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pPr>
        <w:rPr>
          <w:rFonts w:ascii="黑体" w:hAnsi="宋体" w:eastAsia="黑体"/>
          <w:sz w:val="24"/>
        </w:rPr>
      </w:pPr>
      <w:r>
        <w:rPr>
          <w:rFonts w:hint="eastAsia" w:ascii="黑体" w:hAnsi="宋体" w:eastAsia="黑体"/>
          <w:sz w:val="24"/>
        </w:rPr>
        <w:t>41．中标通知书</w:t>
      </w:r>
    </w:p>
    <w:p>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107" w:name="_Hlk72438863"/>
      <w:r>
        <w:rPr>
          <w:rFonts w:hint="eastAsia" w:ascii="宋体" w:hAnsi="宋体"/>
          <w:szCs w:val="21"/>
        </w:rPr>
        <w:t>中标公告公布以后无异常的情况下,中标供应商和采购人可自行在</w:t>
      </w:r>
      <w:r>
        <w:rPr>
          <w:rFonts w:hint="eastAsia" w:ascii="宋体" w:hAnsi="宋体"/>
          <w:b/>
          <w:bCs/>
          <w:szCs w:val="21"/>
        </w:rPr>
        <w:t>深圳公共资源交易中心（深圳交易集团有限公司政府采购业务分公司）网站（</w:t>
      </w:r>
      <w:r>
        <w:rPr>
          <w:rFonts w:ascii="宋体" w:hAnsi="宋体"/>
          <w:b/>
          <w:bCs/>
          <w:szCs w:val="21"/>
        </w:rPr>
        <w:t>http://www.szggzy.com/</w:t>
      </w:r>
      <w:r>
        <w:rPr>
          <w:rFonts w:hint="eastAsia" w:ascii="宋体" w:hAnsi="宋体"/>
          <w:b/>
          <w:bCs/>
          <w:szCs w:val="21"/>
        </w:rPr>
        <w:t>）</w:t>
      </w:r>
      <w:r>
        <w:rPr>
          <w:rFonts w:hint="eastAsia" w:ascii="宋体" w:hAnsi="宋体"/>
          <w:szCs w:val="21"/>
        </w:rPr>
        <w:t>上打印</w:t>
      </w:r>
      <w:r>
        <w:rPr>
          <w:rFonts w:hint="eastAsia" w:ascii="宋体" w:hAnsi="宋体"/>
          <w:b/>
          <w:szCs w:val="21"/>
        </w:rPr>
        <w:t>《数字中标通知书》（</w:t>
      </w:r>
      <w:r>
        <w:rPr>
          <w:rFonts w:hint="eastAsia" w:ascii="宋体" w:hAnsi="宋体"/>
          <w:szCs w:val="21"/>
        </w:rPr>
        <w:t>咨询电话：</w:t>
      </w:r>
      <w:r>
        <w:rPr>
          <w:rFonts w:hint="eastAsia" w:ascii="宋体" w:hAnsi="宋体"/>
          <w:b/>
          <w:bCs/>
          <w:szCs w:val="21"/>
        </w:rPr>
        <w:t>0755-83938599，83948100，83938584</w:t>
      </w:r>
      <w:r>
        <w:rPr>
          <w:rFonts w:hint="eastAsia" w:ascii="宋体" w:hAnsi="宋体"/>
          <w:szCs w:val="21"/>
        </w:rPr>
        <w:t>）。</w:t>
      </w:r>
      <w:bookmarkEnd w:id="107"/>
    </w:p>
    <w:p>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pPr>
        <w:ind w:firstLine="411" w:firstLineChars="196"/>
        <w:rPr>
          <w:rFonts w:ascii="宋体" w:hAnsi="宋体"/>
          <w:szCs w:val="21"/>
        </w:rPr>
      </w:pPr>
      <w:bookmarkStart w:id="108" w:name="_Hlk71407340"/>
      <w:r>
        <w:rPr>
          <w:rFonts w:hint="eastAsia" w:ascii="宋体" w:hAnsi="宋体"/>
          <w:szCs w:val="21"/>
        </w:rPr>
        <w:t>41.3因质疑投诉或其它原因导致项目结果变更或采购终止的，政府集中采购机构有权吊销中标通知书。</w:t>
      </w:r>
    </w:p>
    <w:bookmarkEnd w:id="108"/>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公开招标失败的后续处理</w:t>
      </w:r>
    </w:p>
    <w:p>
      <w:pPr>
        <w:rPr>
          <w:rFonts w:ascii="黑体" w:hAnsi="宋体" w:eastAsia="黑体"/>
          <w:sz w:val="24"/>
        </w:rPr>
      </w:pPr>
      <w:r>
        <w:rPr>
          <w:rFonts w:hint="eastAsia" w:ascii="黑体" w:hAnsi="宋体" w:eastAsia="黑体"/>
          <w:sz w:val="24"/>
        </w:rPr>
        <w:t>42．公开招标失败的处理</w:t>
      </w:r>
    </w:p>
    <w:p>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rPr>
        <w:t>政府集中采购机构</w:t>
      </w:r>
      <w:r>
        <w:rPr>
          <w:rFonts w:hint="eastAsia" w:ascii="宋体" w:hAnsi="宋体"/>
        </w:rPr>
        <w:t>重新组织采购。</w:t>
      </w:r>
    </w:p>
    <w:p>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pPr>
        <w:ind w:firstLine="411" w:firstLineChars="196"/>
        <w:rPr>
          <w:rFonts w:ascii="宋体" w:hAnsi="宋体"/>
          <w:szCs w:val="21"/>
        </w:rPr>
      </w:pPr>
      <w:r>
        <w:rPr>
          <w:rFonts w:hint="eastAsia" w:ascii="宋体" w:hAnsi="宋体"/>
          <w:szCs w:val="21"/>
        </w:rPr>
        <w:t>42.3重新组织采购有以下两种组织形式：</w:t>
      </w:r>
    </w:p>
    <w:p>
      <w:pPr>
        <w:ind w:firstLine="411" w:firstLineChars="196"/>
        <w:rPr>
          <w:rFonts w:ascii="宋体" w:hAnsi="宋体"/>
        </w:rPr>
      </w:pPr>
      <w:r>
        <w:rPr>
          <w:rFonts w:hint="eastAsia" w:ascii="宋体" w:hAnsi="宋体"/>
        </w:rPr>
        <w:t>（1）由政府集中采购机构重新组织公开招标；</w:t>
      </w:r>
    </w:p>
    <w:p>
      <w:pPr>
        <w:ind w:firstLine="411" w:firstLineChars="196"/>
        <w:rPr>
          <w:rFonts w:ascii="宋体" w:hAnsi="宋体"/>
        </w:rPr>
      </w:pPr>
      <w:r>
        <w:rPr>
          <w:rFonts w:hint="eastAsia" w:ascii="宋体" w:hAnsi="宋体"/>
        </w:rPr>
        <w:t>（2）根据实际情况需要向同级财政部门提出非公开招标方式申请，经同级财政部门批准，公开招标失败采购项目可转为竞争性谈判或单一来源谈判方式采购。</w:t>
      </w:r>
    </w:p>
    <w:p>
      <w:pPr>
        <w:ind w:firstLine="411" w:firstLineChars="196"/>
        <w:rPr>
          <w:rFonts w:ascii="宋体" w:hAnsi="宋体"/>
        </w:rPr>
      </w:pPr>
      <w:r>
        <w:rPr>
          <w:rFonts w:hint="eastAsia" w:ascii="宋体" w:hAnsi="宋体"/>
        </w:rPr>
        <w:t>42.4公开招标失败的采购项目重新组织公开招标，由政府集中采购机构重新按公开招标流程组织采购活动。</w:t>
      </w:r>
    </w:p>
    <w:p>
      <w:pPr>
        <w:rPr>
          <w:rFonts w:ascii="宋体" w:hAnsi="宋体"/>
        </w:rPr>
      </w:pPr>
      <w:r>
        <w:rPr>
          <w:rFonts w:hint="eastAsia" w:ascii="宋体" w:hAnsi="宋体"/>
        </w:rPr>
        <w:t>42.5公开招标失败的采购项目经同级财政部门批准转为竞争性谈判或单一来源谈判方式采购的，按规定要求组织政府采购工作。</w:t>
      </w:r>
    </w:p>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bookmarkStart w:id="109" w:name="_Hlk72439043"/>
      <w:r>
        <w:rPr>
          <w:rFonts w:hint="eastAsia" w:ascii="宋体" w:hAnsi="宋体"/>
          <w:b/>
          <w:bCs/>
          <w:kern w:val="0"/>
          <w:sz w:val="28"/>
          <w:szCs w:val="28"/>
        </w:rPr>
        <w:t>合同的授予与备案</w:t>
      </w:r>
      <w:bookmarkEnd w:id="109"/>
    </w:p>
    <w:p>
      <w:pPr>
        <w:rPr>
          <w:rFonts w:ascii="黑体" w:hAnsi="宋体" w:eastAsia="黑体"/>
          <w:sz w:val="24"/>
        </w:rPr>
      </w:pPr>
      <w:bookmarkStart w:id="110" w:name="_Toc73521586"/>
      <w:bookmarkStart w:id="111" w:name="_Toc73521674"/>
      <w:bookmarkStart w:id="112" w:name="_Toc73517679"/>
      <w:bookmarkStart w:id="113" w:name="_Toc100052408"/>
      <w:bookmarkStart w:id="114" w:name="_Toc73518157"/>
      <w:bookmarkStart w:id="115" w:name="_Hlk72439088"/>
      <w:r>
        <w:rPr>
          <w:rFonts w:hint="eastAsia" w:ascii="黑体" w:hAnsi="宋体" w:eastAsia="黑体"/>
          <w:sz w:val="24"/>
        </w:rPr>
        <w:t>43．合同授予标准</w:t>
      </w:r>
      <w:bookmarkEnd w:id="110"/>
      <w:bookmarkEnd w:id="111"/>
      <w:bookmarkEnd w:id="112"/>
      <w:bookmarkEnd w:id="113"/>
      <w:bookmarkEnd w:id="114"/>
    </w:p>
    <w:p>
      <w:pPr>
        <w:ind w:firstLine="411" w:firstLineChars="196"/>
        <w:rPr>
          <w:rFonts w:ascii="宋体" w:hAnsi="宋体"/>
          <w:szCs w:val="21"/>
        </w:rPr>
      </w:pPr>
      <w:r>
        <w:rPr>
          <w:rFonts w:hint="eastAsia" w:ascii="宋体" w:hAnsi="宋体"/>
          <w:szCs w:val="21"/>
        </w:rPr>
        <w:t>本项目的合同将授予经本招标文件规定评审确定的中标供应商。</w:t>
      </w:r>
    </w:p>
    <w:p>
      <w:pPr>
        <w:rPr>
          <w:rFonts w:ascii="黑体" w:hAnsi="宋体" w:eastAsia="黑体"/>
          <w:sz w:val="24"/>
        </w:rPr>
      </w:pPr>
      <w:bookmarkStart w:id="116" w:name="_Toc100052409"/>
      <w:bookmarkStart w:id="117" w:name="_Toc73521675"/>
      <w:bookmarkStart w:id="118" w:name="_Toc73521587"/>
      <w:bookmarkStart w:id="119" w:name="_Toc73518158"/>
      <w:bookmarkStart w:id="120" w:name="_Toc73517680"/>
      <w:r>
        <w:rPr>
          <w:rFonts w:hint="eastAsia" w:ascii="黑体" w:hAnsi="宋体" w:eastAsia="黑体"/>
          <w:sz w:val="24"/>
        </w:rPr>
        <w:t>44．</w:t>
      </w:r>
      <w:bookmarkEnd w:id="116"/>
      <w:bookmarkEnd w:id="117"/>
      <w:bookmarkEnd w:id="118"/>
      <w:bookmarkEnd w:id="119"/>
      <w:bookmarkEnd w:id="120"/>
      <w:r>
        <w:rPr>
          <w:rFonts w:hint="eastAsia" w:ascii="黑体" w:hAnsi="宋体" w:eastAsia="黑体"/>
          <w:sz w:val="24"/>
        </w:rPr>
        <w:t>接受和拒绝任何或所有投标的权力</w:t>
      </w:r>
    </w:p>
    <w:p>
      <w:pPr>
        <w:ind w:firstLine="411" w:firstLineChars="196"/>
        <w:rPr>
          <w:rFonts w:ascii="宋体" w:hAnsi="宋体"/>
          <w:szCs w:val="21"/>
        </w:rPr>
      </w:pPr>
      <w:r>
        <w:rPr>
          <w:rFonts w:hint="eastAsia" w:ascii="宋体" w:hAnsi="宋体"/>
          <w:szCs w:val="21"/>
        </w:rPr>
        <w:t>政府集中采购机构和采购人保留在投标之前任何时候接受或拒绝任何投标或所有投标，以及宣布招标无效的权力，对受影响的投标人不承担任何责任，也无义务向受影响的投标人解释采取这一行动的理由。</w:t>
      </w:r>
    </w:p>
    <w:p>
      <w:pPr>
        <w:rPr>
          <w:rFonts w:ascii="黑体" w:hAnsi="宋体" w:eastAsia="黑体"/>
          <w:sz w:val="24"/>
        </w:rPr>
      </w:pPr>
      <w:bookmarkStart w:id="121" w:name="_Toc73521677"/>
      <w:bookmarkStart w:id="122" w:name="_Toc73517682"/>
      <w:bookmarkStart w:id="123" w:name="_Toc73521589"/>
      <w:bookmarkStart w:id="124" w:name="_Toc73518160"/>
      <w:bookmarkStart w:id="125" w:name="_Toc100052410"/>
      <w:r>
        <w:rPr>
          <w:rFonts w:hint="eastAsia" w:ascii="黑体" w:hAnsi="宋体" w:eastAsia="黑体"/>
          <w:sz w:val="24"/>
        </w:rPr>
        <w:t>45．合同的签订</w:t>
      </w:r>
      <w:bookmarkEnd w:id="121"/>
      <w:bookmarkEnd w:id="122"/>
      <w:bookmarkEnd w:id="123"/>
      <w:bookmarkEnd w:id="124"/>
      <w:bookmarkEnd w:id="125"/>
    </w:p>
    <w:p>
      <w:pPr>
        <w:ind w:firstLine="411" w:firstLineChars="196"/>
        <w:rPr>
          <w:rFonts w:ascii="宋体" w:hAnsi="宋体"/>
          <w:szCs w:val="21"/>
        </w:rPr>
      </w:pPr>
      <w:r>
        <w:rPr>
          <w:rFonts w:hint="eastAsia" w:ascii="宋体" w:hAnsi="宋体"/>
          <w:szCs w:val="21"/>
        </w:rPr>
        <w:t>45.1中标人将于中标通知书发出之日起十个工作日内，按照采购文件（招标文件和投标文件等）内容与采购人签订政府采购合同；合同的实质性内容应当符合招标文件的规定；</w:t>
      </w:r>
    </w:p>
    <w:p>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rPr>
        <w:t>同级财政</w:t>
      </w:r>
      <w:r>
        <w:rPr>
          <w:rFonts w:ascii="宋体" w:hAnsi="宋体" w:cs="宋体"/>
          <w:kern w:val="0"/>
          <w:szCs w:val="21"/>
        </w:rPr>
        <w:t>部门记入供应商诚信档案，予以通报</w:t>
      </w:r>
      <w:r>
        <w:rPr>
          <w:rFonts w:hint="eastAsia" w:ascii="宋体" w:hAnsi="宋体"/>
          <w:szCs w:val="21"/>
        </w:rPr>
        <w:t>；</w:t>
      </w:r>
    </w:p>
    <w:p>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pPr>
        <w:rPr>
          <w:rFonts w:ascii="黑体" w:hAnsi="宋体" w:eastAsia="黑体"/>
          <w:sz w:val="24"/>
        </w:rPr>
      </w:pPr>
      <w:bookmarkStart w:id="126" w:name="_Toc73521590"/>
      <w:bookmarkStart w:id="127" w:name="_Toc73518161"/>
      <w:bookmarkStart w:id="128" w:name="_Toc73517683"/>
      <w:bookmarkStart w:id="129" w:name="_Toc73521678"/>
      <w:bookmarkStart w:id="130" w:name="_Toc100052411"/>
      <w:r>
        <w:rPr>
          <w:rFonts w:hint="eastAsia" w:ascii="黑体" w:hAnsi="宋体" w:eastAsia="黑体"/>
          <w:sz w:val="24"/>
        </w:rPr>
        <w:t>46．履约担保</w:t>
      </w:r>
      <w:bookmarkEnd w:id="126"/>
      <w:bookmarkEnd w:id="127"/>
      <w:bookmarkEnd w:id="128"/>
      <w:bookmarkEnd w:id="129"/>
      <w:bookmarkEnd w:id="130"/>
    </w:p>
    <w:p>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pPr>
        <w:rPr>
          <w:rFonts w:ascii="黑体" w:hAnsi="宋体" w:eastAsia="黑体"/>
          <w:sz w:val="24"/>
        </w:rPr>
      </w:pPr>
      <w:r>
        <w:rPr>
          <w:rFonts w:hint="eastAsia" w:ascii="黑体" w:hAnsi="宋体" w:eastAsia="黑体"/>
          <w:sz w:val="24"/>
        </w:rPr>
        <w:t>47. 合同备案</w:t>
      </w:r>
    </w:p>
    <w:p>
      <w:pPr>
        <w:ind w:firstLine="411" w:firstLineChars="196"/>
        <w:rPr>
          <w:rFonts w:ascii="宋体" w:hAnsi="宋体"/>
          <w:szCs w:val="21"/>
        </w:rPr>
      </w:pPr>
      <w:r>
        <w:rPr>
          <w:rFonts w:hint="eastAsia" w:ascii="宋体" w:hAnsi="宋体"/>
          <w:szCs w:val="21"/>
        </w:rPr>
        <w:t>采购人与中标人应于合同签订之日起十日内，由采购人或委托中标人将采购合同副本抄送合同备案工作实施机构备案。</w:t>
      </w:r>
    </w:p>
    <w:p>
      <w:pPr>
        <w:rPr>
          <w:rFonts w:ascii="黑体" w:hAnsi="宋体" w:eastAsia="黑体"/>
          <w:sz w:val="24"/>
        </w:rPr>
      </w:pPr>
      <w:r>
        <w:rPr>
          <w:rFonts w:hint="eastAsia" w:ascii="黑体" w:hAnsi="宋体" w:eastAsia="黑体"/>
          <w:sz w:val="24"/>
        </w:rPr>
        <w:t>48. 合同变更</w:t>
      </w:r>
    </w:p>
    <w:p>
      <w:pPr>
        <w:ind w:firstLine="411" w:firstLineChars="196"/>
        <w:rPr>
          <w:rFonts w:ascii="宋体" w:hAnsi="宋体"/>
          <w:szCs w:val="21"/>
        </w:rPr>
      </w:pPr>
      <w:r>
        <w:rPr>
          <w:rFonts w:hint="eastAsia" w:ascii="宋体" w:hAnsi="宋体"/>
          <w:szCs w:val="21"/>
        </w:rPr>
        <w:t>合同变更事宜按《深圳市财政局 深圳市政府采购中心关于进一步加强市本级政府采购合同备案管理工作的通知》（深财购〔2019〕43号）相关规定执行。</w:t>
      </w:r>
    </w:p>
    <w:p>
      <w:pPr>
        <w:rPr>
          <w:rFonts w:ascii="黑体" w:hAnsi="宋体" w:eastAsia="黑体"/>
          <w:sz w:val="24"/>
        </w:rPr>
      </w:pPr>
      <w:r>
        <w:rPr>
          <w:rFonts w:hint="eastAsia" w:ascii="黑体" w:hAnsi="宋体" w:eastAsia="黑体"/>
          <w:sz w:val="24"/>
        </w:rPr>
        <w:t>49. 项目验收</w:t>
      </w:r>
    </w:p>
    <w:p>
      <w:pPr>
        <w:widowControl/>
        <w:ind w:right="176" w:firstLine="420"/>
        <w:jc w:val="left"/>
        <w:rPr>
          <w:rFonts w:ascii="宋体" w:hAnsi="宋体"/>
        </w:rPr>
      </w:pPr>
      <w:r>
        <w:rPr>
          <w:rFonts w:hint="eastAsia" w:ascii="宋体" w:hAnsi="宋体"/>
        </w:rPr>
        <w:t>49.1采购人应当按照招标文件和合同规定的标准和方法，及时组织验收。</w:t>
      </w:r>
    </w:p>
    <w:p>
      <w:pPr>
        <w:rPr>
          <w:rFonts w:ascii="黑体" w:hAnsi="宋体" w:eastAsia="黑体"/>
          <w:sz w:val="24"/>
        </w:rPr>
      </w:pPr>
      <w:r>
        <w:rPr>
          <w:rFonts w:hint="eastAsia" w:ascii="黑体" w:hAnsi="宋体" w:eastAsia="黑体"/>
          <w:sz w:val="24"/>
        </w:rPr>
        <w:t>50. 宣传</w:t>
      </w:r>
    </w:p>
    <w:p>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rPr>
        <w:t>政府集中采购机构</w:t>
      </w:r>
      <w:r>
        <w:rPr>
          <w:rFonts w:ascii="宋体" w:hAnsi="宋体"/>
        </w:rPr>
        <w:t>，并征得其同意。对外市场宣传包括但不限于以下形式：</w:t>
      </w:r>
    </w:p>
    <w:p>
      <w:pPr>
        <w:ind w:left="210" w:leftChars="100" w:firstLine="411" w:firstLineChars="196"/>
        <w:rPr>
          <w:rFonts w:ascii="宋体" w:hAnsi="宋体"/>
        </w:rPr>
      </w:pPr>
      <w:r>
        <w:rPr>
          <w:rFonts w:ascii="宋体" w:hAnsi="宋体"/>
        </w:rPr>
        <w:t>a.名片、宣传册、广告标语等；</w:t>
      </w:r>
    </w:p>
    <w:p>
      <w:pPr>
        <w:ind w:left="210" w:leftChars="100" w:firstLine="411" w:firstLineChars="196"/>
        <w:rPr>
          <w:rFonts w:ascii="宋体" w:hAnsi="宋体"/>
        </w:rPr>
      </w:pPr>
      <w:r>
        <w:rPr>
          <w:rFonts w:ascii="宋体" w:hAnsi="宋体"/>
        </w:rPr>
        <w:t>b.案例介绍、推广等；</w:t>
      </w:r>
    </w:p>
    <w:p>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pPr>
        <w:rPr>
          <w:rFonts w:ascii="黑体" w:hAnsi="宋体" w:eastAsia="黑体"/>
          <w:sz w:val="24"/>
        </w:rPr>
      </w:pPr>
      <w:r>
        <w:rPr>
          <w:rFonts w:hint="eastAsia" w:ascii="黑体" w:hAnsi="宋体" w:eastAsia="黑体"/>
          <w:sz w:val="24"/>
        </w:rPr>
        <w:t>51. 供应商违法责任</w:t>
      </w:r>
    </w:p>
    <w:p>
      <w:pPr>
        <w:ind w:firstLine="411" w:firstLineChars="196"/>
        <w:rPr>
          <w:rFonts w:ascii="宋体" w:hAnsi="宋体"/>
          <w:szCs w:val="21"/>
        </w:rPr>
      </w:pPr>
      <w:r>
        <w:rPr>
          <w:rFonts w:hint="eastAsia" w:ascii="宋体" w:hAnsi="宋体"/>
          <w:szCs w:val="21"/>
        </w:rPr>
        <w:t>5</w:t>
      </w:r>
      <w:r>
        <w:rPr>
          <w:rFonts w:ascii="宋体" w:hAnsi="宋体"/>
          <w:szCs w:val="21"/>
        </w:rPr>
        <w:t>1.1</w:t>
      </w:r>
      <w:r>
        <w:rPr>
          <w:rFonts w:hint="eastAsia" w:ascii="宋体" w:hAnsi="宋体"/>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11" w:firstLineChars="196"/>
        <w:rPr>
          <w:rFonts w:ascii="宋体" w:hAnsi="宋体"/>
          <w:szCs w:val="21"/>
        </w:rPr>
      </w:pPr>
      <w:r>
        <w:rPr>
          <w:rFonts w:hint="eastAsia" w:ascii="宋体" w:hAnsi="宋体"/>
          <w:szCs w:val="21"/>
        </w:rPr>
        <w:t>（1）在采购活动中应当回避而未回避的；</w:t>
      </w:r>
    </w:p>
    <w:p>
      <w:pPr>
        <w:ind w:firstLine="411" w:firstLineChars="196"/>
        <w:rPr>
          <w:rFonts w:ascii="宋体" w:hAnsi="宋体"/>
          <w:szCs w:val="21"/>
        </w:rPr>
      </w:pPr>
      <w:r>
        <w:rPr>
          <w:rFonts w:hint="eastAsia" w:ascii="宋体" w:hAnsi="宋体"/>
          <w:szCs w:val="21"/>
        </w:rPr>
        <w:t>（2）未按本条例规定签订、履行采购合同，造成严重后果的；</w:t>
      </w:r>
    </w:p>
    <w:p>
      <w:pPr>
        <w:ind w:firstLine="411" w:firstLineChars="196"/>
        <w:rPr>
          <w:rFonts w:ascii="宋体" w:hAnsi="宋体"/>
          <w:szCs w:val="21"/>
        </w:rPr>
      </w:pPr>
      <w:r>
        <w:rPr>
          <w:rFonts w:hint="eastAsia" w:ascii="宋体" w:hAnsi="宋体"/>
          <w:szCs w:val="21"/>
        </w:rPr>
        <w:t>（3）隐瞒真实情况，提供虚假资料的；</w:t>
      </w:r>
    </w:p>
    <w:p>
      <w:pPr>
        <w:ind w:firstLine="411" w:firstLineChars="196"/>
        <w:rPr>
          <w:rFonts w:ascii="宋体" w:hAnsi="宋体"/>
          <w:szCs w:val="21"/>
        </w:rPr>
      </w:pPr>
      <w:r>
        <w:rPr>
          <w:rFonts w:hint="eastAsia" w:ascii="宋体" w:hAnsi="宋体"/>
          <w:szCs w:val="21"/>
        </w:rPr>
        <w:t>（4）以非法手段排斥其他供应商参与竞争的；</w:t>
      </w:r>
    </w:p>
    <w:p>
      <w:pPr>
        <w:ind w:firstLine="411" w:firstLineChars="196"/>
        <w:rPr>
          <w:rFonts w:ascii="宋体" w:hAnsi="宋体"/>
          <w:szCs w:val="21"/>
        </w:rPr>
      </w:pPr>
      <w:r>
        <w:rPr>
          <w:rFonts w:hint="eastAsia" w:ascii="宋体" w:hAnsi="宋体"/>
          <w:szCs w:val="21"/>
        </w:rPr>
        <w:t>（5）与其他采购参加人串通投标的；</w:t>
      </w:r>
    </w:p>
    <w:p>
      <w:pPr>
        <w:ind w:firstLine="411" w:firstLineChars="196"/>
        <w:rPr>
          <w:rFonts w:ascii="宋体" w:hAnsi="宋体"/>
          <w:szCs w:val="21"/>
        </w:rPr>
      </w:pPr>
      <w:r>
        <w:rPr>
          <w:rFonts w:hint="eastAsia" w:ascii="宋体" w:hAnsi="宋体"/>
          <w:szCs w:val="21"/>
        </w:rPr>
        <w:t>（6）恶意投诉的；</w:t>
      </w:r>
    </w:p>
    <w:p>
      <w:pPr>
        <w:ind w:firstLine="411" w:firstLineChars="196"/>
        <w:rPr>
          <w:rFonts w:ascii="宋体" w:hAnsi="宋体"/>
          <w:szCs w:val="21"/>
        </w:rPr>
      </w:pPr>
      <w:r>
        <w:rPr>
          <w:rFonts w:hint="eastAsia" w:ascii="宋体" w:hAnsi="宋体"/>
          <w:szCs w:val="21"/>
        </w:rPr>
        <w:t>（7）向采购项目相关人行贿或者提供其他不当利益的；</w:t>
      </w:r>
    </w:p>
    <w:p>
      <w:pPr>
        <w:ind w:firstLine="411" w:firstLineChars="196"/>
        <w:rPr>
          <w:rFonts w:ascii="宋体" w:hAnsi="宋体"/>
          <w:szCs w:val="21"/>
        </w:rPr>
      </w:pPr>
      <w:r>
        <w:rPr>
          <w:rFonts w:hint="eastAsia" w:ascii="宋体" w:hAnsi="宋体"/>
          <w:szCs w:val="21"/>
        </w:rPr>
        <w:t>（8）阻碍、抗拒主管部门监督检查的；</w:t>
      </w:r>
    </w:p>
    <w:p>
      <w:pPr>
        <w:ind w:firstLine="411" w:firstLineChars="196"/>
        <w:rPr>
          <w:rFonts w:ascii="宋体" w:hAnsi="宋体"/>
          <w:szCs w:val="21"/>
        </w:rPr>
      </w:pPr>
      <w:r>
        <w:rPr>
          <w:rFonts w:hint="eastAsia" w:ascii="宋体" w:hAnsi="宋体"/>
          <w:szCs w:val="21"/>
        </w:rPr>
        <w:t>（9）其他违反本条例规定的行为。</w:t>
      </w:r>
    </w:p>
    <w:p>
      <w:pPr>
        <w:ind w:firstLine="411" w:firstLineChars="196"/>
        <w:rPr>
          <w:rFonts w:ascii="宋体" w:hAnsi="宋体"/>
          <w:szCs w:val="21"/>
        </w:rPr>
      </w:pPr>
      <w:r>
        <w:rPr>
          <w:rFonts w:hint="eastAsia" w:ascii="宋体" w:hAnsi="宋体"/>
          <w:szCs w:val="21"/>
        </w:rPr>
        <w:t>5</w:t>
      </w:r>
      <w:r>
        <w:rPr>
          <w:rFonts w:ascii="宋体" w:hAnsi="宋体"/>
          <w:szCs w:val="21"/>
        </w:rPr>
        <w:t xml:space="preserve">1.2 </w:t>
      </w:r>
      <w:r>
        <w:rPr>
          <w:rFonts w:hint="eastAsia" w:ascii="宋体" w:hAnsi="宋体"/>
          <w:szCs w:val="21"/>
        </w:rPr>
        <w:t>根据《深圳市财政局关于明确政府采购保证金管理工作的通知》（深财购[2019]42号）的要求，供应商在政府采购活动中出现《深圳经济特区政府采购条例实施细则》第八十四条所列情形的，</w:t>
      </w:r>
      <w:bookmarkStart w:id="131" w:name="_Hlk72440769"/>
      <w:r>
        <w:rPr>
          <w:rFonts w:hint="eastAsia" w:ascii="宋体" w:hAnsi="宋体"/>
          <w:szCs w:val="21"/>
        </w:rPr>
        <w:t>采购人或政府集中采购机构</w:t>
      </w:r>
      <w:bookmarkEnd w:id="131"/>
      <w:r>
        <w:rPr>
          <w:rFonts w:hint="eastAsia" w:ascii="宋体" w:hAnsi="宋体"/>
          <w:szCs w:val="21"/>
        </w:rPr>
        <w:t>可将有关情况报同级财政部门，由财政部门根据实际情况记入供应商诚信档案，予以通报：</w:t>
      </w:r>
    </w:p>
    <w:p>
      <w:pPr>
        <w:ind w:firstLine="411" w:firstLineChars="196"/>
        <w:rPr>
          <w:rFonts w:ascii="宋体" w:hAnsi="宋体"/>
          <w:szCs w:val="21"/>
        </w:rPr>
      </w:pPr>
      <w:r>
        <w:rPr>
          <w:rFonts w:hint="eastAsia" w:ascii="宋体" w:hAnsi="宋体"/>
          <w:szCs w:val="21"/>
        </w:rPr>
        <w:t>（1</w:t>
      </w:r>
      <w:r>
        <w:rPr>
          <w:rFonts w:ascii="宋体" w:hAnsi="宋体"/>
          <w:szCs w:val="21"/>
        </w:rPr>
        <w:t>）投标截止后，撤销投标的；</w:t>
      </w:r>
    </w:p>
    <w:p>
      <w:pPr>
        <w:ind w:firstLine="411" w:firstLineChars="196"/>
        <w:rPr>
          <w:rFonts w:ascii="宋体" w:hAnsi="宋体"/>
          <w:szCs w:val="21"/>
        </w:rPr>
      </w:pPr>
      <w:r>
        <w:rPr>
          <w:rFonts w:ascii="宋体" w:hAnsi="宋体"/>
          <w:szCs w:val="21"/>
        </w:rPr>
        <w:t>（</w:t>
      </w:r>
      <w:r>
        <w:rPr>
          <w:rFonts w:hint="eastAsia" w:ascii="宋体" w:hAnsi="宋体"/>
          <w:szCs w:val="21"/>
        </w:rPr>
        <w:t>2</w:t>
      </w:r>
      <w:r>
        <w:rPr>
          <w:rFonts w:ascii="宋体" w:hAnsi="宋体"/>
          <w:szCs w:val="21"/>
        </w:rPr>
        <w:t>）中标后无正当理由未在规定期限内签订合同的；</w:t>
      </w:r>
    </w:p>
    <w:p>
      <w:pPr>
        <w:ind w:firstLine="411" w:firstLineChars="196"/>
        <w:rPr>
          <w:rFonts w:ascii="宋体" w:hAnsi="宋体"/>
          <w:szCs w:val="21"/>
        </w:rPr>
      </w:pPr>
      <w:r>
        <w:rPr>
          <w:rFonts w:ascii="宋体" w:hAnsi="宋体"/>
          <w:szCs w:val="21"/>
        </w:rPr>
        <w:t>（</w:t>
      </w:r>
      <w:r>
        <w:rPr>
          <w:rFonts w:hint="eastAsia" w:ascii="宋体" w:hAnsi="宋体"/>
          <w:szCs w:val="21"/>
        </w:rPr>
        <w:t>3</w:t>
      </w:r>
      <w:r>
        <w:rPr>
          <w:rFonts w:ascii="宋体" w:hAnsi="宋体"/>
          <w:szCs w:val="21"/>
        </w:rPr>
        <w:t>）将中标项目转让给他人、或者在投标文件中未说明且未经采购人、采购招标机构同意，将中标项目分包给他人的；</w:t>
      </w:r>
    </w:p>
    <w:p>
      <w:pPr>
        <w:ind w:firstLine="411" w:firstLineChars="196"/>
        <w:rPr>
          <w:rFonts w:ascii="宋体" w:hAnsi="宋体"/>
          <w:szCs w:val="21"/>
        </w:rPr>
      </w:pPr>
      <w:r>
        <w:rPr>
          <w:rFonts w:ascii="宋体" w:hAnsi="宋体"/>
          <w:szCs w:val="21"/>
        </w:rPr>
        <w:t>（</w:t>
      </w:r>
      <w:r>
        <w:rPr>
          <w:rFonts w:hint="eastAsia" w:ascii="宋体" w:hAnsi="宋体"/>
          <w:szCs w:val="21"/>
        </w:rPr>
        <w:t>4</w:t>
      </w:r>
      <w:r>
        <w:rPr>
          <w:rFonts w:ascii="宋体" w:hAnsi="宋体"/>
          <w:szCs w:val="21"/>
        </w:rPr>
        <w:t>）拒绝履行合同义务的</w:t>
      </w:r>
      <w:r>
        <w:rPr>
          <w:rFonts w:hint="eastAsia" w:ascii="宋体" w:hAnsi="宋体"/>
          <w:szCs w:val="21"/>
        </w:rPr>
        <w:t>。</w:t>
      </w:r>
    </w:p>
    <w:bookmarkEnd w:id="115"/>
    <w:p>
      <w:pPr>
        <w:keepNext/>
        <w:keepLines/>
        <w:numPr>
          <w:ilvl w:val="0"/>
          <w:numId w:val="11"/>
        </w:numPr>
        <w:adjustRightInd w:val="0"/>
        <w:spacing w:before="120" w:beforeLines="50" w:after="120" w:afterLines="50"/>
        <w:ind w:left="562" w:hanging="562"/>
        <w:jc w:val="center"/>
        <w:textAlignment w:val="baseline"/>
        <w:outlineLvl w:val="0"/>
        <w:rPr>
          <w:rFonts w:ascii="宋体" w:hAnsi="宋体"/>
          <w:b/>
          <w:bCs/>
          <w:kern w:val="0"/>
          <w:sz w:val="28"/>
          <w:szCs w:val="28"/>
        </w:rPr>
      </w:pPr>
      <w:r>
        <w:rPr>
          <w:rFonts w:hint="eastAsia" w:ascii="宋体" w:hAnsi="宋体"/>
          <w:b/>
          <w:bCs/>
          <w:kern w:val="0"/>
          <w:sz w:val="28"/>
          <w:szCs w:val="28"/>
        </w:rPr>
        <w:t>质疑处理</w:t>
      </w:r>
    </w:p>
    <w:p>
      <w:pPr>
        <w:rPr>
          <w:rFonts w:ascii="黑体" w:hAnsi="宋体" w:eastAsia="黑体"/>
          <w:sz w:val="24"/>
        </w:rPr>
      </w:pPr>
      <w:bookmarkStart w:id="132" w:name="_Hlk72439706"/>
      <w:r>
        <w:rPr>
          <w:rFonts w:hint="eastAsia" w:ascii="黑体" w:hAnsi="宋体" w:eastAsia="黑体"/>
          <w:sz w:val="24"/>
        </w:rPr>
        <w:t>52.质疑提出与答复</w:t>
      </w:r>
    </w:p>
    <w:p>
      <w:pPr>
        <w:rPr>
          <w:rFonts w:ascii="宋体" w:hAnsi="宋体"/>
          <w:szCs w:val="21"/>
        </w:rPr>
      </w:pPr>
      <w:r>
        <w:rPr>
          <w:rFonts w:hint="eastAsia" w:ascii="宋体" w:hAnsi="宋体"/>
          <w:szCs w:val="21"/>
        </w:rPr>
        <w:t xml:space="preserve">    52.1提出质疑</w:t>
      </w:r>
    </w:p>
    <w:p>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pPr>
        <w:rPr>
          <w:rFonts w:ascii="宋体" w:hAnsi="宋体"/>
          <w:szCs w:val="21"/>
        </w:rPr>
      </w:pPr>
      <w:r>
        <w:rPr>
          <w:rFonts w:hint="eastAsia" w:ascii="宋体" w:hAnsi="宋体"/>
          <w:szCs w:val="21"/>
        </w:rPr>
        <w:t xml:space="preserve">    52.2</w:t>
      </w:r>
      <w:r>
        <w:rPr>
          <w:rFonts w:ascii="宋体" w:hAnsi="宋体"/>
          <w:szCs w:val="21"/>
        </w:rPr>
        <w:t>法律依据</w:t>
      </w:r>
    </w:p>
    <w:p>
      <w:pPr>
        <w:rPr>
          <w:rFonts w:ascii="宋体" w:hAnsi="宋体"/>
          <w:szCs w:val="21"/>
        </w:rPr>
      </w:pPr>
      <w:r>
        <w:rPr>
          <w:rFonts w:hint="eastAsia" w:ascii="宋体" w:hAnsi="宋体"/>
          <w:szCs w:val="21"/>
        </w:rPr>
        <w:t xml:space="preserve">    《中华人民共和国政府采购法》、《中华人民共和国政府采购法实施条例》、</w:t>
      </w:r>
      <w:r>
        <w:rPr>
          <w:rFonts w:ascii="宋体" w:hAnsi="宋体"/>
          <w:szCs w:val="21"/>
        </w:rPr>
        <w:t>《</w:t>
      </w:r>
      <w:r>
        <w:rPr>
          <w:rFonts w:hint="eastAsia" w:ascii="宋体" w:hAnsi="宋体"/>
          <w:szCs w:val="21"/>
        </w:rPr>
        <w:t>深圳经济特区政府采购</w:t>
      </w:r>
      <w:r>
        <w:rPr>
          <w:rFonts w:ascii="宋体" w:hAnsi="宋体"/>
          <w:szCs w:val="21"/>
        </w:rPr>
        <w:t>条例</w:t>
      </w:r>
      <w:r>
        <w:rPr>
          <w:rFonts w:hint="eastAsia" w:ascii="宋体" w:hAnsi="宋体"/>
          <w:szCs w:val="21"/>
        </w:rPr>
        <w:t>》、《深圳经济特区政府采购条例实施细则》、《政府采购质疑和投诉办法》（财政部令第94号）和其他有关法律法规规定。</w:t>
      </w:r>
    </w:p>
    <w:p>
      <w:pPr>
        <w:rPr>
          <w:rFonts w:ascii="宋体" w:hAnsi="宋体"/>
          <w:szCs w:val="21"/>
        </w:rPr>
      </w:pPr>
      <w:r>
        <w:rPr>
          <w:rFonts w:hint="eastAsia" w:ascii="宋体" w:hAnsi="宋体"/>
          <w:szCs w:val="21"/>
        </w:rPr>
        <w:t>52.3质疑条件</w:t>
      </w:r>
    </w:p>
    <w:p>
      <w:pPr>
        <w:rPr>
          <w:rFonts w:ascii="宋体" w:hAnsi="宋体"/>
          <w:szCs w:val="21"/>
        </w:rPr>
      </w:pPr>
      <w:r>
        <w:rPr>
          <w:rFonts w:hint="eastAsia" w:ascii="宋体" w:hAnsi="宋体"/>
          <w:szCs w:val="21"/>
        </w:rPr>
        <w:t xml:space="preserve">    52.3.1提出质疑的供应商应当是参与所质疑项目采购活动的供应商；</w:t>
      </w:r>
      <w:bookmarkStart w:id="133" w:name="_Hlk75374941"/>
      <w:r>
        <w:rPr>
          <w:rFonts w:hint="eastAsia" w:ascii="宋体" w:hAnsi="宋体"/>
          <w:szCs w:val="21"/>
        </w:rPr>
        <w:t>以联合体形式参与的，质疑应当由组成联合体的所有成员共同提出</w:t>
      </w:r>
      <w:bookmarkEnd w:id="133"/>
      <w:r>
        <w:rPr>
          <w:rFonts w:hint="eastAsia" w:ascii="宋体" w:hAnsi="宋体"/>
          <w:szCs w:val="21"/>
        </w:rPr>
        <w:t>；</w:t>
      </w:r>
    </w:p>
    <w:p>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szCs w:val="21"/>
        </w:rPr>
      </w:pPr>
      <w:r>
        <w:rPr>
          <w:rFonts w:hint="eastAsia" w:ascii="宋体" w:hAnsi="宋体"/>
          <w:szCs w:val="21"/>
        </w:rPr>
        <w:t>52.3.3应提交书面质疑函，质疑函应当包括以下内容：</w:t>
      </w:r>
    </w:p>
    <w:p>
      <w:pPr>
        <w:ind w:firstLine="420"/>
        <w:rPr>
          <w:rFonts w:ascii="宋体" w:hAnsi="宋体"/>
          <w:szCs w:val="21"/>
        </w:rPr>
      </w:pPr>
      <w:r>
        <w:rPr>
          <w:rFonts w:hint="eastAsia" w:ascii="宋体" w:hAnsi="宋体"/>
          <w:szCs w:val="21"/>
        </w:rPr>
        <w:t>（1）供应商的名称（或者姓名）、地址、邮编、邮箱、联系人及联系电话；</w:t>
      </w:r>
    </w:p>
    <w:p>
      <w:pPr>
        <w:ind w:firstLine="420" w:firstLineChars="200"/>
        <w:rPr>
          <w:rFonts w:ascii="宋体" w:hAnsi="宋体"/>
          <w:szCs w:val="21"/>
        </w:rPr>
      </w:pPr>
      <w:r>
        <w:rPr>
          <w:rFonts w:hint="eastAsia" w:ascii="宋体" w:hAnsi="宋体"/>
          <w:szCs w:val="21"/>
        </w:rPr>
        <w:t>（2）质疑项目的名称、编号；</w:t>
      </w:r>
    </w:p>
    <w:p>
      <w:pPr>
        <w:ind w:firstLine="420" w:firstLineChars="200"/>
        <w:rPr>
          <w:rFonts w:ascii="宋体" w:hAnsi="宋体"/>
          <w:szCs w:val="21"/>
        </w:rPr>
      </w:pPr>
      <w:r>
        <w:rPr>
          <w:rFonts w:hint="eastAsia" w:ascii="宋体" w:hAnsi="宋体"/>
          <w:szCs w:val="21"/>
        </w:rPr>
        <w:t>（3）具体、明确的质疑对象、质疑事项和质疑请求；</w:t>
      </w:r>
    </w:p>
    <w:p>
      <w:pPr>
        <w:ind w:firstLine="420" w:firstLineChars="200"/>
        <w:rPr>
          <w:rFonts w:ascii="宋体" w:hAnsi="宋体"/>
          <w:szCs w:val="21"/>
        </w:rPr>
      </w:pPr>
      <w:r>
        <w:rPr>
          <w:rFonts w:hint="eastAsia" w:ascii="宋体" w:hAnsi="宋体"/>
          <w:szCs w:val="21"/>
        </w:rPr>
        <w:t>（4）因质疑事项而受损害的权益；</w:t>
      </w:r>
    </w:p>
    <w:p>
      <w:pPr>
        <w:ind w:firstLine="420" w:firstLineChars="200"/>
        <w:rPr>
          <w:rFonts w:ascii="宋体" w:hAnsi="宋体"/>
          <w:szCs w:val="21"/>
        </w:rPr>
      </w:pPr>
      <w:r>
        <w:rPr>
          <w:rFonts w:hint="eastAsia" w:ascii="宋体" w:hAnsi="宋体"/>
          <w:szCs w:val="21"/>
        </w:rPr>
        <w:t>（5）事实依据；</w:t>
      </w:r>
    </w:p>
    <w:p>
      <w:pPr>
        <w:ind w:firstLine="420" w:firstLineChars="200"/>
        <w:rPr>
          <w:rFonts w:ascii="宋体" w:hAnsi="宋体"/>
          <w:szCs w:val="21"/>
        </w:rPr>
      </w:pPr>
      <w:r>
        <w:rPr>
          <w:rFonts w:hint="eastAsia" w:ascii="宋体" w:hAnsi="宋体"/>
          <w:szCs w:val="21"/>
        </w:rPr>
        <w:t>（6）必要的法律依据；</w:t>
      </w:r>
    </w:p>
    <w:p>
      <w:pPr>
        <w:ind w:firstLine="420" w:firstLineChars="200"/>
        <w:rPr>
          <w:rFonts w:ascii="宋体" w:hAnsi="宋体"/>
          <w:szCs w:val="21"/>
        </w:rPr>
      </w:pPr>
      <w:r>
        <w:rPr>
          <w:rFonts w:hint="eastAsia" w:ascii="宋体" w:hAnsi="宋体"/>
          <w:szCs w:val="21"/>
        </w:rPr>
        <w:t>（7）提出质疑的日期。</w:t>
      </w:r>
    </w:p>
    <w:p>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pPr>
        <w:ind w:firstLine="420" w:firstLineChars="200"/>
        <w:rPr>
          <w:rFonts w:ascii="宋体" w:hAnsi="宋体"/>
          <w:szCs w:val="21"/>
        </w:rPr>
      </w:pPr>
      <w:r>
        <w:rPr>
          <w:rFonts w:hint="eastAsia" w:ascii="宋体" w:hAnsi="宋体"/>
          <w:szCs w:val="21"/>
        </w:rPr>
        <w:t>52.4提交</w:t>
      </w:r>
      <w:r>
        <w:rPr>
          <w:rFonts w:ascii="宋体" w:hAnsi="宋体"/>
          <w:szCs w:val="21"/>
        </w:rPr>
        <w:t>材料</w:t>
      </w:r>
    </w:p>
    <w:p>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20" w:firstLineChars="200"/>
        <w:rPr>
          <w:rFonts w:ascii="宋体" w:hAnsi="宋体"/>
          <w:szCs w:val="21"/>
        </w:rPr>
      </w:pPr>
      <w:r>
        <w:rPr>
          <w:rFonts w:hint="eastAsia" w:ascii="宋体" w:hAnsi="宋体"/>
          <w:szCs w:val="21"/>
        </w:rPr>
        <w:t>52.5收文地点</w:t>
      </w:r>
    </w:p>
    <w:p>
      <w:pPr>
        <w:ind w:firstLine="422" w:firstLineChars="200"/>
        <w:rPr>
          <w:rFonts w:ascii="宋体" w:hAnsi="宋体"/>
          <w:b/>
          <w:bCs/>
          <w:szCs w:val="21"/>
        </w:rPr>
      </w:pPr>
      <w:r>
        <w:rPr>
          <w:rFonts w:hint="eastAsia" w:ascii="宋体" w:hAnsi="宋体"/>
          <w:b/>
          <w:bCs/>
          <w:szCs w:val="21"/>
        </w:rPr>
        <w:t>地址：深圳公共资源交易中心（深圳交易集团有限公司政府采购业务分公司）3楼306室，质疑咨询电话：0755-86500054。</w:t>
      </w:r>
    </w:p>
    <w:p>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pPr>
        <w:ind w:firstLine="420" w:firstLineChars="200"/>
        <w:rPr>
          <w:rFonts w:ascii="宋体" w:hAnsi="宋体"/>
          <w:szCs w:val="21"/>
        </w:rPr>
      </w:pPr>
      <w:r>
        <w:rPr>
          <w:rFonts w:hint="eastAsia" w:ascii="宋体" w:hAnsi="宋体"/>
          <w:szCs w:val="21"/>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pPr>
        <w:ind w:firstLine="420" w:firstLineChars="200"/>
        <w:rPr>
          <w:rFonts w:ascii="宋体" w:hAnsi="宋体"/>
          <w:szCs w:val="21"/>
        </w:rPr>
      </w:pPr>
      <w:r>
        <w:rPr>
          <w:rFonts w:hint="eastAsia" w:ascii="宋体" w:hAnsi="宋体"/>
          <w:szCs w:val="21"/>
        </w:rPr>
        <w:t>供应商提交的质疑材料不全或者未按要求签字或者盖章的，政府集中采购机构应当一次性告知供应商需补正的内容和补正期限。</w:t>
      </w:r>
    </w:p>
    <w:p>
      <w:pPr>
        <w:ind w:firstLine="420" w:firstLineChars="200"/>
        <w:rPr>
          <w:rFonts w:ascii="宋体" w:hAnsi="宋体"/>
          <w:szCs w:val="21"/>
        </w:rPr>
      </w:pPr>
      <w:r>
        <w:rPr>
          <w:rFonts w:hint="eastAsia" w:ascii="宋体" w:hAnsi="宋体"/>
          <w:szCs w:val="21"/>
        </w:rPr>
        <w:t>供应商提交的质疑存在下列情形之一的，不予受理：</w:t>
      </w:r>
    </w:p>
    <w:p>
      <w:pPr>
        <w:ind w:firstLine="420" w:firstLineChars="200"/>
        <w:rPr>
          <w:rFonts w:ascii="宋体" w:hAnsi="宋体"/>
          <w:szCs w:val="21"/>
        </w:rPr>
      </w:pPr>
      <w:r>
        <w:rPr>
          <w:rFonts w:hint="eastAsia" w:ascii="宋体" w:hAnsi="宋体"/>
          <w:szCs w:val="21"/>
        </w:rPr>
        <w:t>（1）质疑主体不满足要求的；</w:t>
      </w:r>
    </w:p>
    <w:p>
      <w:pPr>
        <w:ind w:firstLine="420" w:firstLineChars="200"/>
        <w:rPr>
          <w:rFonts w:ascii="宋体" w:hAnsi="宋体"/>
          <w:szCs w:val="21"/>
        </w:rPr>
      </w:pPr>
      <w:r>
        <w:rPr>
          <w:rFonts w:hint="eastAsia" w:ascii="宋体" w:hAnsi="宋体"/>
          <w:szCs w:val="21"/>
        </w:rPr>
        <w:t>（2）供应商自身权益未受到损害的；</w:t>
      </w:r>
    </w:p>
    <w:p>
      <w:pPr>
        <w:ind w:firstLine="420" w:firstLineChars="200"/>
        <w:rPr>
          <w:rFonts w:ascii="宋体" w:hAnsi="宋体"/>
          <w:szCs w:val="21"/>
        </w:rPr>
      </w:pPr>
      <w:r>
        <w:rPr>
          <w:rFonts w:hint="eastAsia" w:ascii="宋体" w:hAnsi="宋体"/>
          <w:szCs w:val="21"/>
        </w:rPr>
        <w:t>（3）供应商未在法定质疑期限内提出质疑的；</w:t>
      </w:r>
    </w:p>
    <w:p>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pPr>
        <w:ind w:firstLine="420" w:firstLineChars="200"/>
        <w:rPr>
          <w:rFonts w:ascii="宋体" w:hAnsi="宋体"/>
          <w:szCs w:val="21"/>
        </w:rPr>
      </w:pPr>
      <w:r>
        <w:rPr>
          <w:rFonts w:hint="eastAsia" w:ascii="宋体" w:hAnsi="宋体"/>
          <w:szCs w:val="21"/>
        </w:rPr>
        <w:t>（5）其他不符合受理条件情形的。</w:t>
      </w:r>
    </w:p>
    <w:p>
      <w:pPr>
        <w:ind w:firstLine="420" w:firstLineChars="200"/>
        <w:rPr>
          <w:rFonts w:ascii="宋体" w:hAnsi="宋体"/>
          <w:szCs w:val="21"/>
        </w:rPr>
      </w:pPr>
      <w:r>
        <w:rPr>
          <w:rFonts w:hint="eastAsia" w:ascii="宋体" w:hAnsi="宋体"/>
          <w:szCs w:val="21"/>
        </w:rPr>
        <w:t>质疑事项不予受理的，政府集中采购机构应当向供应商出具不符合质疑条件告知书。</w:t>
      </w:r>
    </w:p>
    <w:p>
      <w:pPr>
        <w:rPr>
          <w:rFonts w:ascii="宋体" w:hAnsi="宋体"/>
          <w:szCs w:val="21"/>
        </w:rPr>
      </w:pPr>
      <w:r>
        <w:rPr>
          <w:rFonts w:hint="eastAsia" w:ascii="宋体" w:hAnsi="宋体"/>
          <w:szCs w:val="21"/>
        </w:rPr>
        <w:t xml:space="preserve">  52.7质疑答复时限</w:t>
      </w:r>
    </w:p>
    <w:p>
      <w:pPr>
        <w:rPr>
          <w:rFonts w:ascii="宋体" w:hAnsi="宋体"/>
          <w:szCs w:val="21"/>
        </w:rPr>
      </w:pPr>
      <w:r>
        <w:rPr>
          <w:rFonts w:hint="eastAsia" w:ascii="宋体" w:hAnsi="宋体"/>
          <w:szCs w:val="21"/>
        </w:rPr>
        <w:t xml:space="preserve">    自收文之日起七个工作日内。</w:t>
      </w:r>
    </w:p>
    <w:p>
      <w:pPr>
        <w:rPr>
          <w:rFonts w:ascii="宋体" w:hAnsi="宋体"/>
          <w:szCs w:val="21"/>
        </w:rPr>
      </w:pPr>
      <w:r>
        <w:rPr>
          <w:rFonts w:hint="eastAsia" w:ascii="宋体" w:hAnsi="宋体"/>
          <w:szCs w:val="21"/>
        </w:rPr>
        <w:t xml:space="preserve">    52.8投诉</w:t>
      </w:r>
    </w:p>
    <w:p>
      <w:pPr>
        <w:rPr>
          <w:rFonts w:ascii="宋体" w:hAnsi="宋体"/>
          <w:szCs w:val="21"/>
        </w:rPr>
      </w:pPr>
      <w:r>
        <w:rPr>
          <w:rFonts w:hint="eastAsia" w:ascii="宋体" w:hAnsi="宋体"/>
          <w:szCs w:val="21"/>
        </w:rPr>
        <w:t xml:space="preserve">    对质疑答复不满意或者未在规定时间内答复的，提出质疑的供应商可以在答复期满后15个工作日内向同级财政部门投诉。</w:t>
      </w:r>
    </w:p>
    <w:p>
      <w:pPr>
        <w:rPr>
          <w:rFonts w:ascii="黑体" w:hAnsi="宋体" w:eastAsia="黑体"/>
          <w:sz w:val="24"/>
        </w:rPr>
      </w:pPr>
      <w:r>
        <w:rPr>
          <w:rFonts w:hint="eastAsia" w:ascii="黑体" w:hAnsi="宋体" w:eastAsia="黑体"/>
          <w:sz w:val="24"/>
        </w:rPr>
        <w:t>53. 质疑后续处理</w:t>
      </w:r>
    </w:p>
    <w:p>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pPr>
        <w:rPr>
          <w:rFonts w:ascii="宋体" w:hAnsi="宋体"/>
          <w:szCs w:val="21"/>
        </w:rPr>
      </w:pPr>
      <w:r>
        <w:rPr>
          <w:rFonts w:hint="eastAsia" w:ascii="宋体" w:hAnsi="宋体"/>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jc w:val="center"/>
      </w:pPr>
      <w:r>
        <w:t>---- END ----</w:t>
      </w:r>
      <w:bookmarkEnd w:id="132"/>
    </w:p>
    <w:p/>
    <w:sectPr>
      <w:pgSz w:w="11907" w:h="16840"/>
      <w:pgMar w:top="1440" w:right="1797" w:bottom="1440" w:left="179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宋体"/>
    <w:panose1 w:val="00000000000000000000"/>
    <w:charset w:val="86"/>
    <w:family w:val="modern"/>
    <w:pitch w:val="default"/>
    <w:sig w:usb0="00000000" w:usb1="00000000" w:usb2="00000010" w:usb3="00000000" w:csb0="00040000" w:csb1="00000000"/>
  </w:font>
  <w:font w:name="Helvetica">
    <w:altName w:val="Arial"/>
    <w:panose1 w:val="020B0504020202020204"/>
    <w:charset w:val="00"/>
    <w:family w:val="swiss"/>
    <w:pitch w:val="default"/>
    <w:sig w:usb0="00000000" w:usb1="00000000" w:usb2="00000009" w:usb3="00000000" w:csb0="000001FF"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宋体"/>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PMingLiU">
    <w:altName w:val="Microsoft JhengHei UI"/>
    <w:panose1 w:val="02010601000101010101"/>
    <w:charset w:val="88"/>
    <w:family w:val="auto"/>
    <w:pitch w:val="default"/>
    <w:sig w:usb0="00000000" w:usb1="00000000" w:usb2="00000010" w:usb3="00000000" w:csb0="0010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8"/>
      </w:rPr>
    </w:pPr>
    <w:r>
      <w:t xml:space="preserve">- </w:t>
    </w:r>
    <w:r>
      <w:fldChar w:fldCharType="begin"/>
    </w:r>
    <w:r>
      <w:instrText xml:space="preserve"> PAGE </w:instrText>
    </w:r>
    <w:r>
      <w:fldChar w:fldCharType="separate"/>
    </w:r>
    <w:r>
      <w:t>11</w:t>
    </w:r>
    <w:r>
      <w:fldChar w:fldCharType="end"/>
    </w:r>
    <w:r>
      <w:t xml:space="preserve"> -</w:t>
    </w: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8"/>
      </w:rPr>
    </w:pPr>
    <w:r>
      <w:rPr>
        <w:rStyle w:val="48"/>
      </w:rPr>
      <w:fldChar w:fldCharType="begin"/>
    </w:r>
    <w:r>
      <w:rPr>
        <w:rStyle w:val="48"/>
      </w:rPr>
      <w:instrText xml:space="preserve">PAGE  </w:instrText>
    </w:r>
    <w:r>
      <w:rPr>
        <w:rStyle w:val="48"/>
      </w:rPr>
      <w:fldChar w:fldCharType="end"/>
    </w:r>
  </w:p>
  <w:p>
    <w:pPr>
      <w:pStyle w:val="2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4E6A75"/>
    <w:multiLevelType w:val="singleLevel"/>
    <w:tmpl w:val="A14E6A75"/>
    <w:lvl w:ilvl="0" w:tentative="0">
      <w:start w:val="1"/>
      <w:numFmt w:val="decimal"/>
      <w:suff w:val="nothing"/>
      <w:lvlText w:val="（%1）"/>
      <w:lvlJc w:val="left"/>
      <w:pPr>
        <w:ind w:left="0" w:firstLine="0"/>
      </w:pPr>
    </w:lvl>
  </w:abstractNum>
  <w:abstractNum w:abstractNumId="1">
    <w:nsid w:val="B8825A13"/>
    <w:multiLevelType w:val="singleLevel"/>
    <w:tmpl w:val="B8825A13"/>
    <w:lvl w:ilvl="0" w:tentative="0">
      <w:start w:val="1"/>
      <w:numFmt w:val="decimal"/>
      <w:suff w:val="space"/>
      <w:lvlText w:val="%1."/>
      <w:lvlJc w:val="left"/>
      <w:pPr>
        <w:ind w:left="0" w:firstLine="0"/>
      </w:pPr>
    </w:lvl>
  </w:abstractNum>
  <w:abstractNum w:abstractNumId="2">
    <w:nsid w:val="FA808E2F"/>
    <w:multiLevelType w:val="multilevel"/>
    <w:tmpl w:val="FA808E2F"/>
    <w:lvl w:ilvl="0" w:tentative="0">
      <w:start w:val="1"/>
      <w:numFmt w:val="bullet"/>
      <w:lvlText w:val=""/>
      <w:lvlJc w:val="left"/>
      <w:pPr>
        <w:tabs>
          <w:tab w:val="left" w:pos="720"/>
        </w:tabs>
        <w:ind w:left="720" w:hanging="360"/>
      </w:pPr>
      <w:rPr>
        <w:rFonts w:ascii="Wingdings" w:hAnsi="Wingdings" w:cs="Wingdings"/>
        <w:sz w:val="20"/>
      </w:rPr>
    </w:lvl>
    <w:lvl w:ilvl="1" w:tentative="0">
      <w:start w:val="1"/>
      <w:numFmt w:val="bullet"/>
      <w:lvlText w:val=""/>
      <w:lvlJc w:val="left"/>
      <w:pPr>
        <w:tabs>
          <w:tab w:val="left" w:pos="1440"/>
        </w:tabs>
        <w:ind w:left="1440" w:hanging="360"/>
      </w:pPr>
      <w:rPr>
        <w:rFonts w:hint="default" w:ascii="Wingdings" w:hAnsi="Wingdings" w:cs="Wingdings"/>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FFFFFF7C"/>
    <w:multiLevelType w:val="singleLevel"/>
    <w:tmpl w:val="FFFFFF7C"/>
    <w:lvl w:ilvl="0" w:tentative="0">
      <w:start w:val="1"/>
      <w:numFmt w:val="decimal"/>
      <w:pStyle w:val="59"/>
      <w:lvlText w:val="%1."/>
      <w:lvlJc w:val="left"/>
      <w:pPr>
        <w:tabs>
          <w:tab w:val="left" w:pos="2040"/>
        </w:tabs>
        <w:ind w:left="2040" w:leftChars="800" w:hanging="360" w:hangingChars="200"/>
      </w:pPr>
    </w:lvl>
  </w:abstractNum>
  <w:abstractNum w:abstractNumId="4">
    <w:nsid w:val="FFFFFF89"/>
    <w:multiLevelType w:val="singleLevel"/>
    <w:tmpl w:val="FFFFFF89"/>
    <w:lvl w:ilvl="0" w:tentative="0">
      <w:start w:val="1"/>
      <w:numFmt w:val="bullet"/>
      <w:pStyle w:val="14"/>
      <w:lvlText w:val=""/>
      <w:lvlJc w:val="left"/>
      <w:pPr>
        <w:tabs>
          <w:tab w:val="left" w:pos="360"/>
        </w:tabs>
        <w:ind w:left="360" w:hanging="360" w:hangingChars="200"/>
      </w:pPr>
      <w:rPr>
        <w:rFonts w:hint="default" w:ascii="Wingdings" w:hAnsi="Wingdings"/>
      </w:rPr>
    </w:lvl>
  </w:abstractNum>
  <w:abstractNum w:abstractNumId="5">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2503483"/>
    <w:multiLevelType w:val="multilevel"/>
    <w:tmpl w:val="12503483"/>
    <w:lvl w:ilvl="0" w:tentative="0">
      <w:start w:val="1"/>
      <w:numFmt w:val="bullet"/>
      <w:pStyle w:val="107"/>
      <w:lvlText w:val=""/>
      <w:lvlJc w:val="left"/>
      <w:pPr>
        <w:tabs>
          <w:tab w:val="left" w:pos="420"/>
        </w:tabs>
        <w:ind w:left="420" w:hanging="420"/>
      </w:pPr>
      <w:rPr>
        <w:rFonts w:hint="default" w:ascii="Wingdings" w:hAnsi="Wingdings"/>
      </w:rPr>
    </w:lvl>
    <w:lvl w:ilvl="1" w:tentative="0">
      <w:start w:val="1"/>
      <w:numFmt w:val="bullet"/>
      <w:pStyle w:val="106"/>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160D20D0"/>
    <w:multiLevelType w:val="multilevel"/>
    <w:tmpl w:val="160D20D0"/>
    <w:lvl w:ilvl="0" w:tentative="0">
      <w:start w:val="1"/>
      <w:numFmt w:val="bullet"/>
      <w:pStyle w:val="75"/>
      <w:lvlText w:val=""/>
      <w:lvlJc w:val="left"/>
      <w:pPr>
        <w:tabs>
          <w:tab w:val="left" w:pos="840"/>
        </w:tabs>
        <w:ind w:left="840" w:hanging="420"/>
      </w:pPr>
      <w:rPr>
        <w:rFonts w:hint="default" w:ascii="Wingdings" w:hAnsi="Wingdings"/>
      </w:rPr>
    </w:lvl>
    <w:lvl w:ilvl="1" w:tentative="0">
      <w:start w:val="1"/>
      <w:numFmt w:val="bullet"/>
      <w:pStyle w:val="76"/>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8">
    <w:nsid w:val="2F395B7B"/>
    <w:multiLevelType w:val="multilevel"/>
    <w:tmpl w:val="2F395B7B"/>
    <w:lvl w:ilvl="0" w:tentative="0">
      <w:start w:val="1"/>
      <w:numFmt w:val="bullet"/>
      <w:pStyle w:val="167"/>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9">
    <w:nsid w:val="4D034486"/>
    <w:multiLevelType w:val="singleLevel"/>
    <w:tmpl w:val="4D034486"/>
    <w:lvl w:ilvl="0" w:tentative="0">
      <w:start w:val="3"/>
      <w:numFmt w:val="chineseCounting"/>
      <w:suff w:val="space"/>
      <w:lvlText w:val="第%1条"/>
      <w:lvlJc w:val="left"/>
      <w:rPr>
        <w:rFonts w:hint="eastAsia"/>
      </w:rPr>
    </w:lvl>
  </w:abstractNum>
  <w:abstractNum w:abstractNumId="10">
    <w:nsid w:val="7AEF7716"/>
    <w:multiLevelType w:val="multilevel"/>
    <w:tmpl w:val="7AEF7716"/>
    <w:lvl w:ilvl="0" w:tentative="0">
      <w:start w:val="1"/>
      <w:numFmt w:val="chineseCountingThousand"/>
      <w:pStyle w:val="120"/>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3"/>
  </w:num>
  <w:num w:numId="3">
    <w:abstractNumId w:val="7"/>
  </w:num>
  <w:num w:numId="4">
    <w:abstractNumId w:val="6"/>
  </w:num>
  <w:num w:numId="5">
    <w:abstractNumId w:val="10"/>
  </w:num>
  <w:num w:numId="6">
    <w:abstractNumId w:val="8"/>
  </w:num>
  <w:num w:numId="7">
    <w:abstractNumId w:val="2"/>
  </w:num>
  <w:num w:numId="8">
    <w:abstractNumId w:val="0"/>
    <w:lvlOverride w:ilvl="0">
      <w:startOverride w:val="1"/>
    </w:lvlOverride>
  </w:num>
  <w:num w:numId="9">
    <w:abstractNumId w:val="1"/>
    <w:lvlOverride w:ilvl="0">
      <w:startOverride w:val="1"/>
    </w:lvlOverride>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0AD9"/>
    <w:rsid w:val="000043C0"/>
    <w:rsid w:val="000050CA"/>
    <w:rsid w:val="000051C6"/>
    <w:rsid w:val="00005215"/>
    <w:rsid w:val="00005A10"/>
    <w:rsid w:val="00005D3D"/>
    <w:rsid w:val="0000667D"/>
    <w:rsid w:val="00006F7B"/>
    <w:rsid w:val="00007951"/>
    <w:rsid w:val="00010063"/>
    <w:rsid w:val="00010102"/>
    <w:rsid w:val="0001019E"/>
    <w:rsid w:val="00011EA6"/>
    <w:rsid w:val="0001213E"/>
    <w:rsid w:val="00012640"/>
    <w:rsid w:val="00012B21"/>
    <w:rsid w:val="0001300F"/>
    <w:rsid w:val="000145A8"/>
    <w:rsid w:val="0001480D"/>
    <w:rsid w:val="00014A5C"/>
    <w:rsid w:val="00015388"/>
    <w:rsid w:val="0001716B"/>
    <w:rsid w:val="00017F81"/>
    <w:rsid w:val="00021127"/>
    <w:rsid w:val="000211EA"/>
    <w:rsid w:val="000234B2"/>
    <w:rsid w:val="00025AE4"/>
    <w:rsid w:val="0002684B"/>
    <w:rsid w:val="00026A57"/>
    <w:rsid w:val="00027645"/>
    <w:rsid w:val="000300AE"/>
    <w:rsid w:val="000300EE"/>
    <w:rsid w:val="000302B6"/>
    <w:rsid w:val="0003106D"/>
    <w:rsid w:val="00031700"/>
    <w:rsid w:val="00031F6E"/>
    <w:rsid w:val="0003277F"/>
    <w:rsid w:val="00032948"/>
    <w:rsid w:val="00032B0A"/>
    <w:rsid w:val="0003315D"/>
    <w:rsid w:val="00033DE7"/>
    <w:rsid w:val="0003541F"/>
    <w:rsid w:val="00036A2B"/>
    <w:rsid w:val="00040D3C"/>
    <w:rsid w:val="00042C84"/>
    <w:rsid w:val="00043621"/>
    <w:rsid w:val="00043739"/>
    <w:rsid w:val="00043A89"/>
    <w:rsid w:val="00045739"/>
    <w:rsid w:val="00046D30"/>
    <w:rsid w:val="000510B6"/>
    <w:rsid w:val="00051133"/>
    <w:rsid w:val="00051F3F"/>
    <w:rsid w:val="000521D8"/>
    <w:rsid w:val="00052BC1"/>
    <w:rsid w:val="00053A89"/>
    <w:rsid w:val="0005582B"/>
    <w:rsid w:val="00055BD9"/>
    <w:rsid w:val="00056247"/>
    <w:rsid w:val="00056292"/>
    <w:rsid w:val="00056C11"/>
    <w:rsid w:val="00057302"/>
    <w:rsid w:val="00057332"/>
    <w:rsid w:val="00057D00"/>
    <w:rsid w:val="0006267A"/>
    <w:rsid w:val="0006335B"/>
    <w:rsid w:val="00063C25"/>
    <w:rsid w:val="00064892"/>
    <w:rsid w:val="00066026"/>
    <w:rsid w:val="0006660A"/>
    <w:rsid w:val="0006670C"/>
    <w:rsid w:val="00067960"/>
    <w:rsid w:val="00067A4D"/>
    <w:rsid w:val="0007003A"/>
    <w:rsid w:val="00070210"/>
    <w:rsid w:val="000707BF"/>
    <w:rsid w:val="00071A42"/>
    <w:rsid w:val="00071D63"/>
    <w:rsid w:val="000734CD"/>
    <w:rsid w:val="000735FE"/>
    <w:rsid w:val="00074403"/>
    <w:rsid w:val="00074EDA"/>
    <w:rsid w:val="000750DC"/>
    <w:rsid w:val="0007583C"/>
    <w:rsid w:val="00075E26"/>
    <w:rsid w:val="00076057"/>
    <w:rsid w:val="000770EC"/>
    <w:rsid w:val="00082667"/>
    <w:rsid w:val="00082AD2"/>
    <w:rsid w:val="00083DC6"/>
    <w:rsid w:val="00084857"/>
    <w:rsid w:val="000850AF"/>
    <w:rsid w:val="000852EB"/>
    <w:rsid w:val="000869D8"/>
    <w:rsid w:val="00086CA6"/>
    <w:rsid w:val="00090213"/>
    <w:rsid w:val="00092FC7"/>
    <w:rsid w:val="00093133"/>
    <w:rsid w:val="0009395E"/>
    <w:rsid w:val="000954D5"/>
    <w:rsid w:val="00095723"/>
    <w:rsid w:val="0009618D"/>
    <w:rsid w:val="000962DA"/>
    <w:rsid w:val="0009709B"/>
    <w:rsid w:val="000975E3"/>
    <w:rsid w:val="000A1DD1"/>
    <w:rsid w:val="000A21A5"/>
    <w:rsid w:val="000A3908"/>
    <w:rsid w:val="000A425C"/>
    <w:rsid w:val="000A4C29"/>
    <w:rsid w:val="000A6E2B"/>
    <w:rsid w:val="000A79D3"/>
    <w:rsid w:val="000B05E2"/>
    <w:rsid w:val="000B2568"/>
    <w:rsid w:val="000B41BB"/>
    <w:rsid w:val="000B5357"/>
    <w:rsid w:val="000B597F"/>
    <w:rsid w:val="000B634D"/>
    <w:rsid w:val="000B7465"/>
    <w:rsid w:val="000C14CB"/>
    <w:rsid w:val="000C18BC"/>
    <w:rsid w:val="000C1EE4"/>
    <w:rsid w:val="000C1FF9"/>
    <w:rsid w:val="000C4151"/>
    <w:rsid w:val="000C4425"/>
    <w:rsid w:val="000C4B12"/>
    <w:rsid w:val="000C5FA7"/>
    <w:rsid w:val="000C75C5"/>
    <w:rsid w:val="000C7E71"/>
    <w:rsid w:val="000D16AA"/>
    <w:rsid w:val="000D1A7D"/>
    <w:rsid w:val="000D2309"/>
    <w:rsid w:val="000D2CCA"/>
    <w:rsid w:val="000D366B"/>
    <w:rsid w:val="000D38F9"/>
    <w:rsid w:val="000D5D6B"/>
    <w:rsid w:val="000D691C"/>
    <w:rsid w:val="000D7A20"/>
    <w:rsid w:val="000E161C"/>
    <w:rsid w:val="000E2C39"/>
    <w:rsid w:val="000E355C"/>
    <w:rsid w:val="000E4445"/>
    <w:rsid w:val="000E470B"/>
    <w:rsid w:val="000E4DE8"/>
    <w:rsid w:val="000E50F5"/>
    <w:rsid w:val="000E5E99"/>
    <w:rsid w:val="000E6A66"/>
    <w:rsid w:val="000E72EB"/>
    <w:rsid w:val="000F0C3B"/>
    <w:rsid w:val="000F0E9F"/>
    <w:rsid w:val="000F1540"/>
    <w:rsid w:val="000F2065"/>
    <w:rsid w:val="000F2A88"/>
    <w:rsid w:val="000F2C23"/>
    <w:rsid w:val="000F2D1B"/>
    <w:rsid w:val="000F3658"/>
    <w:rsid w:val="000F3B37"/>
    <w:rsid w:val="000F3C85"/>
    <w:rsid w:val="000F3F12"/>
    <w:rsid w:val="000F565B"/>
    <w:rsid w:val="000F5C6C"/>
    <w:rsid w:val="000F5F3F"/>
    <w:rsid w:val="00100570"/>
    <w:rsid w:val="00101CE5"/>
    <w:rsid w:val="00101DD0"/>
    <w:rsid w:val="00102555"/>
    <w:rsid w:val="0010291B"/>
    <w:rsid w:val="00102B4B"/>
    <w:rsid w:val="00103000"/>
    <w:rsid w:val="00103AB9"/>
    <w:rsid w:val="00103E80"/>
    <w:rsid w:val="00107187"/>
    <w:rsid w:val="00107272"/>
    <w:rsid w:val="00107D54"/>
    <w:rsid w:val="001106B8"/>
    <w:rsid w:val="00110B62"/>
    <w:rsid w:val="00111310"/>
    <w:rsid w:val="00111581"/>
    <w:rsid w:val="00111CEB"/>
    <w:rsid w:val="0011245C"/>
    <w:rsid w:val="0011500F"/>
    <w:rsid w:val="00115A55"/>
    <w:rsid w:val="0011665D"/>
    <w:rsid w:val="00116AAC"/>
    <w:rsid w:val="00117D55"/>
    <w:rsid w:val="001204B2"/>
    <w:rsid w:val="001212EF"/>
    <w:rsid w:val="001217DC"/>
    <w:rsid w:val="00121F81"/>
    <w:rsid w:val="0012203F"/>
    <w:rsid w:val="00123CC6"/>
    <w:rsid w:val="00125681"/>
    <w:rsid w:val="00125689"/>
    <w:rsid w:val="00125C8A"/>
    <w:rsid w:val="00126045"/>
    <w:rsid w:val="001261FC"/>
    <w:rsid w:val="001304DD"/>
    <w:rsid w:val="001306FE"/>
    <w:rsid w:val="00130827"/>
    <w:rsid w:val="001308A2"/>
    <w:rsid w:val="00131140"/>
    <w:rsid w:val="00132FD3"/>
    <w:rsid w:val="0013673A"/>
    <w:rsid w:val="001410EB"/>
    <w:rsid w:val="00143554"/>
    <w:rsid w:val="00143653"/>
    <w:rsid w:val="00143934"/>
    <w:rsid w:val="00143B3A"/>
    <w:rsid w:val="00143E43"/>
    <w:rsid w:val="00143FFC"/>
    <w:rsid w:val="00145760"/>
    <w:rsid w:val="00146ABB"/>
    <w:rsid w:val="00147338"/>
    <w:rsid w:val="00147A48"/>
    <w:rsid w:val="00150143"/>
    <w:rsid w:val="001509AB"/>
    <w:rsid w:val="00152E91"/>
    <w:rsid w:val="0015460B"/>
    <w:rsid w:val="00154736"/>
    <w:rsid w:val="00156CA9"/>
    <w:rsid w:val="00157465"/>
    <w:rsid w:val="00157E23"/>
    <w:rsid w:val="00157FC3"/>
    <w:rsid w:val="00160ACE"/>
    <w:rsid w:val="00161C4F"/>
    <w:rsid w:val="00161C84"/>
    <w:rsid w:val="00161F2A"/>
    <w:rsid w:val="00161FDF"/>
    <w:rsid w:val="001626BD"/>
    <w:rsid w:val="00162C33"/>
    <w:rsid w:val="0016340E"/>
    <w:rsid w:val="00164E23"/>
    <w:rsid w:val="0016595F"/>
    <w:rsid w:val="00166A2C"/>
    <w:rsid w:val="00166BF2"/>
    <w:rsid w:val="00166CC3"/>
    <w:rsid w:val="00170A9E"/>
    <w:rsid w:val="0017121A"/>
    <w:rsid w:val="00171401"/>
    <w:rsid w:val="00171777"/>
    <w:rsid w:val="001719FB"/>
    <w:rsid w:val="00172B65"/>
    <w:rsid w:val="00172EF5"/>
    <w:rsid w:val="001732E1"/>
    <w:rsid w:val="0017613E"/>
    <w:rsid w:val="00177167"/>
    <w:rsid w:val="00181A71"/>
    <w:rsid w:val="0018261B"/>
    <w:rsid w:val="001834A7"/>
    <w:rsid w:val="0018373B"/>
    <w:rsid w:val="00183C79"/>
    <w:rsid w:val="00183C8B"/>
    <w:rsid w:val="00183E75"/>
    <w:rsid w:val="001845CF"/>
    <w:rsid w:val="001865BB"/>
    <w:rsid w:val="00187518"/>
    <w:rsid w:val="00187743"/>
    <w:rsid w:val="0019096C"/>
    <w:rsid w:val="00191EA7"/>
    <w:rsid w:val="00192164"/>
    <w:rsid w:val="00192883"/>
    <w:rsid w:val="00194C98"/>
    <w:rsid w:val="00194FB7"/>
    <w:rsid w:val="00196B4E"/>
    <w:rsid w:val="001975A1"/>
    <w:rsid w:val="001A027A"/>
    <w:rsid w:val="001A08E4"/>
    <w:rsid w:val="001A0D2C"/>
    <w:rsid w:val="001A12B5"/>
    <w:rsid w:val="001A1C72"/>
    <w:rsid w:val="001A3980"/>
    <w:rsid w:val="001A422B"/>
    <w:rsid w:val="001A440A"/>
    <w:rsid w:val="001A4A55"/>
    <w:rsid w:val="001A5C6F"/>
    <w:rsid w:val="001A6A4F"/>
    <w:rsid w:val="001A76B7"/>
    <w:rsid w:val="001B015C"/>
    <w:rsid w:val="001B1339"/>
    <w:rsid w:val="001B1B58"/>
    <w:rsid w:val="001B1F55"/>
    <w:rsid w:val="001B2049"/>
    <w:rsid w:val="001B2934"/>
    <w:rsid w:val="001B4A37"/>
    <w:rsid w:val="001B6FAD"/>
    <w:rsid w:val="001C04B2"/>
    <w:rsid w:val="001C14C1"/>
    <w:rsid w:val="001C1FDE"/>
    <w:rsid w:val="001C2063"/>
    <w:rsid w:val="001C21E1"/>
    <w:rsid w:val="001C3426"/>
    <w:rsid w:val="001C4768"/>
    <w:rsid w:val="001C5839"/>
    <w:rsid w:val="001C6AF6"/>
    <w:rsid w:val="001C7129"/>
    <w:rsid w:val="001C77E1"/>
    <w:rsid w:val="001C7ADA"/>
    <w:rsid w:val="001C7B48"/>
    <w:rsid w:val="001D121D"/>
    <w:rsid w:val="001D309C"/>
    <w:rsid w:val="001D3543"/>
    <w:rsid w:val="001D4151"/>
    <w:rsid w:val="001D58E5"/>
    <w:rsid w:val="001D7334"/>
    <w:rsid w:val="001E02B5"/>
    <w:rsid w:val="001E0FAB"/>
    <w:rsid w:val="001E2084"/>
    <w:rsid w:val="001E2502"/>
    <w:rsid w:val="001E292F"/>
    <w:rsid w:val="001E351C"/>
    <w:rsid w:val="001E45C1"/>
    <w:rsid w:val="001E474D"/>
    <w:rsid w:val="001E5194"/>
    <w:rsid w:val="001E5A81"/>
    <w:rsid w:val="001E62FB"/>
    <w:rsid w:val="001E6A0B"/>
    <w:rsid w:val="001E77DA"/>
    <w:rsid w:val="001E7A2F"/>
    <w:rsid w:val="001E7AB0"/>
    <w:rsid w:val="001E7DD0"/>
    <w:rsid w:val="001F0349"/>
    <w:rsid w:val="001F077B"/>
    <w:rsid w:val="001F078F"/>
    <w:rsid w:val="001F0B74"/>
    <w:rsid w:val="001F2648"/>
    <w:rsid w:val="001F41B9"/>
    <w:rsid w:val="001F4BE8"/>
    <w:rsid w:val="001F4EB8"/>
    <w:rsid w:val="001F560A"/>
    <w:rsid w:val="001F6206"/>
    <w:rsid w:val="001F6318"/>
    <w:rsid w:val="001F65B1"/>
    <w:rsid w:val="001F6B83"/>
    <w:rsid w:val="001F6F6A"/>
    <w:rsid w:val="001F7595"/>
    <w:rsid w:val="002000B8"/>
    <w:rsid w:val="00200B4C"/>
    <w:rsid w:val="002010F7"/>
    <w:rsid w:val="00202F46"/>
    <w:rsid w:val="00203267"/>
    <w:rsid w:val="00203897"/>
    <w:rsid w:val="0020391D"/>
    <w:rsid w:val="00205269"/>
    <w:rsid w:val="00205F9C"/>
    <w:rsid w:val="002060F7"/>
    <w:rsid w:val="00206870"/>
    <w:rsid w:val="00207BC6"/>
    <w:rsid w:val="00210771"/>
    <w:rsid w:val="00210C35"/>
    <w:rsid w:val="00210EE2"/>
    <w:rsid w:val="00211885"/>
    <w:rsid w:val="00212ADF"/>
    <w:rsid w:val="002134CF"/>
    <w:rsid w:val="00213A60"/>
    <w:rsid w:val="0021429B"/>
    <w:rsid w:val="00215699"/>
    <w:rsid w:val="002159DE"/>
    <w:rsid w:val="00215E99"/>
    <w:rsid w:val="0021667D"/>
    <w:rsid w:val="002166A1"/>
    <w:rsid w:val="002166A6"/>
    <w:rsid w:val="00216BB6"/>
    <w:rsid w:val="0022048B"/>
    <w:rsid w:val="0022175C"/>
    <w:rsid w:val="00222261"/>
    <w:rsid w:val="00223AC8"/>
    <w:rsid w:val="00223C96"/>
    <w:rsid w:val="00224852"/>
    <w:rsid w:val="0022634D"/>
    <w:rsid w:val="00227512"/>
    <w:rsid w:val="0022766E"/>
    <w:rsid w:val="002278D5"/>
    <w:rsid w:val="00227C13"/>
    <w:rsid w:val="00227D49"/>
    <w:rsid w:val="00227FC7"/>
    <w:rsid w:val="00233A54"/>
    <w:rsid w:val="00234440"/>
    <w:rsid w:val="002347C9"/>
    <w:rsid w:val="00236E72"/>
    <w:rsid w:val="002411BD"/>
    <w:rsid w:val="00244711"/>
    <w:rsid w:val="00244AE4"/>
    <w:rsid w:val="00245EBE"/>
    <w:rsid w:val="002472C1"/>
    <w:rsid w:val="002473F4"/>
    <w:rsid w:val="00247D64"/>
    <w:rsid w:val="00250F42"/>
    <w:rsid w:val="00252EBA"/>
    <w:rsid w:val="0025361A"/>
    <w:rsid w:val="002545EF"/>
    <w:rsid w:val="00254B44"/>
    <w:rsid w:val="00254E99"/>
    <w:rsid w:val="00255B9B"/>
    <w:rsid w:val="00256596"/>
    <w:rsid w:val="002576D5"/>
    <w:rsid w:val="0026027A"/>
    <w:rsid w:val="00260533"/>
    <w:rsid w:val="002605CE"/>
    <w:rsid w:val="00261367"/>
    <w:rsid w:val="00261A54"/>
    <w:rsid w:val="00261C21"/>
    <w:rsid w:val="00261D37"/>
    <w:rsid w:val="002627CA"/>
    <w:rsid w:val="00262D6B"/>
    <w:rsid w:val="00262ED0"/>
    <w:rsid w:val="00263607"/>
    <w:rsid w:val="00263814"/>
    <w:rsid w:val="002638EE"/>
    <w:rsid w:val="00263BB5"/>
    <w:rsid w:val="00264965"/>
    <w:rsid w:val="002656E1"/>
    <w:rsid w:val="00265CFF"/>
    <w:rsid w:val="00270B4E"/>
    <w:rsid w:val="00271500"/>
    <w:rsid w:val="00272E57"/>
    <w:rsid w:val="00274663"/>
    <w:rsid w:val="00275641"/>
    <w:rsid w:val="0027569A"/>
    <w:rsid w:val="002767D9"/>
    <w:rsid w:val="00280382"/>
    <w:rsid w:val="00280F4B"/>
    <w:rsid w:val="00281C67"/>
    <w:rsid w:val="002821E9"/>
    <w:rsid w:val="002827D2"/>
    <w:rsid w:val="002835B7"/>
    <w:rsid w:val="00284C1F"/>
    <w:rsid w:val="002851AF"/>
    <w:rsid w:val="00286129"/>
    <w:rsid w:val="0028787B"/>
    <w:rsid w:val="00290263"/>
    <w:rsid w:val="002908A7"/>
    <w:rsid w:val="00291768"/>
    <w:rsid w:val="00291796"/>
    <w:rsid w:val="00292F66"/>
    <w:rsid w:val="0029315D"/>
    <w:rsid w:val="00293A33"/>
    <w:rsid w:val="0029449E"/>
    <w:rsid w:val="0029488D"/>
    <w:rsid w:val="0029530C"/>
    <w:rsid w:val="00296020"/>
    <w:rsid w:val="00296695"/>
    <w:rsid w:val="0029693F"/>
    <w:rsid w:val="002969C6"/>
    <w:rsid w:val="00296BE2"/>
    <w:rsid w:val="00296F46"/>
    <w:rsid w:val="00296F8A"/>
    <w:rsid w:val="002A11CE"/>
    <w:rsid w:val="002A13E2"/>
    <w:rsid w:val="002A180F"/>
    <w:rsid w:val="002A1B36"/>
    <w:rsid w:val="002A37E6"/>
    <w:rsid w:val="002A4DFC"/>
    <w:rsid w:val="002B18D6"/>
    <w:rsid w:val="002B22D4"/>
    <w:rsid w:val="002B3984"/>
    <w:rsid w:val="002B4BF3"/>
    <w:rsid w:val="002B55C8"/>
    <w:rsid w:val="002B5E4B"/>
    <w:rsid w:val="002B656B"/>
    <w:rsid w:val="002B660D"/>
    <w:rsid w:val="002B7956"/>
    <w:rsid w:val="002B7969"/>
    <w:rsid w:val="002C0031"/>
    <w:rsid w:val="002C0485"/>
    <w:rsid w:val="002C0762"/>
    <w:rsid w:val="002C257A"/>
    <w:rsid w:val="002C2BEC"/>
    <w:rsid w:val="002C30C0"/>
    <w:rsid w:val="002C4F4B"/>
    <w:rsid w:val="002C58A0"/>
    <w:rsid w:val="002C6EC0"/>
    <w:rsid w:val="002C7258"/>
    <w:rsid w:val="002D0356"/>
    <w:rsid w:val="002D07C0"/>
    <w:rsid w:val="002D0F98"/>
    <w:rsid w:val="002D1DFB"/>
    <w:rsid w:val="002D45BF"/>
    <w:rsid w:val="002D4A85"/>
    <w:rsid w:val="002D6162"/>
    <w:rsid w:val="002D64DF"/>
    <w:rsid w:val="002D750A"/>
    <w:rsid w:val="002E015D"/>
    <w:rsid w:val="002E242E"/>
    <w:rsid w:val="002E2FEC"/>
    <w:rsid w:val="002E38DB"/>
    <w:rsid w:val="002E3BEB"/>
    <w:rsid w:val="002E441D"/>
    <w:rsid w:val="002E4AB1"/>
    <w:rsid w:val="002E4F8A"/>
    <w:rsid w:val="002E505D"/>
    <w:rsid w:val="002E6F69"/>
    <w:rsid w:val="002E7296"/>
    <w:rsid w:val="002E73B8"/>
    <w:rsid w:val="002E7B4C"/>
    <w:rsid w:val="002F0823"/>
    <w:rsid w:val="002F2471"/>
    <w:rsid w:val="002F2B7A"/>
    <w:rsid w:val="002F3105"/>
    <w:rsid w:val="002F3B28"/>
    <w:rsid w:val="002F5E6C"/>
    <w:rsid w:val="002F72FF"/>
    <w:rsid w:val="00300BF3"/>
    <w:rsid w:val="0030143F"/>
    <w:rsid w:val="00301BCD"/>
    <w:rsid w:val="00303ACF"/>
    <w:rsid w:val="0030463E"/>
    <w:rsid w:val="00304DE0"/>
    <w:rsid w:val="00304ED6"/>
    <w:rsid w:val="00306D5D"/>
    <w:rsid w:val="00306FF4"/>
    <w:rsid w:val="00310EE1"/>
    <w:rsid w:val="003122B0"/>
    <w:rsid w:val="00312390"/>
    <w:rsid w:val="00313487"/>
    <w:rsid w:val="003138EB"/>
    <w:rsid w:val="00315663"/>
    <w:rsid w:val="00315880"/>
    <w:rsid w:val="00315A06"/>
    <w:rsid w:val="00315F04"/>
    <w:rsid w:val="0031678B"/>
    <w:rsid w:val="0031683C"/>
    <w:rsid w:val="00317146"/>
    <w:rsid w:val="003176EA"/>
    <w:rsid w:val="00317D36"/>
    <w:rsid w:val="00321473"/>
    <w:rsid w:val="003225FB"/>
    <w:rsid w:val="00323A7C"/>
    <w:rsid w:val="00323BE9"/>
    <w:rsid w:val="00323C32"/>
    <w:rsid w:val="00323CC7"/>
    <w:rsid w:val="00324A1D"/>
    <w:rsid w:val="00324C55"/>
    <w:rsid w:val="003250B4"/>
    <w:rsid w:val="00325742"/>
    <w:rsid w:val="00327224"/>
    <w:rsid w:val="00327AB3"/>
    <w:rsid w:val="00327F9E"/>
    <w:rsid w:val="00330527"/>
    <w:rsid w:val="003318A6"/>
    <w:rsid w:val="003321A8"/>
    <w:rsid w:val="00332EB1"/>
    <w:rsid w:val="00333E63"/>
    <w:rsid w:val="00334044"/>
    <w:rsid w:val="00335188"/>
    <w:rsid w:val="00335234"/>
    <w:rsid w:val="003373B8"/>
    <w:rsid w:val="003413F4"/>
    <w:rsid w:val="00342DC1"/>
    <w:rsid w:val="00342EF7"/>
    <w:rsid w:val="003432B6"/>
    <w:rsid w:val="00343F41"/>
    <w:rsid w:val="00344BF3"/>
    <w:rsid w:val="00345CC1"/>
    <w:rsid w:val="00345EA7"/>
    <w:rsid w:val="0034652C"/>
    <w:rsid w:val="00346606"/>
    <w:rsid w:val="00346E73"/>
    <w:rsid w:val="0035067B"/>
    <w:rsid w:val="00350681"/>
    <w:rsid w:val="00350B6E"/>
    <w:rsid w:val="00351A4A"/>
    <w:rsid w:val="00351D95"/>
    <w:rsid w:val="00351DCF"/>
    <w:rsid w:val="00351FB4"/>
    <w:rsid w:val="00353860"/>
    <w:rsid w:val="00354CD9"/>
    <w:rsid w:val="003556C1"/>
    <w:rsid w:val="00355EEE"/>
    <w:rsid w:val="00357883"/>
    <w:rsid w:val="00360494"/>
    <w:rsid w:val="00360C00"/>
    <w:rsid w:val="00361633"/>
    <w:rsid w:val="00361935"/>
    <w:rsid w:val="003626AE"/>
    <w:rsid w:val="0036292A"/>
    <w:rsid w:val="00362AF3"/>
    <w:rsid w:val="00364BEE"/>
    <w:rsid w:val="0036508D"/>
    <w:rsid w:val="003651C8"/>
    <w:rsid w:val="00366321"/>
    <w:rsid w:val="003669F1"/>
    <w:rsid w:val="00366F10"/>
    <w:rsid w:val="003700A3"/>
    <w:rsid w:val="00370B40"/>
    <w:rsid w:val="00371C15"/>
    <w:rsid w:val="00372CDF"/>
    <w:rsid w:val="00373411"/>
    <w:rsid w:val="00373D40"/>
    <w:rsid w:val="003741F6"/>
    <w:rsid w:val="00374A29"/>
    <w:rsid w:val="00374FA4"/>
    <w:rsid w:val="003756C6"/>
    <w:rsid w:val="00376E35"/>
    <w:rsid w:val="00377F6C"/>
    <w:rsid w:val="00380094"/>
    <w:rsid w:val="00380256"/>
    <w:rsid w:val="0038165D"/>
    <w:rsid w:val="00383071"/>
    <w:rsid w:val="00385444"/>
    <w:rsid w:val="00385F39"/>
    <w:rsid w:val="00386070"/>
    <w:rsid w:val="003900A5"/>
    <w:rsid w:val="003917AD"/>
    <w:rsid w:val="00391FAB"/>
    <w:rsid w:val="00392539"/>
    <w:rsid w:val="00392677"/>
    <w:rsid w:val="00393431"/>
    <w:rsid w:val="00393633"/>
    <w:rsid w:val="003945E2"/>
    <w:rsid w:val="00394981"/>
    <w:rsid w:val="00395100"/>
    <w:rsid w:val="003953A8"/>
    <w:rsid w:val="003958E6"/>
    <w:rsid w:val="00395D76"/>
    <w:rsid w:val="00396F7B"/>
    <w:rsid w:val="00396FA3"/>
    <w:rsid w:val="0039788E"/>
    <w:rsid w:val="00397F0D"/>
    <w:rsid w:val="003A0DC3"/>
    <w:rsid w:val="003A1CF5"/>
    <w:rsid w:val="003A2812"/>
    <w:rsid w:val="003A2D0C"/>
    <w:rsid w:val="003A3304"/>
    <w:rsid w:val="003A3551"/>
    <w:rsid w:val="003A38F0"/>
    <w:rsid w:val="003A443D"/>
    <w:rsid w:val="003A456F"/>
    <w:rsid w:val="003A6A5A"/>
    <w:rsid w:val="003A72E9"/>
    <w:rsid w:val="003B175A"/>
    <w:rsid w:val="003B3231"/>
    <w:rsid w:val="003B357A"/>
    <w:rsid w:val="003B499C"/>
    <w:rsid w:val="003B4CCD"/>
    <w:rsid w:val="003B53D4"/>
    <w:rsid w:val="003B56D7"/>
    <w:rsid w:val="003B5F90"/>
    <w:rsid w:val="003B7298"/>
    <w:rsid w:val="003C0FF8"/>
    <w:rsid w:val="003C1D0C"/>
    <w:rsid w:val="003C4FD5"/>
    <w:rsid w:val="003C582B"/>
    <w:rsid w:val="003C6BFF"/>
    <w:rsid w:val="003D2333"/>
    <w:rsid w:val="003D3241"/>
    <w:rsid w:val="003D4804"/>
    <w:rsid w:val="003D5413"/>
    <w:rsid w:val="003D7685"/>
    <w:rsid w:val="003D7E9A"/>
    <w:rsid w:val="003E0366"/>
    <w:rsid w:val="003E100C"/>
    <w:rsid w:val="003E2FFE"/>
    <w:rsid w:val="003E37AA"/>
    <w:rsid w:val="003E4310"/>
    <w:rsid w:val="003E47DE"/>
    <w:rsid w:val="003E4FFA"/>
    <w:rsid w:val="003E6E11"/>
    <w:rsid w:val="003F0536"/>
    <w:rsid w:val="003F10D3"/>
    <w:rsid w:val="003F1548"/>
    <w:rsid w:val="003F2B3D"/>
    <w:rsid w:val="003F2FBA"/>
    <w:rsid w:val="003F3105"/>
    <w:rsid w:val="003F3C44"/>
    <w:rsid w:val="003F4172"/>
    <w:rsid w:val="003F4249"/>
    <w:rsid w:val="003F4768"/>
    <w:rsid w:val="003F4E3B"/>
    <w:rsid w:val="003F5086"/>
    <w:rsid w:val="003F5108"/>
    <w:rsid w:val="003F5D2C"/>
    <w:rsid w:val="003F7679"/>
    <w:rsid w:val="00400C13"/>
    <w:rsid w:val="00402311"/>
    <w:rsid w:val="0040239F"/>
    <w:rsid w:val="00402C97"/>
    <w:rsid w:val="00403364"/>
    <w:rsid w:val="0040415C"/>
    <w:rsid w:val="00404AA4"/>
    <w:rsid w:val="00404C61"/>
    <w:rsid w:val="004050C9"/>
    <w:rsid w:val="004051F0"/>
    <w:rsid w:val="00406314"/>
    <w:rsid w:val="00406376"/>
    <w:rsid w:val="00406896"/>
    <w:rsid w:val="00411B37"/>
    <w:rsid w:val="004125ED"/>
    <w:rsid w:val="00413B39"/>
    <w:rsid w:val="0041450E"/>
    <w:rsid w:val="0041456E"/>
    <w:rsid w:val="00415370"/>
    <w:rsid w:val="00415781"/>
    <w:rsid w:val="00416485"/>
    <w:rsid w:val="00416F40"/>
    <w:rsid w:val="00417769"/>
    <w:rsid w:val="00417F0D"/>
    <w:rsid w:val="00421EF2"/>
    <w:rsid w:val="00422668"/>
    <w:rsid w:val="00424946"/>
    <w:rsid w:val="0042602D"/>
    <w:rsid w:val="004261DA"/>
    <w:rsid w:val="00427004"/>
    <w:rsid w:val="00431AC1"/>
    <w:rsid w:val="00431DE1"/>
    <w:rsid w:val="004329C9"/>
    <w:rsid w:val="00432CD5"/>
    <w:rsid w:val="00433CDB"/>
    <w:rsid w:val="00435D29"/>
    <w:rsid w:val="004363FA"/>
    <w:rsid w:val="004364CC"/>
    <w:rsid w:val="00437141"/>
    <w:rsid w:val="004405B0"/>
    <w:rsid w:val="004409EB"/>
    <w:rsid w:val="00441905"/>
    <w:rsid w:val="00441FF9"/>
    <w:rsid w:val="0044382F"/>
    <w:rsid w:val="00443B96"/>
    <w:rsid w:val="00443E1D"/>
    <w:rsid w:val="004442EB"/>
    <w:rsid w:val="00444FA3"/>
    <w:rsid w:val="00446553"/>
    <w:rsid w:val="0044661E"/>
    <w:rsid w:val="0044688F"/>
    <w:rsid w:val="00446A92"/>
    <w:rsid w:val="004501B4"/>
    <w:rsid w:val="0045082F"/>
    <w:rsid w:val="00450C00"/>
    <w:rsid w:val="0045135E"/>
    <w:rsid w:val="00451673"/>
    <w:rsid w:val="00452434"/>
    <w:rsid w:val="00452C53"/>
    <w:rsid w:val="00453339"/>
    <w:rsid w:val="004539C7"/>
    <w:rsid w:val="00454597"/>
    <w:rsid w:val="004548E6"/>
    <w:rsid w:val="0045543A"/>
    <w:rsid w:val="0045543C"/>
    <w:rsid w:val="004556FB"/>
    <w:rsid w:val="00455880"/>
    <w:rsid w:val="004561F9"/>
    <w:rsid w:val="0045637C"/>
    <w:rsid w:val="004569A3"/>
    <w:rsid w:val="00457421"/>
    <w:rsid w:val="004578ED"/>
    <w:rsid w:val="0046064C"/>
    <w:rsid w:val="004611B6"/>
    <w:rsid w:val="00461997"/>
    <w:rsid w:val="00463F8B"/>
    <w:rsid w:val="004649AD"/>
    <w:rsid w:val="004650E7"/>
    <w:rsid w:val="0046687B"/>
    <w:rsid w:val="00466CB4"/>
    <w:rsid w:val="00470418"/>
    <w:rsid w:val="004704EA"/>
    <w:rsid w:val="0047071D"/>
    <w:rsid w:val="004727C4"/>
    <w:rsid w:val="00473579"/>
    <w:rsid w:val="00473E50"/>
    <w:rsid w:val="00474E5A"/>
    <w:rsid w:val="00475494"/>
    <w:rsid w:val="0047558F"/>
    <w:rsid w:val="00475FD5"/>
    <w:rsid w:val="004812F4"/>
    <w:rsid w:val="0048231B"/>
    <w:rsid w:val="004838D4"/>
    <w:rsid w:val="004845AC"/>
    <w:rsid w:val="00484C31"/>
    <w:rsid w:val="00485E3C"/>
    <w:rsid w:val="00486F09"/>
    <w:rsid w:val="004877FB"/>
    <w:rsid w:val="004906DB"/>
    <w:rsid w:val="00490C0F"/>
    <w:rsid w:val="00491FF2"/>
    <w:rsid w:val="004925EE"/>
    <w:rsid w:val="00492735"/>
    <w:rsid w:val="004945E8"/>
    <w:rsid w:val="00494FC9"/>
    <w:rsid w:val="00495228"/>
    <w:rsid w:val="00495428"/>
    <w:rsid w:val="004963B6"/>
    <w:rsid w:val="004A2013"/>
    <w:rsid w:val="004A201B"/>
    <w:rsid w:val="004A2B7A"/>
    <w:rsid w:val="004A3EB3"/>
    <w:rsid w:val="004A4377"/>
    <w:rsid w:val="004A57EB"/>
    <w:rsid w:val="004A5824"/>
    <w:rsid w:val="004A59D3"/>
    <w:rsid w:val="004A6D7C"/>
    <w:rsid w:val="004A6F11"/>
    <w:rsid w:val="004A74DD"/>
    <w:rsid w:val="004B00D1"/>
    <w:rsid w:val="004B0B57"/>
    <w:rsid w:val="004B1CAB"/>
    <w:rsid w:val="004B2374"/>
    <w:rsid w:val="004B2FF9"/>
    <w:rsid w:val="004B3506"/>
    <w:rsid w:val="004B36ED"/>
    <w:rsid w:val="004B40DB"/>
    <w:rsid w:val="004B4EF6"/>
    <w:rsid w:val="004B612E"/>
    <w:rsid w:val="004B623B"/>
    <w:rsid w:val="004B6554"/>
    <w:rsid w:val="004B6B22"/>
    <w:rsid w:val="004B6C50"/>
    <w:rsid w:val="004B6CF5"/>
    <w:rsid w:val="004C0DA0"/>
    <w:rsid w:val="004C3E02"/>
    <w:rsid w:val="004C422D"/>
    <w:rsid w:val="004C4CEB"/>
    <w:rsid w:val="004C5CBA"/>
    <w:rsid w:val="004C64F7"/>
    <w:rsid w:val="004C6C09"/>
    <w:rsid w:val="004C6EA3"/>
    <w:rsid w:val="004D000F"/>
    <w:rsid w:val="004D055D"/>
    <w:rsid w:val="004D1240"/>
    <w:rsid w:val="004D49EE"/>
    <w:rsid w:val="004D4AE0"/>
    <w:rsid w:val="004D4C0B"/>
    <w:rsid w:val="004D698A"/>
    <w:rsid w:val="004D69FC"/>
    <w:rsid w:val="004D72BA"/>
    <w:rsid w:val="004D77BD"/>
    <w:rsid w:val="004D77DE"/>
    <w:rsid w:val="004D7BF4"/>
    <w:rsid w:val="004D7C92"/>
    <w:rsid w:val="004E295C"/>
    <w:rsid w:val="004E38B2"/>
    <w:rsid w:val="004E3936"/>
    <w:rsid w:val="004E490B"/>
    <w:rsid w:val="004E57F7"/>
    <w:rsid w:val="004E5D9C"/>
    <w:rsid w:val="004E6707"/>
    <w:rsid w:val="004E6AEC"/>
    <w:rsid w:val="004E6B8E"/>
    <w:rsid w:val="004F0543"/>
    <w:rsid w:val="004F0D33"/>
    <w:rsid w:val="004F2385"/>
    <w:rsid w:val="004F3A97"/>
    <w:rsid w:val="004F3CA9"/>
    <w:rsid w:val="004F5591"/>
    <w:rsid w:val="004F5D14"/>
    <w:rsid w:val="004F6784"/>
    <w:rsid w:val="004F68DC"/>
    <w:rsid w:val="00500F7A"/>
    <w:rsid w:val="005012AD"/>
    <w:rsid w:val="005016E5"/>
    <w:rsid w:val="00501A56"/>
    <w:rsid w:val="00502317"/>
    <w:rsid w:val="005027BB"/>
    <w:rsid w:val="00503415"/>
    <w:rsid w:val="005037E1"/>
    <w:rsid w:val="00503B5C"/>
    <w:rsid w:val="0050456A"/>
    <w:rsid w:val="005068E1"/>
    <w:rsid w:val="005077C5"/>
    <w:rsid w:val="00510B80"/>
    <w:rsid w:val="0051168A"/>
    <w:rsid w:val="005117D2"/>
    <w:rsid w:val="005118A6"/>
    <w:rsid w:val="005122F4"/>
    <w:rsid w:val="0051405F"/>
    <w:rsid w:val="0051444F"/>
    <w:rsid w:val="005156A6"/>
    <w:rsid w:val="00516393"/>
    <w:rsid w:val="00516669"/>
    <w:rsid w:val="005179A5"/>
    <w:rsid w:val="00520AB6"/>
    <w:rsid w:val="00520B4F"/>
    <w:rsid w:val="00524AD7"/>
    <w:rsid w:val="005254FD"/>
    <w:rsid w:val="005268A9"/>
    <w:rsid w:val="0052720F"/>
    <w:rsid w:val="00527421"/>
    <w:rsid w:val="005275C4"/>
    <w:rsid w:val="00527D36"/>
    <w:rsid w:val="00531076"/>
    <w:rsid w:val="00531D28"/>
    <w:rsid w:val="005328A8"/>
    <w:rsid w:val="005338EE"/>
    <w:rsid w:val="00533920"/>
    <w:rsid w:val="00535141"/>
    <w:rsid w:val="00535324"/>
    <w:rsid w:val="00535504"/>
    <w:rsid w:val="005363B4"/>
    <w:rsid w:val="0053712D"/>
    <w:rsid w:val="005403F4"/>
    <w:rsid w:val="00541136"/>
    <w:rsid w:val="0054216F"/>
    <w:rsid w:val="00542F18"/>
    <w:rsid w:val="00544853"/>
    <w:rsid w:val="00544CA5"/>
    <w:rsid w:val="005450E2"/>
    <w:rsid w:val="00545B19"/>
    <w:rsid w:val="0055035F"/>
    <w:rsid w:val="005507FD"/>
    <w:rsid w:val="005511C0"/>
    <w:rsid w:val="0055232C"/>
    <w:rsid w:val="0055278E"/>
    <w:rsid w:val="00555488"/>
    <w:rsid w:val="0055549A"/>
    <w:rsid w:val="00555B18"/>
    <w:rsid w:val="00555C9C"/>
    <w:rsid w:val="00556A4D"/>
    <w:rsid w:val="00557319"/>
    <w:rsid w:val="0055764E"/>
    <w:rsid w:val="0055781E"/>
    <w:rsid w:val="00560528"/>
    <w:rsid w:val="00560699"/>
    <w:rsid w:val="00561923"/>
    <w:rsid w:val="005622F8"/>
    <w:rsid w:val="0056310A"/>
    <w:rsid w:val="0056336F"/>
    <w:rsid w:val="00565AF7"/>
    <w:rsid w:val="0057189C"/>
    <w:rsid w:val="00571BD2"/>
    <w:rsid w:val="00571CD7"/>
    <w:rsid w:val="00571D59"/>
    <w:rsid w:val="00572E3E"/>
    <w:rsid w:val="005737FC"/>
    <w:rsid w:val="0057420B"/>
    <w:rsid w:val="0057593B"/>
    <w:rsid w:val="005762CE"/>
    <w:rsid w:val="00580280"/>
    <w:rsid w:val="00580B9E"/>
    <w:rsid w:val="0058135A"/>
    <w:rsid w:val="00581F7C"/>
    <w:rsid w:val="00583358"/>
    <w:rsid w:val="005839BF"/>
    <w:rsid w:val="00584058"/>
    <w:rsid w:val="005844A5"/>
    <w:rsid w:val="005846B4"/>
    <w:rsid w:val="005850E5"/>
    <w:rsid w:val="005851E0"/>
    <w:rsid w:val="00585571"/>
    <w:rsid w:val="005856F9"/>
    <w:rsid w:val="00585B91"/>
    <w:rsid w:val="00586BB0"/>
    <w:rsid w:val="00586BF1"/>
    <w:rsid w:val="00587DC4"/>
    <w:rsid w:val="00590372"/>
    <w:rsid w:val="005903E4"/>
    <w:rsid w:val="005907D5"/>
    <w:rsid w:val="005913EE"/>
    <w:rsid w:val="00592461"/>
    <w:rsid w:val="005950D6"/>
    <w:rsid w:val="0059519C"/>
    <w:rsid w:val="00595524"/>
    <w:rsid w:val="005974F3"/>
    <w:rsid w:val="0059751C"/>
    <w:rsid w:val="00597919"/>
    <w:rsid w:val="005A0B9F"/>
    <w:rsid w:val="005A0EFC"/>
    <w:rsid w:val="005A44E7"/>
    <w:rsid w:val="005A5D8E"/>
    <w:rsid w:val="005A63D8"/>
    <w:rsid w:val="005A7C14"/>
    <w:rsid w:val="005A7DBE"/>
    <w:rsid w:val="005B152C"/>
    <w:rsid w:val="005B1C64"/>
    <w:rsid w:val="005B1DE8"/>
    <w:rsid w:val="005B2807"/>
    <w:rsid w:val="005B3606"/>
    <w:rsid w:val="005B3E08"/>
    <w:rsid w:val="005B49B6"/>
    <w:rsid w:val="005B56EE"/>
    <w:rsid w:val="005B672C"/>
    <w:rsid w:val="005B747D"/>
    <w:rsid w:val="005B7733"/>
    <w:rsid w:val="005B7A22"/>
    <w:rsid w:val="005C0602"/>
    <w:rsid w:val="005C0D5D"/>
    <w:rsid w:val="005C1415"/>
    <w:rsid w:val="005C191A"/>
    <w:rsid w:val="005C2AA9"/>
    <w:rsid w:val="005C330D"/>
    <w:rsid w:val="005C40C7"/>
    <w:rsid w:val="005C4114"/>
    <w:rsid w:val="005C4EFF"/>
    <w:rsid w:val="005C4F43"/>
    <w:rsid w:val="005D0B55"/>
    <w:rsid w:val="005D226E"/>
    <w:rsid w:val="005D39BF"/>
    <w:rsid w:val="005D4A04"/>
    <w:rsid w:val="005D4CF7"/>
    <w:rsid w:val="005D5347"/>
    <w:rsid w:val="005D5CC5"/>
    <w:rsid w:val="005D5FE6"/>
    <w:rsid w:val="005D61EA"/>
    <w:rsid w:val="005D74D8"/>
    <w:rsid w:val="005D787B"/>
    <w:rsid w:val="005E031D"/>
    <w:rsid w:val="005E03AC"/>
    <w:rsid w:val="005E04B5"/>
    <w:rsid w:val="005E0621"/>
    <w:rsid w:val="005E12BE"/>
    <w:rsid w:val="005E2C81"/>
    <w:rsid w:val="005E4D3C"/>
    <w:rsid w:val="005E7158"/>
    <w:rsid w:val="005E7ECB"/>
    <w:rsid w:val="005F0C00"/>
    <w:rsid w:val="005F1037"/>
    <w:rsid w:val="005F2BF8"/>
    <w:rsid w:val="005F2EA8"/>
    <w:rsid w:val="005F5D1D"/>
    <w:rsid w:val="005F60C9"/>
    <w:rsid w:val="005F64C6"/>
    <w:rsid w:val="006008F1"/>
    <w:rsid w:val="00601714"/>
    <w:rsid w:val="00601735"/>
    <w:rsid w:val="00602BD2"/>
    <w:rsid w:val="00604980"/>
    <w:rsid w:val="0060614D"/>
    <w:rsid w:val="0060763E"/>
    <w:rsid w:val="00610871"/>
    <w:rsid w:val="00610E48"/>
    <w:rsid w:val="00610FE0"/>
    <w:rsid w:val="00613C47"/>
    <w:rsid w:val="006147F9"/>
    <w:rsid w:val="00615086"/>
    <w:rsid w:val="00616201"/>
    <w:rsid w:val="00616225"/>
    <w:rsid w:val="0061705E"/>
    <w:rsid w:val="00617A8B"/>
    <w:rsid w:val="00620E53"/>
    <w:rsid w:val="00621904"/>
    <w:rsid w:val="00622248"/>
    <w:rsid w:val="00622FEA"/>
    <w:rsid w:val="00623CDF"/>
    <w:rsid w:val="00623DB1"/>
    <w:rsid w:val="006245F3"/>
    <w:rsid w:val="00624DBE"/>
    <w:rsid w:val="00625450"/>
    <w:rsid w:val="0062557A"/>
    <w:rsid w:val="0062624F"/>
    <w:rsid w:val="006319CA"/>
    <w:rsid w:val="00633B3E"/>
    <w:rsid w:val="00634EC0"/>
    <w:rsid w:val="0063627F"/>
    <w:rsid w:val="006376C4"/>
    <w:rsid w:val="006403E7"/>
    <w:rsid w:val="00642D72"/>
    <w:rsid w:val="006443CB"/>
    <w:rsid w:val="006448B8"/>
    <w:rsid w:val="00644F80"/>
    <w:rsid w:val="00645874"/>
    <w:rsid w:val="00650A3A"/>
    <w:rsid w:val="00650F81"/>
    <w:rsid w:val="00650FC7"/>
    <w:rsid w:val="00651F86"/>
    <w:rsid w:val="0065395E"/>
    <w:rsid w:val="00653C24"/>
    <w:rsid w:val="00653D68"/>
    <w:rsid w:val="00653E4E"/>
    <w:rsid w:val="00654275"/>
    <w:rsid w:val="0065446D"/>
    <w:rsid w:val="00654891"/>
    <w:rsid w:val="00654894"/>
    <w:rsid w:val="00654C9B"/>
    <w:rsid w:val="00655104"/>
    <w:rsid w:val="00656067"/>
    <w:rsid w:val="00660693"/>
    <w:rsid w:val="006611D6"/>
    <w:rsid w:val="006615D6"/>
    <w:rsid w:val="00661918"/>
    <w:rsid w:val="00662A5A"/>
    <w:rsid w:val="006636D0"/>
    <w:rsid w:val="00663834"/>
    <w:rsid w:val="00663BF1"/>
    <w:rsid w:val="006647D7"/>
    <w:rsid w:val="00664F1B"/>
    <w:rsid w:val="006653D7"/>
    <w:rsid w:val="00665BFF"/>
    <w:rsid w:val="006665BA"/>
    <w:rsid w:val="006667E1"/>
    <w:rsid w:val="00666A4F"/>
    <w:rsid w:val="00667477"/>
    <w:rsid w:val="006703D9"/>
    <w:rsid w:val="00670881"/>
    <w:rsid w:val="00672DFC"/>
    <w:rsid w:val="00672F5B"/>
    <w:rsid w:val="00673DEE"/>
    <w:rsid w:val="00674E69"/>
    <w:rsid w:val="0067738E"/>
    <w:rsid w:val="00677F23"/>
    <w:rsid w:val="0068055B"/>
    <w:rsid w:val="00680936"/>
    <w:rsid w:val="00680D8C"/>
    <w:rsid w:val="00680D99"/>
    <w:rsid w:val="006821B2"/>
    <w:rsid w:val="00682725"/>
    <w:rsid w:val="00682A1B"/>
    <w:rsid w:val="00682D73"/>
    <w:rsid w:val="00682ED3"/>
    <w:rsid w:val="00683993"/>
    <w:rsid w:val="006846E8"/>
    <w:rsid w:val="006848DF"/>
    <w:rsid w:val="00685889"/>
    <w:rsid w:val="00685EBD"/>
    <w:rsid w:val="006861C3"/>
    <w:rsid w:val="00686AF3"/>
    <w:rsid w:val="0069077F"/>
    <w:rsid w:val="00690F1F"/>
    <w:rsid w:val="006915BD"/>
    <w:rsid w:val="00692582"/>
    <w:rsid w:val="00692592"/>
    <w:rsid w:val="00692A2F"/>
    <w:rsid w:val="0069322C"/>
    <w:rsid w:val="00693652"/>
    <w:rsid w:val="006939E7"/>
    <w:rsid w:val="00693D3E"/>
    <w:rsid w:val="006942F7"/>
    <w:rsid w:val="00694BB2"/>
    <w:rsid w:val="006956FB"/>
    <w:rsid w:val="006A1A71"/>
    <w:rsid w:val="006A1D3D"/>
    <w:rsid w:val="006A2150"/>
    <w:rsid w:val="006A2216"/>
    <w:rsid w:val="006A241D"/>
    <w:rsid w:val="006A3288"/>
    <w:rsid w:val="006A43E6"/>
    <w:rsid w:val="006A4AEE"/>
    <w:rsid w:val="006A70BE"/>
    <w:rsid w:val="006A7934"/>
    <w:rsid w:val="006B0001"/>
    <w:rsid w:val="006B054B"/>
    <w:rsid w:val="006B059F"/>
    <w:rsid w:val="006B1AB6"/>
    <w:rsid w:val="006B2048"/>
    <w:rsid w:val="006B2AD6"/>
    <w:rsid w:val="006B342E"/>
    <w:rsid w:val="006B3812"/>
    <w:rsid w:val="006B3B80"/>
    <w:rsid w:val="006B3FCD"/>
    <w:rsid w:val="006B6F32"/>
    <w:rsid w:val="006B7130"/>
    <w:rsid w:val="006B73CC"/>
    <w:rsid w:val="006B7695"/>
    <w:rsid w:val="006C0176"/>
    <w:rsid w:val="006C2994"/>
    <w:rsid w:val="006C35EC"/>
    <w:rsid w:val="006C4150"/>
    <w:rsid w:val="006C4382"/>
    <w:rsid w:val="006C4891"/>
    <w:rsid w:val="006C5683"/>
    <w:rsid w:val="006C5E33"/>
    <w:rsid w:val="006C5E48"/>
    <w:rsid w:val="006C6434"/>
    <w:rsid w:val="006C6CD8"/>
    <w:rsid w:val="006C70BB"/>
    <w:rsid w:val="006C7EB1"/>
    <w:rsid w:val="006D013F"/>
    <w:rsid w:val="006D017F"/>
    <w:rsid w:val="006D08BD"/>
    <w:rsid w:val="006D0F8E"/>
    <w:rsid w:val="006D1416"/>
    <w:rsid w:val="006D1D3F"/>
    <w:rsid w:val="006D253B"/>
    <w:rsid w:val="006D325A"/>
    <w:rsid w:val="006D4242"/>
    <w:rsid w:val="006D45F0"/>
    <w:rsid w:val="006D4C8F"/>
    <w:rsid w:val="006D52A0"/>
    <w:rsid w:val="006D57CB"/>
    <w:rsid w:val="006D5819"/>
    <w:rsid w:val="006D5E6F"/>
    <w:rsid w:val="006D693F"/>
    <w:rsid w:val="006D6CDD"/>
    <w:rsid w:val="006D7604"/>
    <w:rsid w:val="006D765E"/>
    <w:rsid w:val="006E0455"/>
    <w:rsid w:val="006E4238"/>
    <w:rsid w:val="006E5F01"/>
    <w:rsid w:val="006E7404"/>
    <w:rsid w:val="006E7B97"/>
    <w:rsid w:val="006F05B9"/>
    <w:rsid w:val="006F1EA3"/>
    <w:rsid w:val="006F2627"/>
    <w:rsid w:val="006F3187"/>
    <w:rsid w:val="006F3568"/>
    <w:rsid w:val="006F3D8A"/>
    <w:rsid w:val="006F40AD"/>
    <w:rsid w:val="006F5005"/>
    <w:rsid w:val="006F6360"/>
    <w:rsid w:val="006F6436"/>
    <w:rsid w:val="006F65C5"/>
    <w:rsid w:val="006F687A"/>
    <w:rsid w:val="006F68EF"/>
    <w:rsid w:val="006F6D4C"/>
    <w:rsid w:val="006F6E67"/>
    <w:rsid w:val="006F7157"/>
    <w:rsid w:val="006F78E0"/>
    <w:rsid w:val="00702B1B"/>
    <w:rsid w:val="007032B3"/>
    <w:rsid w:val="00704164"/>
    <w:rsid w:val="007063BD"/>
    <w:rsid w:val="00706A58"/>
    <w:rsid w:val="00707517"/>
    <w:rsid w:val="007078ED"/>
    <w:rsid w:val="00710187"/>
    <w:rsid w:val="007110E1"/>
    <w:rsid w:val="00711B18"/>
    <w:rsid w:val="00714394"/>
    <w:rsid w:val="00714ED6"/>
    <w:rsid w:val="007158B8"/>
    <w:rsid w:val="00715E8D"/>
    <w:rsid w:val="00721C26"/>
    <w:rsid w:val="00721F7E"/>
    <w:rsid w:val="00722E29"/>
    <w:rsid w:val="00723ECB"/>
    <w:rsid w:val="00724606"/>
    <w:rsid w:val="00724A36"/>
    <w:rsid w:val="00724A60"/>
    <w:rsid w:val="00724E85"/>
    <w:rsid w:val="0072525D"/>
    <w:rsid w:val="00726E8A"/>
    <w:rsid w:val="00727047"/>
    <w:rsid w:val="00727A0E"/>
    <w:rsid w:val="00734510"/>
    <w:rsid w:val="00734887"/>
    <w:rsid w:val="00735313"/>
    <w:rsid w:val="007365B6"/>
    <w:rsid w:val="00737394"/>
    <w:rsid w:val="007401E2"/>
    <w:rsid w:val="00740205"/>
    <w:rsid w:val="007411E5"/>
    <w:rsid w:val="00741605"/>
    <w:rsid w:val="007436F2"/>
    <w:rsid w:val="0074436D"/>
    <w:rsid w:val="00746951"/>
    <w:rsid w:val="00746F65"/>
    <w:rsid w:val="007472C3"/>
    <w:rsid w:val="0074791E"/>
    <w:rsid w:val="00750948"/>
    <w:rsid w:val="0075115D"/>
    <w:rsid w:val="00751A33"/>
    <w:rsid w:val="00753890"/>
    <w:rsid w:val="007555DF"/>
    <w:rsid w:val="007569DC"/>
    <w:rsid w:val="0075711E"/>
    <w:rsid w:val="007579F2"/>
    <w:rsid w:val="007579FD"/>
    <w:rsid w:val="00761434"/>
    <w:rsid w:val="00761FD5"/>
    <w:rsid w:val="00762BB6"/>
    <w:rsid w:val="0076341D"/>
    <w:rsid w:val="0076446D"/>
    <w:rsid w:val="007647EF"/>
    <w:rsid w:val="00765DD8"/>
    <w:rsid w:val="00766B33"/>
    <w:rsid w:val="00766D36"/>
    <w:rsid w:val="00767607"/>
    <w:rsid w:val="00767ACD"/>
    <w:rsid w:val="007705B5"/>
    <w:rsid w:val="00770699"/>
    <w:rsid w:val="0077270D"/>
    <w:rsid w:val="00773874"/>
    <w:rsid w:val="0077393B"/>
    <w:rsid w:val="00774D41"/>
    <w:rsid w:val="00775D3B"/>
    <w:rsid w:val="0077615A"/>
    <w:rsid w:val="007806A0"/>
    <w:rsid w:val="00782346"/>
    <w:rsid w:val="007838CD"/>
    <w:rsid w:val="007840F3"/>
    <w:rsid w:val="00785491"/>
    <w:rsid w:val="007858C0"/>
    <w:rsid w:val="0078679A"/>
    <w:rsid w:val="007871FE"/>
    <w:rsid w:val="00787C89"/>
    <w:rsid w:val="007908ED"/>
    <w:rsid w:val="00790F74"/>
    <w:rsid w:val="007916DF"/>
    <w:rsid w:val="00792288"/>
    <w:rsid w:val="00792447"/>
    <w:rsid w:val="007928C6"/>
    <w:rsid w:val="00792E73"/>
    <w:rsid w:val="0079405B"/>
    <w:rsid w:val="0079694C"/>
    <w:rsid w:val="007A0187"/>
    <w:rsid w:val="007A19AC"/>
    <w:rsid w:val="007A268F"/>
    <w:rsid w:val="007A29EC"/>
    <w:rsid w:val="007A4A53"/>
    <w:rsid w:val="007A4C93"/>
    <w:rsid w:val="007A4E17"/>
    <w:rsid w:val="007A7F6D"/>
    <w:rsid w:val="007B0FBD"/>
    <w:rsid w:val="007B1BAF"/>
    <w:rsid w:val="007B20C3"/>
    <w:rsid w:val="007B2FE8"/>
    <w:rsid w:val="007B35F7"/>
    <w:rsid w:val="007B4DD5"/>
    <w:rsid w:val="007B4F72"/>
    <w:rsid w:val="007B5148"/>
    <w:rsid w:val="007B5A16"/>
    <w:rsid w:val="007B71AA"/>
    <w:rsid w:val="007B7F09"/>
    <w:rsid w:val="007C03FE"/>
    <w:rsid w:val="007C0E04"/>
    <w:rsid w:val="007C17D3"/>
    <w:rsid w:val="007C1FA2"/>
    <w:rsid w:val="007C20F5"/>
    <w:rsid w:val="007C2827"/>
    <w:rsid w:val="007C3A26"/>
    <w:rsid w:val="007C4032"/>
    <w:rsid w:val="007C4CE1"/>
    <w:rsid w:val="007C537A"/>
    <w:rsid w:val="007C57D1"/>
    <w:rsid w:val="007C6B3E"/>
    <w:rsid w:val="007C7130"/>
    <w:rsid w:val="007C74E5"/>
    <w:rsid w:val="007C7F57"/>
    <w:rsid w:val="007D0348"/>
    <w:rsid w:val="007D0E43"/>
    <w:rsid w:val="007D13E7"/>
    <w:rsid w:val="007D1A3E"/>
    <w:rsid w:val="007D1E37"/>
    <w:rsid w:val="007D358B"/>
    <w:rsid w:val="007D370E"/>
    <w:rsid w:val="007D4624"/>
    <w:rsid w:val="007D563E"/>
    <w:rsid w:val="007D5A49"/>
    <w:rsid w:val="007D5FC1"/>
    <w:rsid w:val="007D6EB6"/>
    <w:rsid w:val="007D715A"/>
    <w:rsid w:val="007E08DB"/>
    <w:rsid w:val="007E0B17"/>
    <w:rsid w:val="007E0D90"/>
    <w:rsid w:val="007E0E9E"/>
    <w:rsid w:val="007E12DC"/>
    <w:rsid w:val="007E1760"/>
    <w:rsid w:val="007E21FB"/>
    <w:rsid w:val="007E3B9D"/>
    <w:rsid w:val="007E420B"/>
    <w:rsid w:val="007E4932"/>
    <w:rsid w:val="007E4CAD"/>
    <w:rsid w:val="007E502C"/>
    <w:rsid w:val="007E516A"/>
    <w:rsid w:val="007E5BD7"/>
    <w:rsid w:val="007E6761"/>
    <w:rsid w:val="007E75F0"/>
    <w:rsid w:val="007E7968"/>
    <w:rsid w:val="007E79C4"/>
    <w:rsid w:val="007F013A"/>
    <w:rsid w:val="007F0730"/>
    <w:rsid w:val="007F1D54"/>
    <w:rsid w:val="007F2D90"/>
    <w:rsid w:val="007F3F6F"/>
    <w:rsid w:val="007F48A9"/>
    <w:rsid w:val="007F49CE"/>
    <w:rsid w:val="007F4E28"/>
    <w:rsid w:val="007F4F36"/>
    <w:rsid w:val="007F4F82"/>
    <w:rsid w:val="007F6758"/>
    <w:rsid w:val="007F6D96"/>
    <w:rsid w:val="00801D7A"/>
    <w:rsid w:val="008020F2"/>
    <w:rsid w:val="00802756"/>
    <w:rsid w:val="00803F74"/>
    <w:rsid w:val="00804653"/>
    <w:rsid w:val="00804C48"/>
    <w:rsid w:val="0080505A"/>
    <w:rsid w:val="008060B3"/>
    <w:rsid w:val="00806639"/>
    <w:rsid w:val="00806A84"/>
    <w:rsid w:val="008073A4"/>
    <w:rsid w:val="00807C6C"/>
    <w:rsid w:val="008115ED"/>
    <w:rsid w:val="0081254B"/>
    <w:rsid w:val="0081340B"/>
    <w:rsid w:val="00815822"/>
    <w:rsid w:val="00815B93"/>
    <w:rsid w:val="00816585"/>
    <w:rsid w:val="0081760E"/>
    <w:rsid w:val="00817BB4"/>
    <w:rsid w:val="00817E4F"/>
    <w:rsid w:val="00820F5B"/>
    <w:rsid w:val="00821021"/>
    <w:rsid w:val="008214BB"/>
    <w:rsid w:val="00821B58"/>
    <w:rsid w:val="00822D4E"/>
    <w:rsid w:val="00822FBA"/>
    <w:rsid w:val="0082398C"/>
    <w:rsid w:val="00824FF1"/>
    <w:rsid w:val="00825196"/>
    <w:rsid w:val="00826F4C"/>
    <w:rsid w:val="008303A6"/>
    <w:rsid w:val="008310B4"/>
    <w:rsid w:val="00831573"/>
    <w:rsid w:val="00831C7F"/>
    <w:rsid w:val="00831CB6"/>
    <w:rsid w:val="00833C51"/>
    <w:rsid w:val="008349A6"/>
    <w:rsid w:val="00835271"/>
    <w:rsid w:val="00835679"/>
    <w:rsid w:val="008377DA"/>
    <w:rsid w:val="00840295"/>
    <w:rsid w:val="00841F21"/>
    <w:rsid w:val="00842991"/>
    <w:rsid w:val="008429B0"/>
    <w:rsid w:val="00843900"/>
    <w:rsid w:val="00844C5B"/>
    <w:rsid w:val="00845A15"/>
    <w:rsid w:val="0084632F"/>
    <w:rsid w:val="008474A9"/>
    <w:rsid w:val="00852528"/>
    <w:rsid w:val="008543F7"/>
    <w:rsid w:val="008545DC"/>
    <w:rsid w:val="00854A7E"/>
    <w:rsid w:val="00855B06"/>
    <w:rsid w:val="00856B95"/>
    <w:rsid w:val="00856D1A"/>
    <w:rsid w:val="00857D29"/>
    <w:rsid w:val="0086161C"/>
    <w:rsid w:val="008617AF"/>
    <w:rsid w:val="00861DB0"/>
    <w:rsid w:val="0086225C"/>
    <w:rsid w:val="008629A8"/>
    <w:rsid w:val="00863225"/>
    <w:rsid w:val="00863ADA"/>
    <w:rsid w:val="00865BAA"/>
    <w:rsid w:val="008677CB"/>
    <w:rsid w:val="0087056E"/>
    <w:rsid w:val="0087063A"/>
    <w:rsid w:val="00870CB6"/>
    <w:rsid w:val="008737AE"/>
    <w:rsid w:val="00873FEA"/>
    <w:rsid w:val="0087419B"/>
    <w:rsid w:val="008744CC"/>
    <w:rsid w:val="008744F4"/>
    <w:rsid w:val="00874592"/>
    <w:rsid w:val="008751C1"/>
    <w:rsid w:val="00876C1B"/>
    <w:rsid w:val="00876E70"/>
    <w:rsid w:val="008804E1"/>
    <w:rsid w:val="00880A76"/>
    <w:rsid w:val="008815B6"/>
    <w:rsid w:val="008818F6"/>
    <w:rsid w:val="00881D45"/>
    <w:rsid w:val="0088398E"/>
    <w:rsid w:val="00885182"/>
    <w:rsid w:val="008858B7"/>
    <w:rsid w:val="0088647E"/>
    <w:rsid w:val="00886D52"/>
    <w:rsid w:val="00887E02"/>
    <w:rsid w:val="00890382"/>
    <w:rsid w:val="0089046A"/>
    <w:rsid w:val="00891106"/>
    <w:rsid w:val="00892833"/>
    <w:rsid w:val="00893479"/>
    <w:rsid w:val="0089375D"/>
    <w:rsid w:val="008943CB"/>
    <w:rsid w:val="008946B9"/>
    <w:rsid w:val="008A0882"/>
    <w:rsid w:val="008A10C1"/>
    <w:rsid w:val="008A181A"/>
    <w:rsid w:val="008A183F"/>
    <w:rsid w:val="008A1C47"/>
    <w:rsid w:val="008A2289"/>
    <w:rsid w:val="008A3766"/>
    <w:rsid w:val="008A45A3"/>
    <w:rsid w:val="008A4F66"/>
    <w:rsid w:val="008A5290"/>
    <w:rsid w:val="008A593A"/>
    <w:rsid w:val="008A6A60"/>
    <w:rsid w:val="008A6C5A"/>
    <w:rsid w:val="008A6CCA"/>
    <w:rsid w:val="008B1B8C"/>
    <w:rsid w:val="008B2C59"/>
    <w:rsid w:val="008B2DF3"/>
    <w:rsid w:val="008B376A"/>
    <w:rsid w:val="008B444E"/>
    <w:rsid w:val="008B569F"/>
    <w:rsid w:val="008B7220"/>
    <w:rsid w:val="008C0669"/>
    <w:rsid w:val="008C08A5"/>
    <w:rsid w:val="008C1DD7"/>
    <w:rsid w:val="008C26FA"/>
    <w:rsid w:val="008C2BC1"/>
    <w:rsid w:val="008C4566"/>
    <w:rsid w:val="008C46B6"/>
    <w:rsid w:val="008C522A"/>
    <w:rsid w:val="008C5E71"/>
    <w:rsid w:val="008C64E3"/>
    <w:rsid w:val="008C6A8B"/>
    <w:rsid w:val="008C77F7"/>
    <w:rsid w:val="008C7BF5"/>
    <w:rsid w:val="008D00EA"/>
    <w:rsid w:val="008D0D1E"/>
    <w:rsid w:val="008D1175"/>
    <w:rsid w:val="008D1627"/>
    <w:rsid w:val="008D1DA0"/>
    <w:rsid w:val="008D2828"/>
    <w:rsid w:val="008D284E"/>
    <w:rsid w:val="008D3A89"/>
    <w:rsid w:val="008D4ED3"/>
    <w:rsid w:val="008D54BF"/>
    <w:rsid w:val="008D5DC6"/>
    <w:rsid w:val="008D6A11"/>
    <w:rsid w:val="008E0D4B"/>
    <w:rsid w:val="008E1C27"/>
    <w:rsid w:val="008E1E54"/>
    <w:rsid w:val="008E2057"/>
    <w:rsid w:val="008E31EC"/>
    <w:rsid w:val="008E3C88"/>
    <w:rsid w:val="008E4E17"/>
    <w:rsid w:val="008E5337"/>
    <w:rsid w:val="008E610D"/>
    <w:rsid w:val="008E78F2"/>
    <w:rsid w:val="008E7B12"/>
    <w:rsid w:val="008F022C"/>
    <w:rsid w:val="008F2A60"/>
    <w:rsid w:val="008F310D"/>
    <w:rsid w:val="008F3888"/>
    <w:rsid w:val="008F3B22"/>
    <w:rsid w:val="008F43C7"/>
    <w:rsid w:val="008F4823"/>
    <w:rsid w:val="008F606D"/>
    <w:rsid w:val="008F7150"/>
    <w:rsid w:val="008F71CC"/>
    <w:rsid w:val="008F721C"/>
    <w:rsid w:val="00900662"/>
    <w:rsid w:val="00901953"/>
    <w:rsid w:val="00902166"/>
    <w:rsid w:val="00903C31"/>
    <w:rsid w:val="009040A1"/>
    <w:rsid w:val="0090473B"/>
    <w:rsid w:val="0090487F"/>
    <w:rsid w:val="00904EAC"/>
    <w:rsid w:val="00905282"/>
    <w:rsid w:val="00905908"/>
    <w:rsid w:val="009075A4"/>
    <w:rsid w:val="009101AF"/>
    <w:rsid w:val="00911808"/>
    <w:rsid w:val="009145FB"/>
    <w:rsid w:val="0091555E"/>
    <w:rsid w:val="00915786"/>
    <w:rsid w:val="0091746C"/>
    <w:rsid w:val="00917D06"/>
    <w:rsid w:val="009207DB"/>
    <w:rsid w:val="00922024"/>
    <w:rsid w:val="00922D24"/>
    <w:rsid w:val="00924853"/>
    <w:rsid w:val="009252E0"/>
    <w:rsid w:val="00925501"/>
    <w:rsid w:val="00926982"/>
    <w:rsid w:val="00926D4C"/>
    <w:rsid w:val="009270C4"/>
    <w:rsid w:val="0093092B"/>
    <w:rsid w:val="009325F7"/>
    <w:rsid w:val="00932BCF"/>
    <w:rsid w:val="00933396"/>
    <w:rsid w:val="00934D73"/>
    <w:rsid w:val="00935042"/>
    <w:rsid w:val="0093740F"/>
    <w:rsid w:val="00937B4A"/>
    <w:rsid w:val="00937BE9"/>
    <w:rsid w:val="00937C1D"/>
    <w:rsid w:val="00940804"/>
    <w:rsid w:val="00940E9B"/>
    <w:rsid w:val="00940FC3"/>
    <w:rsid w:val="009410B3"/>
    <w:rsid w:val="0094131D"/>
    <w:rsid w:val="0094166C"/>
    <w:rsid w:val="00942120"/>
    <w:rsid w:val="0094245E"/>
    <w:rsid w:val="009425F7"/>
    <w:rsid w:val="00943BC0"/>
    <w:rsid w:val="00944BF0"/>
    <w:rsid w:val="00946136"/>
    <w:rsid w:val="00946CD9"/>
    <w:rsid w:val="00946E7C"/>
    <w:rsid w:val="00947046"/>
    <w:rsid w:val="00950297"/>
    <w:rsid w:val="009505F4"/>
    <w:rsid w:val="00951216"/>
    <w:rsid w:val="0095279B"/>
    <w:rsid w:val="009533C3"/>
    <w:rsid w:val="00954282"/>
    <w:rsid w:val="00954427"/>
    <w:rsid w:val="0095611C"/>
    <w:rsid w:val="009564ED"/>
    <w:rsid w:val="00956CA2"/>
    <w:rsid w:val="0096079B"/>
    <w:rsid w:val="0096218D"/>
    <w:rsid w:val="00964509"/>
    <w:rsid w:val="0096501B"/>
    <w:rsid w:val="0096662B"/>
    <w:rsid w:val="009666AF"/>
    <w:rsid w:val="00967180"/>
    <w:rsid w:val="0096797D"/>
    <w:rsid w:val="00970704"/>
    <w:rsid w:val="00970B65"/>
    <w:rsid w:val="00971127"/>
    <w:rsid w:val="0097119E"/>
    <w:rsid w:val="009734B8"/>
    <w:rsid w:val="00973514"/>
    <w:rsid w:val="009741E7"/>
    <w:rsid w:val="00975C75"/>
    <w:rsid w:val="00977506"/>
    <w:rsid w:val="0098177A"/>
    <w:rsid w:val="00983583"/>
    <w:rsid w:val="00983EFD"/>
    <w:rsid w:val="009847CF"/>
    <w:rsid w:val="009855B0"/>
    <w:rsid w:val="009859A8"/>
    <w:rsid w:val="00986257"/>
    <w:rsid w:val="0098658A"/>
    <w:rsid w:val="00986861"/>
    <w:rsid w:val="00987CBC"/>
    <w:rsid w:val="00991EB0"/>
    <w:rsid w:val="0099212B"/>
    <w:rsid w:val="0099245F"/>
    <w:rsid w:val="00995768"/>
    <w:rsid w:val="00995F21"/>
    <w:rsid w:val="00996326"/>
    <w:rsid w:val="00996F95"/>
    <w:rsid w:val="00997B35"/>
    <w:rsid w:val="00997EA5"/>
    <w:rsid w:val="009A07D5"/>
    <w:rsid w:val="009A1930"/>
    <w:rsid w:val="009A1FE7"/>
    <w:rsid w:val="009A2967"/>
    <w:rsid w:val="009A36B7"/>
    <w:rsid w:val="009A3720"/>
    <w:rsid w:val="009A392B"/>
    <w:rsid w:val="009A42CF"/>
    <w:rsid w:val="009A44E8"/>
    <w:rsid w:val="009A581E"/>
    <w:rsid w:val="009B1DA5"/>
    <w:rsid w:val="009B1E1D"/>
    <w:rsid w:val="009B28FD"/>
    <w:rsid w:val="009B2AD6"/>
    <w:rsid w:val="009B3172"/>
    <w:rsid w:val="009B4358"/>
    <w:rsid w:val="009B461D"/>
    <w:rsid w:val="009B5594"/>
    <w:rsid w:val="009B59ED"/>
    <w:rsid w:val="009B5C68"/>
    <w:rsid w:val="009B6405"/>
    <w:rsid w:val="009B729E"/>
    <w:rsid w:val="009B7498"/>
    <w:rsid w:val="009C14A9"/>
    <w:rsid w:val="009C264B"/>
    <w:rsid w:val="009C34F1"/>
    <w:rsid w:val="009C3B80"/>
    <w:rsid w:val="009C3D84"/>
    <w:rsid w:val="009C48C6"/>
    <w:rsid w:val="009C5D76"/>
    <w:rsid w:val="009C5DFB"/>
    <w:rsid w:val="009C5FDE"/>
    <w:rsid w:val="009C7B1D"/>
    <w:rsid w:val="009C7F10"/>
    <w:rsid w:val="009C7FF8"/>
    <w:rsid w:val="009D03F1"/>
    <w:rsid w:val="009D0921"/>
    <w:rsid w:val="009D101B"/>
    <w:rsid w:val="009D118E"/>
    <w:rsid w:val="009D1CF4"/>
    <w:rsid w:val="009D380F"/>
    <w:rsid w:val="009D57A7"/>
    <w:rsid w:val="009D65EE"/>
    <w:rsid w:val="009D6903"/>
    <w:rsid w:val="009E0525"/>
    <w:rsid w:val="009E20A6"/>
    <w:rsid w:val="009E233F"/>
    <w:rsid w:val="009E323A"/>
    <w:rsid w:val="009E328B"/>
    <w:rsid w:val="009E6DD0"/>
    <w:rsid w:val="009E6DEE"/>
    <w:rsid w:val="009E700C"/>
    <w:rsid w:val="009F082A"/>
    <w:rsid w:val="009F0BD9"/>
    <w:rsid w:val="009F12B4"/>
    <w:rsid w:val="009F33FA"/>
    <w:rsid w:val="009F347C"/>
    <w:rsid w:val="009F3F14"/>
    <w:rsid w:val="009F54D7"/>
    <w:rsid w:val="009F5B9D"/>
    <w:rsid w:val="009F6619"/>
    <w:rsid w:val="009F68FF"/>
    <w:rsid w:val="00A00E77"/>
    <w:rsid w:val="00A01A4C"/>
    <w:rsid w:val="00A01C1F"/>
    <w:rsid w:val="00A01C98"/>
    <w:rsid w:val="00A020F7"/>
    <w:rsid w:val="00A054CB"/>
    <w:rsid w:val="00A05E8F"/>
    <w:rsid w:val="00A06A54"/>
    <w:rsid w:val="00A10423"/>
    <w:rsid w:val="00A10A6F"/>
    <w:rsid w:val="00A115B1"/>
    <w:rsid w:val="00A118B4"/>
    <w:rsid w:val="00A129C6"/>
    <w:rsid w:val="00A14BDD"/>
    <w:rsid w:val="00A15A52"/>
    <w:rsid w:val="00A1706F"/>
    <w:rsid w:val="00A1721D"/>
    <w:rsid w:val="00A20630"/>
    <w:rsid w:val="00A20956"/>
    <w:rsid w:val="00A210DB"/>
    <w:rsid w:val="00A21667"/>
    <w:rsid w:val="00A220FB"/>
    <w:rsid w:val="00A223A5"/>
    <w:rsid w:val="00A24BC5"/>
    <w:rsid w:val="00A2504C"/>
    <w:rsid w:val="00A26671"/>
    <w:rsid w:val="00A26CA4"/>
    <w:rsid w:val="00A26E5D"/>
    <w:rsid w:val="00A276A6"/>
    <w:rsid w:val="00A276FF"/>
    <w:rsid w:val="00A30C82"/>
    <w:rsid w:val="00A3107C"/>
    <w:rsid w:val="00A31A01"/>
    <w:rsid w:val="00A32211"/>
    <w:rsid w:val="00A33FDC"/>
    <w:rsid w:val="00A34114"/>
    <w:rsid w:val="00A34C81"/>
    <w:rsid w:val="00A34E19"/>
    <w:rsid w:val="00A35C90"/>
    <w:rsid w:val="00A362F9"/>
    <w:rsid w:val="00A36F35"/>
    <w:rsid w:val="00A373CC"/>
    <w:rsid w:val="00A3760C"/>
    <w:rsid w:val="00A37704"/>
    <w:rsid w:val="00A37E59"/>
    <w:rsid w:val="00A40108"/>
    <w:rsid w:val="00A40D0C"/>
    <w:rsid w:val="00A41302"/>
    <w:rsid w:val="00A41A48"/>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0D10"/>
    <w:rsid w:val="00A533D5"/>
    <w:rsid w:val="00A5510E"/>
    <w:rsid w:val="00A559F4"/>
    <w:rsid w:val="00A56547"/>
    <w:rsid w:val="00A57079"/>
    <w:rsid w:val="00A570E0"/>
    <w:rsid w:val="00A606A0"/>
    <w:rsid w:val="00A60A60"/>
    <w:rsid w:val="00A61263"/>
    <w:rsid w:val="00A614AD"/>
    <w:rsid w:val="00A61886"/>
    <w:rsid w:val="00A61E92"/>
    <w:rsid w:val="00A63D89"/>
    <w:rsid w:val="00A650F1"/>
    <w:rsid w:val="00A6526E"/>
    <w:rsid w:val="00A653F4"/>
    <w:rsid w:val="00A65DA4"/>
    <w:rsid w:val="00A66E04"/>
    <w:rsid w:val="00A67194"/>
    <w:rsid w:val="00A671B3"/>
    <w:rsid w:val="00A67864"/>
    <w:rsid w:val="00A7040E"/>
    <w:rsid w:val="00A734F2"/>
    <w:rsid w:val="00A73DEE"/>
    <w:rsid w:val="00A74678"/>
    <w:rsid w:val="00A75AEA"/>
    <w:rsid w:val="00A76063"/>
    <w:rsid w:val="00A767EB"/>
    <w:rsid w:val="00A771BF"/>
    <w:rsid w:val="00A77299"/>
    <w:rsid w:val="00A803C1"/>
    <w:rsid w:val="00A815B6"/>
    <w:rsid w:val="00A81953"/>
    <w:rsid w:val="00A827C9"/>
    <w:rsid w:val="00A85B31"/>
    <w:rsid w:val="00A861F3"/>
    <w:rsid w:val="00A86C48"/>
    <w:rsid w:val="00A90DB1"/>
    <w:rsid w:val="00A9147B"/>
    <w:rsid w:val="00A91BA8"/>
    <w:rsid w:val="00A91EF1"/>
    <w:rsid w:val="00A91EF2"/>
    <w:rsid w:val="00A9325C"/>
    <w:rsid w:val="00A93680"/>
    <w:rsid w:val="00A9430B"/>
    <w:rsid w:val="00A94483"/>
    <w:rsid w:val="00A959CA"/>
    <w:rsid w:val="00A96FC6"/>
    <w:rsid w:val="00A97A16"/>
    <w:rsid w:val="00A97B61"/>
    <w:rsid w:val="00A97C2E"/>
    <w:rsid w:val="00A97CE3"/>
    <w:rsid w:val="00A97E0C"/>
    <w:rsid w:val="00AA01DA"/>
    <w:rsid w:val="00AA11BA"/>
    <w:rsid w:val="00AA1273"/>
    <w:rsid w:val="00AA2CB8"/>
    <w:rsid w:val="00AA2D62"/>
    <w:rsid w:val="00AA2E2C"/>
    <w:rsid w:val="00AA2E90"/>
    <w:rsid w:val="00AA3077"/>
    <w:rsid w:val="00AA34A3"/>
    <w:rsid w:val="00AA375B"/>
    <w:rsid w:val="00AA38AF"/>
    <w:rsid w:val="00AA3C42"/>
    <w:rsid w:val="00AA450C"/>
    <w:rsid w:val="00AA4B62"/>
    <w:rsid w:val="00AA5EB3"/>
    <w:rsid w:val="00AA6916"/>
    <w:rsid w:val="00AB040A"/>
    <w:rsid w:val="00AB0B39"/>
    <w:rsid w:val="00AB110E"/>
    <w:rsid w:val="00AB11CF"/>
    <w:rsid w:val="00AB1287"/>
    <w:rsid w:val="00AB1CE8"/>
    <w:rsid w:val="00AB2F06"/>
    <w:rsid w:val="00AB4FFF"/>
    <w:rsid w:val="00AB5190"/>
    <w:rsid w:val="00AB5513"/>
    <w:rsid w:val="00AB6070"/>
    <w:rsid w:val="00AB6DFC"/>
    <w:rsid w:val="00AB7354"/>
    <w:rsid w:val="00AB7C46"/>
    <w:rsid w:val="00AC3637"/>
    <w:rsid w:val="00AC3D4F"/>
    <w:rsid w:val="00AC3DB7"/>
    <w:rsid w:val="00AC4699"/>
    <w:rsid w:val="00AC59DF"/>
    <w:rsid w:val="00AC72C7"/>
    <w:rsid w:val="00AC7899"/>
    <w:rsid w:val="00AC7EE1"/>
    <w:rsid w:val="00AC7F8B"/>
    <w:rsid w:val="00AD13D6"/>
    <w:rsid w:val="00AD4087"/>
    <w:rsid w:val="00AD6A21"/>
    <w:rsid w:val="00AD6BE0"/>
    <w:rsid w:val="00AD752F"/>
    <w:rsid w:val="00AE0C8D"/>
    <w:rsid w:val="00AE0E2A"/>
    <w:rsid w:val="00AE1411"/>
    <w:rsid w:val="00AE2330"/>
    <w:rsid w:val="00AE55BC"/>
    <w:rsid w:val="00AE62E7"/>
    <w:rsid w:val="00AE686D"/>
    <w:rsid w:val="00AE6B27"/>
    <w:rsid w:val="00AF0DC0"/>
    <w:rsid w:val="00AF0F96"/>
    <w:rsid w:val="00AF21D7"/>
    <w:rsid w:val="00AF28EB"/>
    <w:rsid w:val="00AF31BA"/>
    <w:rsid w:val="00AF36B6"/>
    <w:rsid w:val="00AF4803"/>
    <w:rsid w:val="00AF4D10"/>
    <w:rsid w:val="00AF58CB"/>
    <w:rsid w:val="00AF726F"/>
    <w:rsid w:val="00B00506"/>
    <w:rsid w:val="00B00ED5"/>
    <w:rsid w:val="00B0128C"/>
    <w:rsid w:val="00B02315"/>
    <w:rsid w:val="00B02BF0"/>
    <w:rsid w:val="00B034DD"/>
    <w:rsid w:val="00B03AB4"/>
    <w:rsid w:val="00B05B91"/>
    <w:rsid w:val="00B06ED4"/>
    <w:rsid w:val="00B077CC"/>
    <w:rsid w:val="00B07A28"/>
    <w:rsid w:val="00B12A63"/>
    <w:rsid w:val="00B13397"/>
    <w:rsid w:val="00B1400D"/>
    <w:rsid w:val="00B147C9"/>
    <w:rsid w:val="00B15BB2"/>
    <w:rsid w:val="00B16EBE"/>
    <w:rsid w:val="00B21D0E"/>
    <w:rsid w:val="00B22C57"/>
    <w:rsid w:val="00B23C76"/>
    <w:rsid w:val="00B23EEE"/>
    <w:rsid w:val="00B27298"/>
    <w:rsid w:val="00B27384"/>
    <w:rsid w:val="00B276E4"/>
    <w:rsid w:val="00B27A6D"/>
    <w:rsid w:val="00B309F9"/>
    <w:rsid w:val="00B30DAD"/>
    <w:rsid w:val="00B31782"/>
    <w:rsid w:val="00B36928"/>
    <w:rsid w:val="00B37293"/>
    <w:rsid w:val="00B4076A"/>
    <w:rsid w:val="00B413EB"/>
    <w:rsid w:val="00B42C20"/>
    <w:rsid w:val="00B43287"/>
    <w:rsid w:val="00B43864"/>
    <w:rsid w:val="00B43AD9"/>
    <w:rsid w:val="00B443D5"/>
    <w:rsid w:val="00B44482"/>
    <w:rsid w:val="00B450D9"/>
    <w:rsid w:val="00B46FF2"/>
    <w:rsid w:val="00B52AD3"/>
    <w:rsid w:val="00B539EB"/>
    <w:rsid w:val="00B54B76"/>
    <w:rsid w:val="00B55666"/>
    <w:rsid w:val="00B55ECC"/>
    <w:rsid w:val="00B560E5"/>
    <w:rsid w:val="00B576E1"/>
    <w:rsid w:val="00B6088D"/>
    <w:rsid w:val="00B608F1"/>
    <w:rsid w:val="00B60F79"/>
    <w:rsid w:val="00B61E58"/>
    <w:rsid w:val="00B6252C"/>
    <w:rsid w:val="00B62CBE"/>
    <w:rsid w:val="00B62EFD"/>
    <w:rsid w:val="00B63999"/>
    <w:rsid w:val="00B63B4A"/>
    <w:rsid w:val="00B63E1F"/>
    <w:rsid w:val="00B641C5"/>
    <w:rsid w:val="00B64F8D"/>
    <w:rsid w:val="00B6533C"/>
    <w:rsid w:val="00B6731A"/>
    <w:rsid w:val="00B673CA"/>
    <w:rsid w:val="00B70903"/>
    <w:rsid w:val="00B7108D"/>
    <w:rsid w:val="00B7117A"/>
    <w:rsid w:val="00B713F0"/>
    <w:rsid w:val="00B72053"/>
    <w:rsid w:val="00B73BEF"/>
    <w:rsid w:val="00B74530"/>
    <w:rsid w:val="00B74E4D"/>
    <w:rsid w:val="00B75D3F"/>
    <w:rsid w:val="00B75D4C"/>
    <w:rsid w:val="00B76F2C"/>
    <w:rsid w:val="00B77723"/>
    <w:rsid w:val="00B77863"/>
    <w:rsid w:val="00B801AC"/>
    <w:rsid w:val="00B815D3"/>
    <w:rsid w:val="00B8270D"/>
    <w:rsid w:val="00B82B33"/>
    <w:rsid w:val="00B8384C"/>
    <w:rsid w:val="00B843A1"/>
    <w:rsid w:val="00B854BE"/>
    <w:rsid w:val="00B85704"/>
    <w:rsid w:val="00B866BF"/>
    <w:rsid w:val="00B868D6"/>
    <w:rsid w:val="00B86D0A"/>
    <w:rsid w:val="00B8748B"/>
    <w:rsid w:val="00B87B3F"/>
    <w:rsid w:val="00B91818"/>
    <w:rsid w:val="00B922D6"/>
    <w:rsid w:val="00B93E18"/>
    <w:rsid w:val="00B93E2C"/>
    <w:rsid w:val="00B94BE5"/>
    <w:rsid w:val="00B95C6E"/>
    <w:rsid w:val="00B96069"/>
    <w:rsid w:val="00BA0A76"/>
    <w:rsid w:val="00BA11A9"/>
    <w:rsid w:val="00BA30C2"/>
    <w:rsid w:val="00BA31C6"/>
    <w:rsid w:val="00BA4B0A"/>
    <w:rsid w:val="00BA699B"/>
    <w:rsid w:val="00BA76AB"/>
    <w:rsid w:val="00BB0225"/>
    <w:rsid w:val="00BB0423"/>
    <w:rsid w:val="00BB1D73"/>
    <w:rsid w:val="00BB2CE4"/>
    <w:rsid w:val="00BB2D1B"/>
    <w:rsid w:val="00BB2E12"/>
    <w:rsid w:val="00BB42D2"/>
    <w:rsid w:val="00BB5A56"/>
    <w:rsid w:val="00BB6ECF"/>
    <w:rsid w:val="00BB74B3"/>
    <w:rsid w:val="00BB777A"/>
    <w:rsid w:val="00BC06FE"/>
    <w:rsid w:val="00BC1765"/>
    <w:rsid w:val="00BC1FD6"/>
    <w:rsid w:val="00BC25D7"/>
    <w:rsid w:val="00BC320C"/>
    <w:rsid w:val="00BC4883"/>
    <w:rsid w:val="00BC5454"/>
    <w:rsid w:val="00BC5F7F"/>
    <w:rsid w:val="00BC74EE"/>
    <w:rsid w:val="00BC777E"/>
    <w:rsid w:val="00BD0775"/>
    <w:rsid w:val="00BD219A"/>
    <w:rsid w:val="00BD2C42"/>
    <w:rsid w:val="00BD2EF9"/>
    <w:rsid w:val="00BD2F1D"/>
    <w:rsid w:val="00BD3997"/>
    <w:rsid w:val="00BD5D7E"/>
    <w:rsid w:val="00BD6EF9"/>
    <w:rsid w:val="00BD754C"/>
    <w:rsid w:val="00BD76B0"/>
    <w:rsid w:val="00BD78C6"/>
    <w:rsid w:val="00BE01E1"/>
    <w:rsid w:val="00BE15DA"/>
    <w:rsid w:val="00BE19AD"/>
    <w:rsid w:val="00BE369C"/>
    <w:rsid w:val="00BE4FBC"/>
    <w:rsid w:val="00BE5B7C"/>
    <w:rsid w:val="00BE72FD"/>
    <w:rsid w:val="00BE733C"/>
    <w:rsid w:val="00BE73D4"/>
    <w:rsid w:val="00BE7AF2"/>
    <w:rsid w:val="00BF1EF8"/>
    <w:rsid w:val="00BF25A9"/>
    <w:rsid w:val="00BF2DE5"/>
    <w:rsid w:val="00BF4C49"/>
    <w:rsid w:val="00BF4D1A"/>
    <w:rsid w:val="00BF5168"/>
    <w:rsid w:val="00BF51C9"/>
    <w:rsid w:val="00BF5A5B"/>
    <w:rsid w:val="00BF6338"/>
    <w:rsid w:val="00BF6D56"/>
    <w:rsid w:val="00C00D03"/>
    <w:rsid w:val="00C00D9C"/>
    <w:rsid w:val="00C01DFC"/>
    <w:rsid w:val="00C0270E"/>
    <w:rsid w:val="00C0282B"/>
    <w:rsid w:val="00C047A4"/>
    <w:rsid w:val="00C05013"/>
    <w:rsid w:val="00C067E0"/>
    <w:rsid w:val="00C0773D"/>
    <w:rsid w:val="00C1025D"/>
    <w:rsid w:val="00C11733"/>
    <w:rsid w:val="00C12CC1"/>
    <w:rsid w:val="00C12D93"/>
    <w:rsid w:val="00C12EE2"/>
    <w:rsid w:val="00C1324B"/>
    <w:rsid w:val="00C139DE"/>
    <w:rsid w:val="00C13B55"/>
    <w:rsid w:val="00C13CB8"/>
    <w:rsid w:val="00C151CE"/>
    <w:rsid w:val="00C15A2B"/>
    <w:rsid w:val="00C15BBB"/>
    <w:rsid w:val="00C2092E"/>
    <w:rsid w:val="00C20F37"/>
    <w:rsid w:val="00C213FD"/>
    <w:rsid w:val="00C21C42"/>
    <w:rsid w:val="00C22AE4"/>
    <w:rsid w:val="00C23520"/>
    <w:rsid w:val="00C24AE3"/>
    <w:rsid w:val="00C25082"/>
    <w:rsid w:val="00C2570A"/>
    <w:rsid w:val="00C265D4"/>
    <w:rsid w:val="00C26DC6"/>
    <w:rsid w:val="00C27447"/>
    <w:rsid w:val="00C275FC"/>
    <w:rsid w:val="00C30615"/>
    <w:rsid w:val="00C30715"/>
    <w:rsid w:val="00C30D84"/>
    <w:rsid w:val="00C3131B"/>
    <w:rsid w:val="00C317A7"/>
    <w:rsid w:val="00C333FF"/>
    <w:rsid w:val="00C33614"/>
    <w:rsid w:val="00C33AEC"/>
    <w:rsid w:val="00C357CB"/>
    <w:rsid w:val="00C35ADE"/>
    <w:rsid w:val="00C35C8E"/>
    <w:rsid w:val="00C36B1D"/>
    <w:rsid w:val="00C3742C"/>
    <w:rsid w:val="00C410D2"/>
    <w:rsid w:val="00C41363"/>
    <w:rsid w:val="00C42A78"/>
    <w:rsid w:val="00C437D6"/>
    <w:rsid w:val="00C44C70"/>
    <w:rsid w:val="00C4601D"/>
    <w:rsid w:val="00C509D2"/>
    <w:rsid w:val="00C51CCA"/>
    <w:rsid w:val="00C53131"/>
    <w:rsid w:val="00C54473"/>
    <w:rsid w:val="00C54789"/>
    <w:rsid w:val="00C55945"/>
    <w:rsid w:val="00C55D94"/>
    <w:rsid w:val="00C55DCB"/>
    <w:rsid w:val="00C55FBB"/>
    <w:rsid w:val="00C57582"/>
    <w:rsid w:val="00C608EF"/>
    <w:rsid w:val="00C60D60"/>
    <w:rsid w:val="00C612BB"/>
    <w:rsid w:val="00C612BF"/>
    <w:rsid w:val="00C61338"/>
    <w:rsid w:val="00C6207E"/>
    <w:rsid w:val="00C6324D"/>
    <w:rsid w:val="00C639D7"/>
    <w:rsid w:val="00C64FAE"/>
    <w:rsid w:val="00C65857"/>
    <w:rsid w:val="00C66344"/>
    <w:rsid w:val="00C66EDC"/>
    <w:rsid w:val="00C674F7"/>
    <w:rsid w:val="00C67D05"/>
    <w:rsid w:val="00C714EE"/>
    <w:rsid w:val="00C731E1"/>
    <w:rsid w:val="00C7443F"/>
    <w:rsid w:val="00C745D7"/>
    <w:rsid w:val="00C7702A"/>
    <w:rsid w:val="00C773C8"/>
    <w:rsid w:val="00C80A25"/>
    <w:rsid w:val="00C80E5E"/>
    <w:rsid w:val="00C812FD"/>
    <w:rsid w:val="00C82930"/>
    <w:rsid w:val="00C82C9E"/>
    <w:rsid w:val="00C841BF"/>
    <w:rsid w:val="00C8531E"/>
    <w:rsid w:val="00C85560"/>
    <w:rsid w:val="00C85A50"/>
    <w:rsid w:val="00C85B6C"/>
    <w:rsid w:val="00C85ECE"/>
    <w:rsid w:val="00C86BFE"/>
    <w:rsid w:val="00C86D8A"/>
    <w:rsid w:val="00C86FF3"/>
    <w:rsid w:val="00C87E2F"/>
    <w:rsid w:val="00C900B0"/>
    <w:rsid w:val="00C9080B"/>
    <w:rsid w:val="00C90EA7"/>
    <w:rsid w:val="00C90EF9"/>
    <w:rsid w:val="00C9146C"/>
    <w:rsid w:val="00C92931"/>
    <w:rsid w:val="00C92949"/>
    <w:rsid w:val="00C9312F"/>
    <w:rsid w:val="00C94499"/>
    <w:rsid w:val="00C9491A"/>
    <w:rsid w:val="00C94BE9"/>
    <w:rsid w:val="00C952A3"/>
    <w:rsid w:val="00C95DD7"/>
    <w:rsid w:val="00C95ED6"/>
    <w:rsid w:val="00C96BBB"/>
    <w:rsid w:val="00CA04D5"/>
    <w:rsid w:val="00CA0A30"/>
    <w:rsid w:val="00CA1AC8"/>
    <w:rsid w:val="00CA1FB0"/>
    <w:rsid w:val="00CA24D1"/>
    <w:rsid w:val="00CA39CC"/>
    <w:rsid w:val="00CA403D"/>
    <w:rsid w:val="00CA4743"/>
    <w:rsid w:val="00CA57FE"/>
    <w:rsid w:val="00CA5FF6"/>
    <w:rsid w:val="00CA6F32"/>
    <w:rsid w:val="00CA6F9E"/>
    <w:rsid w:val="00CA735E"/>
    <w:rsid w:val="00CA79E2"/>
    <w:rsid w:val="00CB01B1"/>
    <w:rsid w:val="00CB138F"/>
    <w:rsid w:val="00CB13CF"/>
    <w:rsid w:val="00CB13E0"/>
    <w:rsid w:val="00CB2F02"/>
    <w:rsid w:val="00CB44CC"/>
    <w:rsid w:val="00CB4522"/>
    <w:rsid w:val="00CB76B8"/>
    <w:rsid w:val="00CB7703"/>
    <w:rsid w:val="00CB77EE"/>
    <w:rsid w:val="00CB783B"/>
    <w:rsid w:val="00CB7AE2"/>
    <w:rsid w:val="00CC1C1E"/>
    <w:rsid w:val="00CC2611"/>
    <w:rsid w:val="00CC2803"/>
    <w:rsid w:val="00CC295E"/>
    <w:rsid w:val="00CC48D6"/>
    <w:rsid w:val="00CC4C9E"/>
    <w:rsid w:val="00CC544C"/>
    <w:rsid w:val="00CC559E"/>
    <w:rsid w:val="00CC707F"/>
    <w:rsid w:val="00CC708A"/>
    <w:rsid w:val="00CC79CD"/>
    <w:rsid w:val="00CD1841"/>
    <w:rsid w:val="00CD1BF1"/>
    <w:rsid w:val="00CD27CD"/>
    <w:rsid w:val="00CD4BF8"/>
    <w:rsid w:val="00CD52CD"/>
    <w:rsid w:val="00CD652E"/>
    <w:rsid w:val="00CD68DD"/>
    <w:rsid w:val="00CD7B8B"/>
    <w:rsid w:val="00CE01F8"/>
    <w:rsid w:val="00CE0D97"/>
    <w:rsid w:val="00CE18FE"/>
    <w:rsid w:val="00CE24B9"/>
    <w:rsid w:val="00CE2B04"/>
    <w:rsid w:val="00CE3E8B"/>
    <w:rsid w:val="00CE47DC"/>
    <w:rsid w:val="00CE5298"/>
    <w:rsid w:val="00CE5322"/>
    <w:rsid w:val="00CE58EB"/>
    <w:rsid w:val="00CF0041"/>
    <w:rsid w:val="00CF0D4B"/>
    <w:rsid w:val="00CF2605"/>
    <w:rsid w:val="00CF2804"/>
    <w:rsid w:val="00CF35B2"/>
    <w:rsid w:val="00CF36C4"/>
    <w:rsid w:val="00CF38D4"/>
    <w:rsid w:val="00CF3ADB"/>
    <w:rsid w:val="00CF5C07"/>
    <w:rsid w:val="00CF5CFC"/>
    <w:rsid w:val="00D00AF5"/>
    <w:rsid w:val="00D00E75"/>
    <w:rsid w:val="00D01917"/>
    <w:rsid w:val="00D01EBC"/>
    <w:rsid w:val="00D03DE1"/>
    <w:rsid w:val="00D03EDD"/>
    <w:rsid w:val="00D03EEF"/>
    <w:rsid w:val="00D04F08"/>
    <w:rsid w:val="00D050BB"/>
    <w:rsid w:val="00D07010"/>
    <w:rsid w:val="00D07087"/>
    <w:rsid w:val="00D07A1B"/>
    <w:rsid w:val="00D07E2A"/>
    <w:rsid w:val="00D10CA3"/>
    <w:rsid w:val="00D11159"/>
    <w:rsid w:val="00D11666"/>
    <w:rsid w:val="00D11D07"/>
    <w:rsid w:val="00D138F2"/>
    <w:rsid w:val="00D1489F"/>
    <w:rsid w:val="00D159F8"/>
    <w:rsid w:val="00D15DD2"/>
    <w:rsid w:val="00D1695E"/>
    <w:rsid w:val="00D16E55"/>
    <w:rsid w:val="00D16ECF"/>
    <w:rsid w:val="00D17564"/>
    <w:rsid w:val="00D17C04"/>
    <w:rsid w:val="00D17CFB"/>
    <w:rsid w:val="00D17D05"/>
    <w:rsid w:val="00D17E3E"/>
    <w:rsid w:val="00D2046D"/>
    <w:rsid w:val="00D21820"/>
    <w:rsid w:val="00D2255E"/>
    <w:rsid w:val="00D226B9"/>
    <w:rsid w:val="00D23437"/>
    <w:rsid w:val="00D2372E"/>
    <w:rsid w:val="00D2373E"/>
    <w:rsid w:val="00D239F4"/>
    <w:rsid w:val="00D2459A"/>
    <w:rsid w:val="00D248D9"/>
    <w:rsid w:val="00D24CD7"/>
    <w:rsid w:val="00D24D7A"/>
    <w:rsid w:val="00D27131"/>
    <w:rsid w:val="00D277B0"/>
    <w:rsid w:val="00D31AD0"/>
    <w:rsid w:val="00D31BBD"/>
    <w:rsid w:val="00D33C12"/>
    <w:rsid w:val="00D34305"/>
    <w:rsid w:val="00D34E83"/>
    <w:rsid w:val="00D35189"/>
    <w:rsid w:val="00D352D0"/>
    <w:rsid w:val="00D36526"/>
    <w:rsid w:val="00D37354"/>
    <w:rsid w:val="00D37B1D"/>
    <w:rsid w:val="00D400F6"/>
    <w:rsid w:val="00D404B1"/>
    <w:rsid w:val="00D4104F"/>
    <w:rsid w:val="00D43988"/>
    <w:rsid w:val="00D4707E"/>
    <w:rsid w:val="00D47238"/>
    <w:rsid w:val="00D4762C"/>
    <w:rsid w:val="00D47867"/>
    <w:rsid w:val="00D47EAF"/>
    <w:rsid w:val="00D50B2A"/>
    <w:rsid w:val="00D51517"/>
    <w:rsid w:val="00D52D7F"/>
    <w:rsid w:val="00D53034"/>
    <w:rsid w:val="00D53589"/>
    <w:rsid w:val="00D541A8"/>
    <w:rsid w:val="00D55A05"/>
    <w:rsid w:val="00D562A8"/>
    <w:rsid w:val="00D61A9F"/>
    <w:rsid w:val="00D61EDD"/>
    <w:rsid w:val="00D628AF"/>
    <w:rsid w:val="00D6294B"/>
    <w:rsid w:val="00D644DB"/>
    <w:rsid w:val="00D654F8"/>
    <w:rsid w:val="00D66550"/>
    <w:rsid w:val="00D66697"/>
    <w:rsid w:val="00D676B3"/>
    <w:rsid w:val="00D6787A"/>
    <w:rsid w:val="00D67ACA"/>
    <w:rsid w:val="00D67F69"/>
    <w:rsid w:val="00D71103"/>
    <w:rsid w:val="00D71213"/>
    <w:rsid w:val="00D713E4"/>
    <w:rsid w:val="00D721BD"/>
    <w:rsid w:val="00D72FAD"/>
    <w:rsid w:val="00D7314F"/>
    <w:rsid w:val="00D73259"/>
    <w:rsid w:val="00D732D3"/>
    <w:rsid w:val="00D73AF1"/>
    <w:rsid w:val="00D73E64"/>
    <w:rsid w:val="00D74504"/>
    <w:rsid w:val="00D74639"/>
    <w:rsid w:val="00D74926"/>
    <w:rsid w:val="00D75449"/>
    <w:rsid w:val="00D770D5"/>
    <w:rsid w:val="00D809B7"/>
    <w:rsid w:val="00D812A9"/>
    <w:rsid w:val="00D813B0"/>
    <w:rsid w:val="00D8141C"/>
    <w:rsid w:val="00D81A57"/>
    <w:rsid w:val="00D81A98"/>
    <w:rsid w:val="00D8269A"/>
    <w:rsid w:val="00D82962"/>
    <w:rsid w:val="00D82A4C"/>
    <w:rsid w:val="00D83A65"/>
    <w:rsid w:val="00D846CF"/>
    <w:rsid w:val="00D84999"/>
    <w:rsid w:val="00D85683"/>
    <w:rsid w:val="00D86D21"/>
    <w:rsid w:val="00D8772B"/>
    <w:rsid w:val="00D90F8A"/>
    <w:rsid w:val="00D91621"/>
    <w:rsid w:val="00D9180B"/>
    <w:rsid w:val="00D925BC"/>
    <w:rsid w:val="00D9323B"/>
    <w:rsid w:val="00D94EB6"/>
    <w:rsid w:val="00D95111"/>
    <w:rsid w:val="00D954B6"/>
    <w:rsid w:val="00D9553A"/>
    <w:rsid w:val="00D958D2"/>
    <w:rsid w:val="00D95C5C"/>
    <w:rsid w:val="00D96B91"/>
    <w:rsid w:val="00D9740F"/>
    <w:rsid w:val="00D97545"/>
    <w:rsid w:val="00D9787B"/>
    <w:rsid w:val="00D97BA1"/>
    <w:rsid w:val="00DA09FC"/>
    <w:rsid w:val="00DA28A7"/>
    <w:rsid w:val="00DA2BB0"/>
    <w:rsid w:val="00DA2FCA"/>
    <w:rsid w:val="00DA348E"/>
    <w:rsid w:val="00DA373A"/>
    <w:rsid w:val="00DA59D2"/>
    <w:rsid w:val="00DA5A9C"/>
    <w:rsid w:val="00DA5F60"/>
    <w:rsid w:val="00DA6E9D"/>
    <w:rsid w:val="00DA6FF3"/>
    <w:rsid w:val="00DB1595"/>
    <w:rsid w:val="00DB297D"/>
    <w:rsid w:val="00DB2B7E"/>
    <w:rsid w:val="00DB2BA7"/>
    <w:rsid w:val="00DB2F6C"/>
    <w:rsid w:val="00DB345D"/>
    <w:rsid w:val="00DB4D8B"/>
    <w:rsid w:val="00DB5719"/>
    <w:rsid w:val="00DB624E"/>
    <w:rsid w:val="00DB7C6B"/>
    <w:rsid w:val="00DC02EA"/>
    <w:rsid w:val="00DC1309"/>
    <w:rsid w:val="00DC16F9"/>
    <w:rsid w:val="00DC1CA6"/>
    <w:rsid w:val="00DC20CF"/>
    <w:rsid w:val="00DC3472"/>
    <w:rsid w:val="00DC4B44"/>
    <w:rsid w:val="00DC5C38"/>
    <w:rsid w:val="00DC61A3"/>
    <w:rsid w:val="00DC76E7"/>
    <w:rsid w:val="00DC7E69"/>
    <w:rsid w:val="00DD0467"/>
    <w:rsid w:val="00DD15EF"/>
    <w:rsid w:val="00DD1738"/>
    <w:rsid w:val="00DD190E"/>
    <w:rsid w:val="00DD3316"/>
    <w:rsid w:val="00DD3D97"/>
    <w:rsid w:val="00DD3E02"/>
    <w:rsid w:val="00DD45AF"/>
    <w:rsid w:val="00DD5654"/>
    <w:rsid w:val="00DD5E57"/>
    <w:rsid w:val="00DD60E3"/>
    <w:rsid w:val="00DD76E6"/>
    <w:rsid w:val="00DD7F9B"/>
    <w:rsid w:val="00DE3385"/>
    <w:rsid w:val="00DE3CA1"/>
    <w:rsid w:val="00DE4007"/>
    <w:rsid w:val="00DE4638"/>
    <w:rsid w:val="00DE4651"/>
    <w:rsid w:val="00DE534A"/>
    <w:rsid w:val="00DE55FD"/>
    <w:rsid w:val="00DE6317"/>
    <w:rsid w:val="00DE7265"/>
    <w:rsid w:val="00DE7525"/>
    <w:rsid w:val="00DF2247"/>
    <w:rsid w:val="00DF2353"/>
    <w:rsid w:val="00DF3AB2"/>
    <w:rsid w:val="00DF4116"/>
    <w:rsid w:val="00DF5784"/>
    <w:rsid w:val="00DF58B8"/>
    <w:rsid w:val="00DF5FF8"/>
    <w:rsid w:val="00DF6EE5"/>
    <w:rsid w:val="00E00157"/>
    <w:rsid w:val="00E0077B"/>
    <w:rsid w:val="00E00898"/>
    <w:rsid w:val="00E01F76"/>
    <w:rsid w:val="00E03634"/>
    <w:rsid w:val="00E047E5"/>
    <w:rsid w:val="00E050B6"/>
    <w:rsid w:val="00E051C1"/>
    <w:rsid w:val="00E0557E"/>
    <w:rsid w:val="00E05739"/>
    <w:rsid w:val="00E05CA1"/>
    <w:rsid w:val="00E05D14"/>
    <w:rsid w:val="00E0628E"/>
    <w:rsid w:val="00E06460"/>
    <w:rsid w:val="00E073CF"/>
    <w:rsid w:val="00E07997"/>
    <w:rsid w:val="00E07A6A"/>
    <w:rsid w:val="00E07EB8"/>
    <w:rsid w:val="00E107B2"/>
    <w:rsid w:val="00E10EB1"/>
    <w:rsid w:val="00E114CF"/>
    <w:rsid w:val="00E120E4"/>
    <w:rsid w:val="00E13636"/>
    <w:rsid w:val="00E149F4"/>
    <w:rsid w:val="00E17F53"/>
    <w:rsid w:val="00E20354"/>
    <w:rsid w:val="00E207DB"/>
    <w:rsid w:val="00E21F5A"/>
    <w:rsid w:val="00E221D8"/>
    <w:rsid w:val="00E25124"/>
    <w:rsid w:val="00E261F8"/>
    <w:rsid w:val="00E26E25"/>
    <w:rsid w:val="00E27DF3"/>
    <w:rsid w:val="00E3110A"/>
    <w:rsid w:val="00E319DC"/>
    <w:rsid w:val="00E324AD"/>
    <w:rsid w:val="00E3342D"/>
    <w:rsid w:val="00E33683"/>
    <w:rsid w:val="00E33734"/>
    <w:rsid w:val="00E34AA9"/>
    <w:rsid w:val="00E36A4F"/>
    <w:rsid w:val="00E37D5F"/>
    <w:rsid w:val="00E429A0"/>
    <w:rsid w:val="00E42D39"/>
    <w:rsid w:val="00E44CD4"/>
    <w:rsid w:val="00E45877"/>
    <w:rsid w:val="00E45B91"/>
    <w:rsid w:val="00E46804"/>
    <w:rsid w:val="00E46C57"/>
    <w:rsid w:val="00E513EE"/>
    <w:rsid w:val="00E5176B"/>
    <w:rsid w:val="00E527C9"/>
    <w:rsid w:val="00E528BA"/>
    <w:rsid w:val="00E52A91"/>
    <w:rsid w:val="00E53497"/>
    <w:rsid w:val="00E534DF"/>
    <w:rsid w:val="00E55A50"/>
    <w:rsid w:val="00E565C2"/>
    <w:rsid w:val="00E56C9D"/>
    <w:rsid w:val="00E5723E"/>
    <w:rsid w:val="00E57362"/>
    <w:rsid w:val="00E60269"/>
    <w:rsid w:val="00E60887"/>
    <w:rsid w:val="00E60C32"/>
    <w:rsid w:val="00E61619"/>
    <w:rsid w:val="00E61E25"/>
    <w:rsid w:val="00E6272B"/>
    <w:rsid w:val="00E627F6"/>
    <w:rsid w:val="00E62F1A"/>
    <w:rsid w:val="00E63F1D"/>
    <w:rsid w:val="00E646D5"/>
    <w:rsid w:val="00E64EEE"/>
    <w:rsid w:val="00E66F49"/>
    <w:rsid w:val="00E721A9"/>
    <w:rsid w:val="00E73549"/>
    <w:rsid w:val="00E7484F"/>
    <w:rsid w:val="00E74861"/>
    <w:rsid w:val="00E74B50"/>
    <w:rsid w:val="00E74EC9"/>
    <w:rsid w:val="00E75733"/>
    <w:rsid w:val="00E75A9D"/>
    <w:rsid w:val="00E75D2C"/>
    <w:rsid w:val="00E80CF7"/>
    <w:rsid w:val="00E80FB4"/>
    <w:rsid w:val="00E81B8E"/>
    <w:rsid w:val="00E81ED7"/>
    <w:rsid w:val="00E8369B"/>
    <w:rsid w:val="00E8377F"/>
    <w:rsid w:val="00E83850"/>
    <w:rsid w:val="00E85244"/>
    <w:rsid w:val="00E85A96"/>
    <w:rsid w:val="00E86159"/>
    <w:rsid w:val="00E86741"/>
    <w:rsid w:val="00E87AE4"/>
    <w:rsid w:val="00E90C1F"/>
    <w:rsid w:val="00E9124A"/>
    <w:rsid w:val="00E9222C"/>
    <w:rsid w:val="00E92AA5"/>
    <w:rsid w:val="00E9558B"/>
    <w:rsid w:val="00E95D1B"/>
    <w:rsid w:val="00E969A4"/>
    <w:rsid w:val="00E9735C"/>
    <w:rsid w:val="00EA234B"/>
    <w:rsid w:val="00EA274B"/>
    <w:rsid w:val="00EA2EFA"/>
    <w:rsid w:val="00EA3184"/>
    <w:rsid w:val="00EA3732"/>
    <w:rsid w:val="00EA3CDD"/>
    <w:rsid w:val="00EA4124"/>
    <w:rsid w:val="00EA5028"/>
    <w:rsid w:val="00EA50D6"/>
    <w:rsid w:val="00EA5611"/>
    <w:rsid w:val="00EA5714"/>
    <w:rsid w:val="00EA5E70"/>
    <w:rsid w:val="00EA5FD2"/>
    <w:rsid w:val="00EA60EF"/>
    <w:rsid w:val="00EA6A30"/>
    <w:rsid w:val="00EA6A41"/>
    <w:rsid w:val="00EA7662"/>
    <w:rsid w:val="00EA7CC3"/>
    <w:rsid w:val="00EB016F"/>
    <w:rsid w:val="00EB04F4"/>
    <w:rsid w:val="00EB05E3"/>
    <w:rsid w:val="00EB2216"/>
    <w:rsid w:val="00EB27D1"/>
    <w:rsid w:val="00EB33F4"/>
    <w:rsid w:val="00EB3B9C"/>
    <w:rsid w:val="00EB4C04"/>
    <w:rsid w:val="00EB6502"/>
    <w:rsid w:val="00EB7D9C"/>
    <w:rsid w:val="00EC1406"/>
    <w:rsid w:val="00EC1526"/>
    <w:rsid w:val="00EC23F3"/>
    <w:rsid w:val="00EC2677"/>
    <w:rsid w:val="00EC2AB5"/>
    <w:rsid w:val="00EC36F2"/>
    <w:rsid w:val="00EC4B79"/>
    <w:rsid w:val="00EC4F33"/>
    <w:rsid w:val="00EC6CAC"/>
    <w:rsid w:val="00EC7E82"/>
    <w:rsid w:val="00ED0B81"/>
    <w:rsid w:val="00ED19B3"/>
    <w:rsid w:val="00ED1A64"/>
    <w:rsid w:val="00ED28DD"/>
    <w:rsid w:val="00ED421C"/>
    <w:rsid w:val="00ED43A6"/>
    <w:rsid w:val="00ED69B3"/>
    <w:rsid w:val="00ED6FB9"/>
    <w:rsid w:val="00ED7371"/>
    <w:rsid w:val="00ED7E2F"/>
    <w:rsid w:val="00ED7EA8"/>
    <w:rsid w:val="00EE1313"/>
    <w:rsid w:val="00EE2126"/>
    <w:rsid w:val="00EE3363"/>
    <w:rsid w:val="00EE3F3C"/>
    <w:rsid w:val="00EE4C7E"/>
    <w:rsid w:val="00EE556D"/>
    <w:rsid w:val="00EE60A2"/>
    <w:rsid w:val="00EE6184"/>
    <w:rsid w:val="00EE7A2C"/>
    <w:rsid w:val="00EF06D3"/>
    <w:rsid w:val="00EF08B7"/>
    <w:rsid w:val="00EF09D3"/>
    <w:rsid w:val="00EF108A"/>
    <w:rsid w:val="00EF1240"/>
    <w:rsid w:val="00EF1F75"/>
    <w:rsid w:val="00EF2240"/>
    <w:rsid w:val="00EF3069"/>
    <w:rsid w:val="00EF31A5"/>
    <w:rsid w:val="00EF3742"/>
    <w:rsid w:val="00EF3EB5"/>
    <w:rsid w:val="00EF57B9"/>
    <w:rsid w:val="00EF57DF"/>
    <w:rsid w:val="00EF6556"/>
    <w:rsid w:val="00EF689A"/>
    <w:rsid w:val="00F00EF4"/>
    <w:rsid w:val="00F02BAD"/>
    <w:rsid w:val="00F0319D"/>
    <w:rsid w:val="00F11635"/>
    <w:rsid w:val="00F127F8"/>
    <w:rsid w:val="00F12D86"/>
    <w:rsid w:val="00F131AA"/>
    <w:rsid w:val="00F131FD"/>
    <w:rsid w:val="00F1350B"/>
    <w:rsid w:val="00F13B05"/>
    <w:rsid w:val="00F13B5A"/>
    <w:rsid w:val="00F13EED"/>
    <w:rsid w:val="00F15AF2"/>
    <w:rsid w:val="00F15BC8"/>
    <w:rsid w:val="00F20D90"/>
    <w:rsid w:val="00F21290"/>
    <w:rsid w:val="00F2299F"/>
    <w:rsid w:val="00F231F0"/>
    <w:rsid w:val="00F24787"/>
    <w:rsid w:val="00F259A5"/>
    <w:rsid w:val="00F263E5"/>
    <w:rsid w:val="00F301E0"/>
    <w:rsid w:val="00F307CC"/>
    <w:rsid w:val="00F30BBA"/>
    <w:rsid w:val="00F31630"/>
    <w:rsid w:val="00F31A8F"/>
    <w:rsid w:val="00F320C0"/>
    <w:rsid w:val="00F32D63"/>
    <w:rsid w:val="00F34012"/>
    <w:rsid w:val="00F343A3"/>
    <w:rsid w:val="00F34C99"/>
    <w:rsid w:val="00F3531A"/>
    <w:rsid w:val="00F41DB0"/>
    <w:rsid w:val="00F439BB"/>
    <w:rsid w:val="00F43CEB"/>
    <w:rsid w:val="00F449D7"/>
    <w:rsid w:val="00F461AE"/>
    <w:rsid w:val="00F467F9"/>
    <w:rsid w:val="00F5091A"/>
    <w:rsid w:val="00F5184D"/>
    <w:rsid w:val="00F51B88"/>
    <w:rsid w:val="00F51CB2"/>
    <w:rsid w:val="00F52121"/>
    <w:rsid w:val="00F534D3"/>
    <w:rsid w:val="00F53910"/>
    <w:rsid w:val="00F5421D"/>
    <w:rsid w:val="00F55022"/>
    <w:rsid w:val="00F55184"/>
    <w:rsid w:val="00F5704A"/>
    <w:rsid w:val="00F60DF3"/>
    <w:rsid w:val="00F61513"/>
    <w:rsid w:val="00F62057"/>
    <w:rsid w:val="00F6264B"/>
    <w:rsid w:val="00F6290C"/>
    <w:rsid w:val="00F646C8"/>
    <w:rsid w:val="00F67988"/>
    <w:rsid w:val="00F67C01"/>
    <w:rsid w:val="00F70909"/>
    <w:rsid w:val="00F7114B"/>
    <w:rsid w:val="00F721EF"/>
    <w:rsid w:val="00F72AC2"/>
    <w:rsid w:val="00F72F17"/>
    <w:rsid w:val="00F73429"/>
    <w:rsid w:val="00F74168"/>
    <w:rsid w:val="00F742F1"/>
    <w:rsid w:val="00F7470C"/>
    <w:rsid w:val="00F74942"/>
    <w:rsid w:val="00F7534A"/>
    <w:rsid w:val="00F76037"/>
    <w:rsid w:val="00F761E0"/>
    <w:rsid w:val="00F76832"/>
    <w:rsid w:val="00F76B53"/>
    <w:rsid w:val="00F76DA6"/>
    <w:rsid w:val="00F7761D"/>
    <w:rsid w:val="00F77724"/>
    <w:rsid w:val="00F77839"/>
    <w:rsid w:val="00F77AF3"/>
    <w:rsid w:val="00F77CE6"/>
    <w:rsid w:val="00F77DD1"/>
    <w:rsid w:val="00F8023F"/>
    <w:rsid w:val="00F8032A"/>
    <w:rsid w:val="00F82021"/>
    <w:rsid w:val="00F82080"/>
    <w:rsid w:val="00F82A7B"/>
    <w:rsid w:val="00F8353C"/>
    <w:rsid w:val="00F8476C"/>
    <w:rsid w:val="00F850A1"/>
    <w:rsid w:val="00F85CBD"/>
    <w:rsid w:val="00F862BB"/>
    <w:rsid w:val="00F87810"/>
    <w:rsid w:val="00F905B8"/>
    <w:rsid w:val="00F91164"/>
    <w:rsid w:val="00F91D47"/>
    <w:rsid w:val="00F92B0F"/>
    <w:rsid w:val="00F9354E"/>
    <w:rsid w:val="00F941FC"/>
    <w:rsid w:val="00F96D24"/>
    <w:rsid w:val="00F97093"/>
    <w:rsid w:val="00F97FF3"/>
    <w:rsid w:val="00FA0091"/>
    <w:rsid w:val="00FA1AA9"/>
    <w:rsid w:val="00FA2C8B"/>
    <w:rsid w:val="00FA3E0C"/>
    <w:rsid w:val="00FA4FBA"/>
    <w:rsid w:val="00FA5580"/>
    <w:rsid w:val="00FA655A"/>
    <w:rsid w:val="00FA69C3"/>
    <w:rsid w:val="00FA6AAC"/>
    <w:rsid w:val="00FA6CBC"/>
    <w:rsid w:val="00FA6D48"/>
    <w:rsid w:val="00FA7027"/>
    <w:rsid w:val="00FA7EC0"/>
    <w:rsid w:val="00FB1729"/>
    <w:rsid w:val="00FB30A2"/>
    <w:rsid w:val="00FB3BE0"/>
    <w:rsid w:val="00FC072E"/>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E07"/>
    <w:rsid w:val="00FD5688"/>
    <w:rsid w:val="00FD5725"/>
    <w:rsid w:val="00FD5E1C"/>
    <w:rsid w:val="00FD5F36"/>
    <w:rsid w:val="00FD6A18"/>
    <w:rsid w:val="00FD7F6B"/>
    <w:rsid w:val="00FE0948"/>
    <w:rsid w:val="00FE1880"/>
    <w:rsid w:val="00FE3256"/>
    <w:rsid w:val="00FE3F8E"/>
    <w:rsid w:val="00FE47ED"/>
    <w:rsid w:val="00FE5101"/>
    <w:rsid w:val="00FE61DC"/>
    <w:rsid w:val="00FE67D0"/>
    <w:rsid w:val="00FE689B"/>
    <w:rsid w:val="00FE7079"/>
    <w:rsid w:val="00FE79CE"/>
    <w:rsid w:val="00FF081E"/>
    <w:rsid w:val="00FF145C"/>
    <w:rsid w:val="00FF26EE"/>
    <w:rsid w:val="00FF28EC"/>
    <w:rsid w:val="00FF47A3"/>
    <w:rsid w:val="00FF4B3F"/>
    <w:rsid w:val="00FF4B43"/>
    <w:rsid w:val="00FF574F"/>
    <w:rsid w:val="031A1EA1"/>
    <w:rsid w:val="058D5C58"/>
    <w:rsid w:val="09E507C4"/>
    <w:rsid w:val="0B895A7E"/>
    <w:rsid w:val="0D0306DF"/>
    <w:rsid w:val="0EBF659B"/>
    <w:rsid w:val="1119532E"/>
    <w:rsid w:val="13935AE8"/>
    <w:rsid w:val="14644C62"/>
    <w:rsid w:val="17F92FBA"/>
    <w:rsid w:val="1C9713B9"/>
    <w:rsid w:val="1FB8420F"/>
    <w:rsid w:val="22C703C4"/>
    <w:rsid w:val="23D0643C"/>
    <w:rsid w:val="24411867"/>
    <w:rsid w:val="247328C7"/>
    <w:rsid w:val="25A8406F"/>
    <w:rsid w:val="26EE7167"/>
    <w:rsid w:val="2C1803D1"/>
    <w:rsid w:val="2C736189"/>
    <w:rsid w:val="30857540"/>
    <w:rsid w:val="34873867"/>
    <w:rsid w:val="3AAC3353"/>
    <w:rsid w:val="3B3E4A0E"/>
    <w:rsid w:val="3EE811E8"/>
    <w:rsid w:val="3FC074ED"/>
    <w:rsid w:val="43170D39"/>
    <w:rsid w:val="48AB78C3"/>
    <w:rsid w:val="48B50DCA"/>
    <w:rsid w:val="4AEE2F19"/>
    <w:rsid w:val="4C5B6BF5"/>
    <w:rsid w:val="50684490"/>
    <w:rsid w:val="586725A2"/>
    <w:rsid w:val="5ACF3B98"/>
    <w:rsid w:val="5CDC060D"/>
    <w:rsid w:val="5D1B6BFB"/>
    <w:rsid w:val="5E051974"/>
    <w:rsid w:val="60BD05F5"/>
    <w:rsid w:val="666A7063"/>
    <w:rsid w:val="6C140B53"/>
    <w:rsid w:val="6C9A2996"/>
    <w:rsid w:val="6E9F2557"/>
    <w:rsid w:val="70C43FF4"/>
    <w:rsid w:val="722B6D77"/>
    <w:rsid w:val="754C3BC5"/>
    <w:rsid w:val="790573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5"/>
    <w:next w:val="1"/>
    <w:link w:val="56"/>
    <w:qFormat/>
    <w:uiPriority w:val="0"/>
    <w:pPr>
      <w:spacing w:before="340" w:after="330" w:line="360" w:lineRule="auto"/>
      <w:jc w:val="center"/>
      <w:outlineLvl w:val="0"/>
    </w:pPr>
    <w:rPr>
      <w:bCs w:val="0"/>
      <w:kern w:val="0"/>
      <w:szCs w:val="28"/>
    </w:rPr>
  </w:style>
  <w:style w:type="paragraph" w:styleId="2">
    <w:name w:val="heading 2"/>
    <w:basedOn w:val="1"/>
    <w:next w:val="3"/>
    <w:link w:val="71"/>
    <w:qFormat/>
    <w:uiPriority w:val="0"/>
    <w:pPr>
      <w:adjustRightInd w:val="0"/>
      <w:jc w:val="center"/>
      <w:textAlignment w:val="baseline"/>
      <w:outlineLvl w:val="1"/>
    </w:pPr>
    <w:rPr>
      <w:kern w:val="0"/>
      <w:sz w:val="24"/>
      <w:szCs w:val="20"/>
    </w:rPr>
  </w:style>
  <w:style w:type="paragraph" w:styleId="5">
    <w:name w:val="heading 3"/>
    <w:basedOn w:val="6"/>
    <w:next w:val="1"/>
    <w:link w:val="55"/>
    <w:qFormat/>
    <w:uiPriority w:val="9"/>
    <w:pPr>
      <w:spacing w:before="260" w:after="260" w:line="240" w:lineRule="auto"/>
      <w:outlineLvl w:val="2"/>
    </w:pPr>
    <w:rPr>
      <w:rFonts w:ascii="宋体" w:hAnsi="宋体" w:eastAsia="宋体"/>
      <w:szCs w:val="32"/>
    </w:rPr>
  </w:style>
  <w:style w:type="paragraph" w:styleId="6">
    <w:name w:val="heading 4"/>
    <w:basedOn w:val="1"/>
    <w:next w:val="1"/>
    <w:link w:val="53"/>
    <w:qFormat/>
    <w:uiPriority w:val="9"/>
    <w:pPr>
      <w:keepNext/>
      <w:keepLines/>
      <w:spacing w:before="280" w:after="290" w:line="376" w:lineRule="auto"/>
      <w:outlineLvl w:val="3"/>
    </w:pPr>
    <w:rPr>
      <w:rFonts w:ascii="Arial" w:hAnsi="Arial" w:eastAsia="黑体"/>
      <w:b/>
      <w:bCs/>
      <w:sz w:val="28"/>
      <w:szCs w:val="28"/>
    </w:rPr>
  </w:style>
  <w:style w:type="paragraph" w:styleId="7">
    <w:name w:val="heading 5"/>
    <w:basedOn w:val="1"/>
    <w:next w:val="3"/>
    <w:link w:val="80"/>
    <w:qFormat/>
    <w:uiPriority w:val="0"/>
    <w:pPr>
      <w:keepNext/>
      <w:keepLines/>
      <w:spacing w:before="280" w:after="290" w:line="376" w:lineRule="auto"/>
      <w:outlineLvl w:val="4"/>
    </w:pPr>
    <w:rPr>
      <w:b/>
      <w:sz w:val="28"/>
      <w:szCs w:val="20"/>
    </w:rPr>
  </w:style>
  <w:style w:type="paragraph" w:styleId="8">
    <w:name w:val="heading 6"/>
    <w:basedOn w:val="1"/>
    <w:next w:val="3"/>
    <w:link w:val="83"/>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3"/>
    <w:link w:val="84"/>
    <w:qFormat/>
    <w:uiPriority w:val="0"/>
    <w:pPr>
      <w:keepNext/>
      <w:keepLines/>
      <w:spacing w:before="240" w:after="64" w:line="320" w:lineRule="auto"/>
      <w:outlineLvl w:val="6"/>
    </w:pPr>
    <w:rPr>
      <w:b/>
      <w:sz w:val="24"/>
      <w:szCs w:val="20"/>
    </w:rPr>
  </w:style>
  <w:style w:type="paragraph" w:styleId="10">
    <w:name w:val="heading 8"/>
    <w:basedOn w:val="1"/>
    <w:next w:val="3"/>
    <w:link w:val="85"/>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3"/>
    <w:link w:val="86"/>
    <w:qFormat/>
    <w:uiPriority w:val="0"/>
    <w:pPr>
      <w:keepNext/>
      <w:keepLines/>
      <w:spacing w:before="240" w:after="64" w:line="320" w:lineRule="auto"/>
      <w:outlineLvl w:val="8"/>
    </w:pPr>
    <w:rPr>
      <w:rFonts w:ascii="Arial" w:hAnsi="Arial" w:eastAsia="黑体"/>
      <w:szCs w:val="20"/>
    </w:rPr>
  </w:style>
  <w:style w:type="character" w:default="1" w:styleId="46">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57"/>
    <w:qFormat/>
    <w:uiPriority w:val="0"/>
    <w:pPr>
      <w:ind w:firstLine="420"/>
    </w:pPr>
    <w:rPr>
      <w:szCs w:val="20"/>
    </w:rPr>
  </w:style>
  <w:style w:type="paragraph" w:styleId="12">
    <w:name w:val="toc 7"/>
    <w:basedOn w:val="1"/>
    <w:next w:val="1"/>
    <w:semiHidden/>
    <w:qFormat/>
    <w:uiPriority w:val="0"/>
    <w:pPr>
      <w:ind w:left="1260"/>
      <w:jc w:val="left"/>
    </w:pPr>
    <w:rPr>
      <w:szCs w:val="21"/>
    </w:rPr>
  </w:style>
  <w:style w:type="paragraph" w:styleId="13">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4">
    <w:name w:val="List Bullet"/>
    <w:basedOn w:val="1"/>
    <w:qFormat/>
    <w:uiPriority w:val="0"/>
    <w:pPr>
      <w:numPr>
        <w:ilvl w:val="0"/>
        <w:numId w:val="1"/>
      </w:numPr>
    </w:pPr>
    <w:rPr>
      <w:szCs w:val="20"/>
    </w:rPr>
  </w:style>
  <w:style w:type="paragraph" w:styleId="15">
    <w:name w:val="Document Map"/>
    <w:basedOn w:val="1"/>
    <w:semiHidden/>
    <w:qFormat/>
    <w:uiPriority w:val="0"/>
    <w:pPr>
      <w:shd w:val="clear" w:color="auto" w:fill="000080"/>
    </w:pPr>
  </w:style>
  <w:style w:type="paragraph" w:styleId="16">
    <w:name w:val="annotation text"/>
    <w:basedOn w:val="1"/>
    <w:link w:val="184"/>
    <w:qFormat/>
    <w:uiPriority w:val="0"/>
    <w:pPr>
      <w:autoSpaceDE w:val="0"/>
      <w:autoSpaceDN w:val="0"/>
      <w:adjustRightInd w:val="0"/>
      <w:jc w:val="left"/>
      <w:textAlignment w:val="baseline"/>
    </w:pPr>
    <w:rPr>
      <w:rFonts w:ascii="宋体"/>
      <w:kern w:val="0"/>
      <w:sz w:val="34"/>
      <w:szCs w:val="20"/>
    </w:rPr>
  </w:style>
  <w:style w:type="paragraph" w:styleId="17">
    <w:name w:val="Body Text 3"/>
    <w:basedOn w:val="1"/>
    <w:link w:val="98"/>
    <w:qFormat/>
    <w:uiPriority w:val="0"/>
    <w:pPr>
      <w:spacing w:after="120"/>
    </w:pPr>
    <w:rPr>
      <w:sz w:val="16"/>
      <w:szCs w:val="16"/>
    </w:rPr>
  </w:style>
  <w:style w:type="paragraph" w:styleId="18">
    <w:name w:val="Body Text"/>
    <w:basedOn w:val="1"/>
    <w:link w:val="92"/>
    <w:qFormat/>
    <w:uiPriority w:val="0"/>
    <w:pPr>
      <w:spacing w:line="360" w:lineRule="auto"/>
    </w:pPr>
    <w:rPr>
      <w:b/>
      <w:bCs/>
      <w:sz w:val="24"/>
    </w:rPr>
  </w:style>
  <w:style w:type="paragraph" w:styleId="19">
    <w:name w:val="Body Text Indent"/>
    <w:basedOn w:val="1"/>
    <w:link w:val="79"/>
    <w:qFormat/>
    <w:uiPriority w:val="0"/>
    <w:pPr>
      <w:spacing w:line="360" w:lineRule="auto"/>
      <w:ind w:firstLine="420" w:firstLineChars="200"/>
    </w:pPr>
  </w:style>
  <w:style w:type="paragraph" w:styleId="20">
    <w:name w:val="toc 5"/>
    <w:basedOn w:val="1"/>
    <w:next w:val="1"/>
    <w:semiHidden/>
    <w:qFormat/>
    <w:uiPriority w:val="0"/>
    <w:pPr>
      <w:ind w:left="840"/>
      <w:jc w:val="left"/>
    </w:pPr>
    <w:rPr>
      <w:szCs w:val="21"/>
    </w:rPr>
  </w:style>
  <w:style w:type="paragraph" w:styleId="21">
    <w:name w:val="toc 3"/>
    <w:basedOn w:val="1"/>
    <w:next w:val="1"/>
    <w:semiHidden/>
    <w:qFormat/>
    <w:uiPriority w:val="0"/>
    <w:pPr>
      <w:ind w:left="420"/>
      <w:jc w:val="left"/>
    </w:pPr>
    <w:rPr>
      <w:i/>
      <w:iCs/>
    </w:rPr>
  </w:style>
  <w:style w:type="paragraph" w:styleId="22">
    <w:name w:val="Plain Text"/>
    <w:basedOn w:val="1"/>
    <w:link w:val="90"/>
    <w:qFormat/>
    <w:uiPriority w:val="0"/>
    <w:rPr>
      <w:rFonts w:ascii="宋体" w:hAnsi="Courier New"/>
      <w:szCs w:val="20"/>
    </w:rPr>
  </w:style>
  <w:style w:type="paragraph" w:styleId="23">
    <w:name w:val="toc 8"/>
    <w:basedOn w:val="1"/>
    <w:next w:val="1"/>
    <w:semiHidden/>
    <w:qFormat/>
    <w:uiPriority w:val="0"/>
    <w:pPr>
      <w:ind w:left="1470"/>
      <w:jc w:val="left"/>
    </w:pPr>
    <w:rPr>
      <w:szCs w:val="21"/>
    </w:rPr>
  </w:style>
  <w:style w:type="paragraph" w:styleId="24">
    <w:name w:val="Date"/>
    <w:basedOn w:val="1"/>
    <w:next w:val="1"/>
    <w:link w:val="88"/>
    <w:qFormat/>
    <w:uiPriority w:val="0"/>
    <w:rPr>
      <w:rFonts w:ascii="宋体" w:hAnsi="Courier New"/>
      <w:sz w:val="32"/>
      <w:szCs w:val="20"/>
    </w:rPr>
  </w:style>
  <w:style w:type="paragraph" w:styleId="25">
    <w:name w:val="Body Text Indent 2"/>
    <w:basedOn w:val="1"/>
    <w:link w:val="93"/>
    <w:qFormat/>
    <w:uiPriority w:val="0"/>
    <w:pPr>
      <w:spacing w:beforeLines="50" w:afterLines="50" w:line="120" w:lineRule="auto"/>
      <w:ind w:firstLine="840" w:firstLineChars="400"/>
      <w:jc w:val="left"/>
    </w:pPr>
    <w:rPr>
      <w:rFonts w:ascii="宋体" w:hAnsi="宋体"/>
    </w:rPr>
  </w:style>
  <w:style w:type="paragraph" w:styleId="26">
    <w:name w:val="Balloon Text"/>
    <w:basedOn w:val="1"/>
    <w:link w:val="99"/>
    <w:semiHidden/>
    <w:qFormat/>
    <w:uiPriority w:val="99"/>
    <w:rPr>
      <w:sz w:val="18"/>
      <w:szCs w:val="18"/>
    </w:rPr>
  </w:style>
  <w:style w:type="paragraph" w:styleId="27">
    <w:name w:val="footer"/>
    <w:basedOn w:val="1"/>
    <w:link w:val="97"/>
    <w:qFormat/>
    <w:uiPriority w:val="0"/>
    <w:pPr>
      <w:tabs>
        <w:tab w:val="center" w:pos="4153"/>
        <w:tab w:val="right" w:pos="8306"/>
      </w:tabs>
      <w:snapToGrid w:val="0"/>
      <w:jc w:val="left"/>
    </w:pPr>
    <w:rPr>
      <w:sz w:val="18"/>
      <w:szCs w:val="18"/>
    </w:rPr>
  </w:style>
  <w:style w:type="paragraph" w:styleId="28">
    <w:name w:val="header"/>
    <w:basedOn w:val="1"/>
    <w:link w:val="94"/>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0"/>
    <w:pPr>
      <w:spacing w:before="120" w:after="120"/>
      <w:jc w:val="left"/>
    </w:pPr>
    <w:rPr>
      <w:b/>
      <w:bCs/>
      <w:caps/>
    </w:rPr>
  </w:style>
  <w:style w:type="paragraph" w:styleId="30">
    <w:name w:val="toc 4"/>
    <w:basedOn w:val="1"/>
    <w:next w:val="1"/>
    <w:semiHidden/>
    <w:qFormat/>
    <w:uiPriority w:val="0"/>
    <w:pPr>
      <w:ind w:left="630"/>
      <w:jc w:val="left"/>
    </w:pPr>
    <w:rPr>
      <w:szCs w:val="21"/>
    </w:rPr>
  </w:style>
  <w:style w:type="paragraph" w:styleId="31">
    <w:name w:val="Subtitle"/>
    <w:next w:val="1"/>
    <w:link w:val="309"/>
    <w:qFormat/>
    <w:uiPriority w:val="0"/>
    <w:pPr>
      <w:wordWrap w:val="0"/>
      <w:spacing w:after="60"/>
      <w:jc w:val="center"/>
    </w:pPr>
    <w:rPr>
      <w:rFonts w:ascii="Calibri" w:hAnsi="Calibri" w:eastAsia="宋体" w:cs="Times New Roman"/>
      <w:sz w:val="24"/>
      <w:lang w:val="en-US" w:eastAsia="zh-CN" w:bidi="ar-SA"/>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95"/>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Body Text 2"/>
    <w:basedOn w:val="1"/>
    <w:link w:val="96"/>
    <w:qFormat/>
    <w:uiPriority w:val="0"/>
    <w:pPr>
      <w:spacing w:line="360" w:lineRule="auto"/>
    </w:pPr>
    <w:rPr>
      <w:sz w:val="24"/>
    </w:rPr>
  </w:style>
  <w:style w:type="paragraph" w:styleId="37">
    <w:name w:val="HTML Preformatted"/>
    <w:basedOn w:val="1"/>
    <w:link w:val="8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8">
    <w:name w:val="Normal (Web)"/>
    <w:basedOn w:val="1"/>
    <w:qFormat/>
    <w:uiPriority w:val="99"/>
    <w:pPr>
      <w:spacing w:before="0" w:beforeAutospacing="1" w:after="0" w:afterAutospacing="1"/>
      <w:ind w:left="0" w:right="0"/>
      <w:jc w:val="left"/>
    </w:pPr>
    <w:rPr>
      <w:kern w:val="0"/>
      <w:sz w:val="24"/>
      <w:lang w:val="en-US" w:eastAsia="zh-CN" w:bidi="ar"/>
    </w:rPr>
  </w:style>
  <w:style w:type="paragraph" w:styleId="39">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0">
    <w:name w:val="Title"/>
    <w:basedOn w:val="1"/>
    <w:link w:val="87"/>
    <w:qFormat/>
    <w:uiPriority w:val="0"/>
    <w:pPr>
      <w:spacing w:before="240" w:after="60"/>
      <w:jc w:val="center"/>
      <w:outlineLvl w:val="0"/>
    </w:pPr>
    <w:rPr>
      <w:rFonts w:ascii="Arial" w:hAnsi="Arial" w:eastAsia="隶书" w:cs="Arial"/>
      <w:b/>
      <w:bCs/>
      <w:sz w:val="32"/>
      <w:szCs w:val="32"/>
    </w:rPr>
  </w:style>
  <w:style w:type="paragraph" w:styleId="41">
    <w:name w:val="annotation subject"/>
    <w:basedOn w:val="16"/>
    <w:next w:val="16"/>
    <w:link w:val="185"/>
    <w:qFormat/>
    <w:uiPriority w:val="99"/>
    <w:pPr>
      <w:autoSpaceDE/>
      <w:autoSpaceDN/>
      <w:adjustRightInd/>
      <w:textAlignment w:val="auto"/>
    </w:pPr>
    <w:rPr>
      <w:rFonts w:ascii="Times New Roman"/>
      <w:b/>
      <w:bCs/>
      <w:kern w:val="2"/>
      <w:sz w:val="21"/>
      <w:szCs w:val="24"/>
    </w:rPr>
  </w:style>
  <w:style w:type="paragraph" w:styleId="42">
    <w:name w:val="Body Text First Indent"/>
    <w:basedOn w:val="18"/>
    <w:link w:val="130"/>
    <w:qFormat/>
    <w:uiPriority w:val="0"/>
    <w:pPr>
      <w:spacing w:after="120" w:line="240" w:lineRule="auto"/>
      <w:ind w:firstLine="420" w:firstLineChars="100"/>
    </w:pPr>
    <w:rPr>
      <w:sz w:val="21"/>
    </w:rPr>
  </w:style>
  <w:style w:type="table" w:styleId="44">
    <w:name w:val="Table Grid"/>
    <w:basedOn w:val="4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5">
    <w:name w:val="Table Elegant"/>
    <w:basedOn w:val="43"/>
    <w:qFormat/>
    <w:uiPriority w:val="0"/>
    <w:pPr>
      <w:widowControl w:val="0"/>
      <w:jc w:val="both"/>
    </w:pPr>
    <w:rPr>
      <w:rFonts w:ascii="Calibri" w:hAnsi="Calibri"/>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47">
    <w:name w:val="Strong"/>
    <w:qFormat/>
    <w:uiPriority w:val="0"/>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Emphasis"/>
    <w:basedOn w:val="46"/>
    <w:qFormat/>
    <w:uiPriority w:val="0"/>
    <w:rPr>
      <w:sz w:val="20"/>
    </w:rPr>
  </w:style>
  <w:style w:type="character" w:styleId="51">
    <w:name w:val="Hyperlink"/>
    <w:qFormat/>
    <w:uiPriority w:val="0"/>
    <w:rPr>
      <w:color w:val="0000FF"/>
      <w:u w:val="single"/>
    </w:rPr>
  </w:style>
  <w:style w:type="character" w:styleId="52">
    <w:name w:val="annotation reference"/>
    <w:basedOn w:val="46"/>
    <w:qFormat/>
    <w:uiPriority w:val="99"/>
    <w:rPr>
      <w:sz w:val="21"/>
      <w:szCs w:val="21"/>
    </w:rPr>
  </w:style>
  <w:style w:type="character" w:customStyle="1" w:styleId="53">
    <w:name w:val="标题 4 Char"/>
    <w:link w:val="6"/>
    <w:qFormat/>
    <w:uiPriority w:val="9"/>
    <w:rPr>
      <w:rFonts w:ascii="Arial" w:hAnsi="Arial" w:eastAsia="黑体"/>
      <w:b/>
      <w:bCs/>
      <w:kern w:val="2"/>
      <w:sz w:val="28"/>
      <w:szCs w:val="28"/>
      <w:lang w:val="en-US" w:eastAsia="zh-CN" w:bidi="ar-SA"/>
    </w:rPr>
  </w:style>
  <w:style w:type="paragraph" w:customStyle="1" w:styleId="54">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55">
    <w:name w:val="标题 3 Char1"/>
    <w:link w:val="5"/>
    <w:qFormat/>
    <w:uiPriority w:val="9"/>
    <w:rPr>
      <w:rFonts w:ascii="宋体" w:hAnsi="宋体" w:eastAsia="宋体"/>
      <w:b/>
      <w:bCs/>
      <w:kern w:val="2"/>
      <w:sz w:val="28"/>
      <w:szCs w:val="32"/>
      <w:lang w:val="en-US" w:eastAsia="zh-CN" w:bidi="ar-SA"/>
    </w:rPr>
  </w:style>
  <w:style w:type="character" w:customStyle="1" w:styleId="56">
    <w:name w:val="标题 1 Char"/>
    <w:link w:val="4"/>
    <w:qFormat/>
    <w:uiPriority w:val="0"/>
    <w:rPr>
      <w:rFonts w:ascii="宋体" w:hAnsi="宋体"/>
      <w:b/>
      <w:sz w:val="28"/>
      <w:szCs w:val="28"/>
    </w:rPr>
  </w:style>
  <w:style w:type="character" w:customStyle="1" w:styleId="57">
    <w:name w:val="正文缩进 Char"/>
    <w:link w:val="3"/>
    <w:qFormat/>
    <w:uiPriority w:val="0"/>
    <w:rPr>
      <w:rFonts w:eastAsia="宋体"/>
      <w:kern w:val="2"/>
      <w:sz w:val="21"/>
      <w:lang w:val="en-US" w:eastAsia="zh-CN" w:bidi="ar-SA"/>
    </w:rPr>
  </w:style>
  <w:style w:type="character" w:customStyle="1" w:styleId="58">
    <w:name w:val="标题 3 Char"/>
    <w:qFormat/>
    <w:uiPriority w:val="0"/>
    <w:rPr>
      <w:rFonts w:ascii="黑体" w:eastAsia="黑体"/>
      <w:bCs/>
      <w:sz w:val="30"/>
    </w:rPr>
  </w:style>
  <w:style w:type="paragraph" w:customStyle="1" w:styleId="59">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60">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61">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62">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3">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4">
    <w:name w:val="Char Char Char 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5">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6">
    <w:name w:val="自定义正文"/>
    <w:basedOn w:val="1"/>
    <w:qFormat/>
    <w:uiPriority w:val="0"/>
    <w:pPr>
      <w:spacing w:afterLines="50"/>
      <w:ind w:left="600" w:leftChars="600"/>
    </w:pPr>
  </w:style>
  <w:style w:type="paragraph" w:customStyle="1" w:styleId="67">
    <w:name w:val="Char Char Char Char Char"/>
    <w:basedOn w:val="1"/>
    <w:qFormat/>
    <w:uiPriority w:val="0"/>
    <w:rPr>
      <w:rFonts w:ascii="Tahoma" w:hAnsi="Tahoma"/>
      <w:sz w:val="24"/>
      <w:szCs w:val="20"/>
    </w:rPr>
  </w:style>
  <w:style w:type="paragraph" w:customStyle="1" w:styleId="68">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69">
    <w:name w:val="Char Char"/>
    <w:basedOn w:val="1"/>
    <w:qFormat/>
    <w:uiPriority w:val="0"/>
    <w:rPr>
      <w:rFonts w:ascii="Tahoma" w:hAnsi="Tahoma"/>
      <w:sz w:val="24"/>
      <w:szCs w:val="20"/>
    </w:rPr>
  </w:style>
  <w:style w:type="paragraph" w:customStyle="1" w:styleId="70">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71">
    <w:name w:val="标题 2 Char"/>
    <w:link w:val="2"/>
    <w:qFormat/>
    <w:uiPriority w:val="0"/>
    <w:rPr>
      <w:rFonts w:ascii="宋体" w:hAnsi="宋体" w:eastAsia="宋体"/>
      <w:b/>
      <w:bCs/>
      <w:sz w:val="24"/>
      <w:lang w:val="en-US" w:eastAsia="zh-CN" w:bidi="ar-SA"/>
    </w:rPr>
  </w:style>
  <w:style w:type="paragraph" w:customStyle="1" w:styleId="72">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styleId="73">
    <w:name w:val="List Paragraph"/>
    <w:basedOn w:val="1"/>
    <w:qFormat/>
    <w:uiPriority w:val="0"/>
    <w:pPr>
      <w:ind w:firstLine="420" w:firstLineChars="200"/>
    </w:pPr>
    <w:rPr>
      <w:rFonts w:ascii="Calibri" w:hAnsi="Calibri"/>
      <w:szCs w:val="22"/>
    </w:rPr>
  </w:style>
  <w:style w:type="paragraph" w:customStyle="1" w:styleId="74">
    <w:name w:val="USE 1"/>
    <w:basedOn w:val="1"/>
    <w:qFormat/>
    <w:uiPriority w:val="0"/>
    <w:pPr>
      <w:spacing w:line="200" w:lineRule="atLeast"/>
      <w:jc w:val="left"/>
    </w:pPr>
    <w:rPr>
      <w:rFonts w:ascii="宋体" w:hAnsi="宋体"/>
      <w:b/>
      <w:sz w:val="24"/>
      <w:szCs w:val="28"/>
    </w:rPr>
  </w:style>
  <w:style w:type="paragraph" w:customStyle="1" w:styleId="75">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76">
    <w:name w:val="正文文字缩进项目"/>
    <w:basedOn w:val="19"/>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7">
    <w:name w:val="样式 标题 2 + 段前: 13 磅 段后: 13 磅 行距: 单倍行距"/>
    <w:basedOn w:val="2"/>
    <w:qFormat/>
    <w:uiPriority w:val="0"/>
    <w:pPr>
      <w:adjustRightInd/>
      <w:jc w:val="both"/>
      <w:textAlignment w:val="auto"/>
    </w:pPr>
    <w:rPr>
      <w:rFonts w:ascii="Cambria" w:hAnsi="Cambria" w:cs="宋体"/>
      <w:kern w:val="2"/>
      <w:sz w:val="32"/>
    </w:rPr>
  </w:style>
  <w:style w:type="character" w:customStyle="1" w:styleId="78">
    <w:name w:val="H4 Char2"/>
    <w:qFormat/>
    <w:uiPriority w:val="0"/>
    <w:rPr>
      <w:rFonts w:ascii="Arial" w:hAnsi="Arial" w:eastAsia="黑体"/>
      <w:b/>
      <w:bCs/>
      <w:kern w:val="2"/>
      <w:sz w:val="28"/>
      <w:szCs w:val="28"/>
      <w:lang w:val="en-US" w:eastAsia="zh-CN" w:bidi="ar-SA"/>
    </w:rPr>
  </w:style>
  <w:style w:type="character" w:customStyle="1" w:styleId="79">
    <w:name w:val="正文文本缩进 Char"/>
    <w:link w:val="19"/>
    <w:qFormat/>
    <w:uiPriority w:val="0"/>
    <w:rPr>
      <w:rFonts w:eastAsia="宋体"/>
      <w:kern w:val="2"/>
      <w:sz w:val="21"/>
      <w:szCs w:val="24"/>
      <w:lang w:val="en-US" w:eastAsia="zh-CN" w:bidi="ar-SA"/>
    </w:rPr>
  </w:style>
  <w:style w:type="character" w:customStyle="1" w:styleId="80">
    <w:name w:val="标题 5 Char"/>
    <w:link w:val="7"/>
    <w:qFormat/>
    <w:uiPriority w:val="0"/>
    <w:rPr>
      <w:rFonts w:eastAsia="宋体"/>
      <w:b/>
      <w:kern w:val="2"/>
      <w:sz w:val="28"/>
      <w:lang w:val="en-US" w:eastAsia="zh-CN" w:bidi="ar-SA"/>
    </w:rPr>
  </w:style>
  <w:style w:type="character" w:customStyle="1" w:styleId="81">
    <w:name w:val="第*章 Char"/>
    <w:qFormat/>
    <w:uiPriority w:val="0"/>
    <w:rPr>
      <w:rFonts w:ascii="Arial" w:hAnsi="Arial" w:eastAsia="黑体"/>
      <w:b/>
      <w:bCs/>
      <w:kern w:val="2"/>
      <w:sz w:val="32"/>
      <w:szCs w:val="32"/>
    </w:rPr>
  </w:style>
  <w:style w:type="character" w:customStyle="1" w:styleId="82">
    <w:name w:val="章标题1 Char"/>
    <w:qFormat/>
    <w:uiPriority w:val="0"/>
    <w:rPr>
      <w:rFonts w:eastAsia="宋体"/>
      <w:b/>
      <w:bCs/>
      <w:kern w:val="2"/>
      <w:sz w:val="32"/>
      <w:szCs w:val="32"/>
      <w:lang w:val="en-US" w:eastAsia="zh-CN" w:bidi="ar-SA"/>
    </w:rPr>
  </w:style>
  <w:style w:type="character" w:customStyle="1" w:styleId="83">
    <w:name w:val="标题 6 Char"/>
    <w:link w:val="8"/>
    <w:qFormat/>
    <w:uiPriority w:val="0"/>
    <w:rPr>
      <w:rFonts w:ascii="Arial" w:hAnsi="Arial" w:eastAsia="黑体"/>
      <w:b/>
      <w:kern w:val="2"/>
      <w:sz w:val="24"/>
      <w:lang w:val="en-US" w:eastAsia="zh-CN" w:bidi="ar-SA"/>
    </w:rPr>
  </w:style>
  <w:style w:type="character" w:customStyle="1" w:styleId="84">
    <w:name w:val="标题 7 Char"/>
    <w:link w:val="9"/>
    <w:qFormat/>
    <w:uiPriority w:val="0"/>
    <w:rPr>
      <w:rFonts w:eastAsia="宋体"/>
      <w:b/>
      <w:kern w:val="2"/>
      <w:sz w:val="24"/>
      <w:lang w:val="en-US" w:eastAsia="zh-CN" w:bidi="ar-SA"/>
    </w:rPr>
  </w:style>
  <w:style w:type="character" w:customStyle="1" w:styleId="85">
    <w:name w:val="标题 8 Char"/>
    <w:link w:val="10"/>
    <w:qFormat/>
    <w:uiPriority w:val="0"/>
    <w:rPr>
      <w:rFonts w:ascii="Arial" w:hAnsi="Arial" w:eastAsia="黑体"/>
      <w:kern w:val="2"/>
      <w:sz w:val="24"/>
      <w:lang w:val="en-US" w:eastAsia="zh-CN" w:bidi="ar-SA"/>
    </w:rPr>
  </w:style>
  <w:style w:type="character" w:customStyle="1" w:styleId="86">
    <w:name w:val="标题 9 Char"/>
    <w:link w:val="11"/>
    <w:qFormat/>
    <w:uiPriority w:val="0"/>
    <w:rPr>
      <w:rFonts w:ascii="Arial" w:hAnsi="Arial" w:eastAsia="黑体"/>
      <w:kern w:val="2"/>
      <w:sz w:val="21"/>
      <w:lang w:val="en-US" w:eastAsia="zh-CN" w:bidi="ar-SA"/>
    </w:rPr>
  </w:style>
  <w:style w:type="character" w:customStyle="1" w:styleId="87">
    <w:name w:val="标题 Char"/>
    <w:link w:val="40"/>
    <w:qFormat/>
    <w:uiPriority w:val="0"/>
    <w:rPr>
      <w:rFonts w:ascii="Arial" w:hAnsi="Arial" w:eastAsia="隶书" w:cs="Arial"/>
      <w:b/>
      <w:bCs/>
      <w:kern w:val="2"/>
      <w:sz w:val="32"/>
      <w:szCs w:val="32"/>
      <w:lang w:val="en-US" w:eastAsia="zh-CN" w:bidi="ar-SA"/>
    </w:rPr>
  </w:style>
  <w:style w:type="character" w:customStyle="1" w:styleId="88">
    <w:name w:val="日期 Char"/>
    <w:link w:val="24"/>
    <w:qFormat/>
    <w:uiPriority w:val="0"/>
    <w:rPr>
      <w:rFonts w:ascii="宋体" w:hAnsi="Courier New" w:eastAsia="宋体"/>
      <w:kern w:val="2"/>
      <w:sz w:val="32"/>
      <w:lang w:val="en-US" w:eastAsia="zh-CN" w:bidi="ar-SA"/>
    </w:rPr>
  </w:style>
  <w:style w:type="character" w:customStyle="1" w:styleId="89">
    <w:name w:val="HTML 预设格式 Char"/>
    <w:link w:val="37"/>
    <w:qFormat/>
    <w:uiPriority w:val="0"/>
    <w:rPr>
      <w:rFonts w:ascii="Arial Unicode MS" w:hAnsi="Arial Unicode MS" w:eastAsia="Arial Unicode MS"/>
      <w:color w:val="000000"/>
      <w:lang w:val="en-US" w:eastAsia="zh-CN" w:bidi="ar-SA"/>
    </w:rPr>
  </w:style>
  <w:style w:type="character" w:customStyle="1" w:styleId="90">
    <w:name w:val="纯文本 Char"/>
    <w:link w:val="22"/>
    <w:qFormat/>
    <w:uiPriority w:val="0"/>
    <w:rPr>
      <w:rFonts w:ascii="宋体" w:hAnsi="Courier New" w:eastAsia="宋体"/>
      <w:kern w:val="2"/>
      <w:sz w:val="21"/>
      <w:lang w:val="en-US" w:eastAsia="zh-CN" w:bidi="ar-SA"/>
    </w:rPr>
  </w:style>
  <w:style w:type="character" w:customStyle="1" w:styleId="91">
    <w:name w:val="正文文字首行缩进 Char"/>
    <w:qFormat/>
    <w:uiPriority w:val="0"/>
    <w:rPr>
      <w:kern w:val="2"/>
      <w:sz w:val="21"/>
      <w:szCs w:val="24"/>
    </w:rPr>
  </w:style>
  <w:style w:type="character" w:customStyle="1" w:styleId="92">
    <w:name w:val="正文文本 Char"/>
    <w:link w:val="18"/>
    <w:qFormat/>
    <w:uiPriority w:val="0"/>
    <w:rPr>
      <w:rFonts w:eastAsia="宋体"/>
      <w:b/>
      <w:bCs/>
      <w:kern w:val="2"/>
      <w:sz w:val="24"/>
      <w:szCs w:val="24"/>
      <w:lang w:val="en-US" w:eastAsia="zh-CN" w:bidi="ar-SA"/>
    </w:rPr>
  </w:style>
  <w:style w:type="character" w:customStyle="1" w:styleId="93">
    <w:name w:val="正文文本缩进 2 Char"/>
    <w:link w:val="25"/>
    <w:qFormat/>
    <w:uiPriority w:val="0"/>
    <w:rPr>
      <w:rFonts w:ascii="宋体" w:hAnsi="宋体" w:eastAsia="宋体"/>
      <w:kern w:val="2"/>
      <w:sz w:val="21"/>
      <w:szCs w:val="24"/>
      <w:lang w:val="en-US" w:eastAsia="zh-CN" w:bidi="ar-SA"/>
    </w:rPr>
  </w:style>
  <w:style w:type="character" w:customStyle="1" w:styleId="94">
    <w:name w:val="页眉 Char"/>
    <w:link w:val="28"/>
    <w:qFormat/>
    <w:uiPriority w:val="99"/>
    <w:rPr>
      <w:rFonts w:eastAsia="宋体"/>
      <w:kern w:val="2"/>
      <w:sz w:val="18"/>
      <w:szCs w:val="18"/>
      <w:lang w:val="en-US" w:eastAsia="zh-CN" w:bidi="ar-SA"/>
    </w:rPr>
  </w:style>
  <w:style w:type="character" w:customStyle="1" w:styleId="95">
    <w:name w:val="正文文本缩进 3 Char"/>
    <w:link w:val="33"/>
    <w:qFormat/>
    <w:uiPriority w:val="0"/>
    <w:rPr>
      <w:rFonts w:ascii="宋体" w:eastAsia="宋体"/>
      <w:b/>
      <w:bCs/>
      <w:kern w:val="2"/>
      <w:sz w:val="24"/>
      <w:szCs w:val="24"/>
      <w:lang w:val="en-US" w:eastAsia="zh-CN" w:bidi="ar-SA"/>
    </w:rPr>
  </w:style>
  <w:style w:type="character" w:customStyle="1" w:styleId="96">
    <w:name w:val="正文文本 2 Char"/>
    <w:link w:val="36"/>
    <w:qFormat/>
    <w:uiPriority w:val="0"/>
    <w:rPr>
      <w:rFonts w:eastAsia="宋体"/>
      <w:kern w:val="2"/>
      <w:sz w:val="24"/>
      <w:szCs w:val="24"/>
      <w:lang w:val="en-US" w:eastAsia="zh-CN" w:bidi="ar-SA"/>
    </w:rPr>
  </w:style>
  <w:style w:type="character" w:customStyle="1" w:styleId="97">
    <w:name w:val="页脚 Char"/>
    <w:link w:val="27"/>
    <w:qFormat/>
    <w:uiPriority w:val="0"/>
    <w:rPr>
      <w:rFonts w:eastAsia="宋体"/>
      <w:kern w:val="2"/>
      <w:sz w:val="18"/>
      <w:szCs w:val="18"/>
      <w:lang w:val="en-US" w:eastAsia="zh-CN" w:bidi="ar-SA"/>
    </w:rPr>
  </w:style>
  <w:style w:type="character" w:customStyle="1" w:styleId="98">
    <w:name w:val="正文文本 3 Char"/>
    <w:link w:val="17"/>
    <w:qFormat/>
    <w:uiPriority w:val="0"/>
    <w:rPr>
      <w:rFonts w:eastAsia="宋体"/>
      <w:kern w:val="2"/>
      <w:sz w:val="16"/>
      <w:szCs w:val="16"/>
      <w:lang w:val="en-US" w:eastAsia="zh-CN" w:bidi="ar-SA"/>
    </w:rPr>
  </w:style>
  <w:style w:type="character" w:customStyle="1" w:styleId="99">
    <w:name w:val="批注框文本 Char"/>
    <w:link w:val="26"/>
    <w:semiHidden/>
    <w:qFormat/>
    <w:uiPriority w:val="99"/>
    <w:rPr>
      <w:rFonts w:eastAsia="宋体"/>
      <w:kern w:val="2"/>
      <w:sz w:val="18"/>
      <w:szCs w:val="18"/>
      <w:lang w:val="en-US" w:eastAsia="zh-CN" w:bidi="ar-SA"/>
    </w:rPr>
  </w:style>
  <w:style w:type="paragraph" w:customStyle="1" w:styleId="100">
    <w:name w:val="样式1"/>
    <w:basedOn w:val="40"/>
    <w:qFormat/>
    <w:uiPriority w:val="0"/>
    <w:pPr>
      <w:spacing w:before="120" w:after="120"/>
    </w:pPr>
    <w:rPr>
      <w:rFonts w:eastAsia="黑体"/>
      <w:b w:val="0"/>
      <w:sz w:val="30"/>
      <w:szCs w:val="21"/>
    </w:rPr>
  </w:style>
  <w:style w:type="paragraph" w:customStyle="1" w:styleId="101">
    <w:name w:val="样式2"/>
    <w:basedOn w:val="40"/>
    <w:next w:val="100"/>
    <w:qFormat/>
    <w:uiPriority w:val="0"/>
    <w:pPr>
      <w:spacing w:before="120" w:after="120"/>
    </w:pPr>
    <w:rPr>
      <w:rFonts w:eastAsia="黑体"/>
      <w:b w:val="0"/>
      <w:sz w:val="30"/>
      <w:szCs w:val="30"/>
    </w:rPr>
  </w:style>
  <w:style w:type="character" w:customStyle="1" w:styleId="102">
    <w:name w:val="标题 3 Char Char"/>
    <w:qFormat/>
    <w:uiPriority w:val="0"/>
    <w:rPr>
      <w:rFonts w:eastAsia="宋体"/>
      <w:b/>
      <w:bCs/>
      <w:kern w:val="2"/>
      <w:sz w:val="32"/>
      <w:szCs w:val="32"/>
      <w:lang w:val="en-US" w:eastAsia="zh-CN" w:bidi="ar-SA"/>
    </w:rPr>
  </w:style>
  <w:style w:type="paragraph" w:customStyle="1" w:styleId="103">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04">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05">
    <w:name w:val="--规划正文"/>
    <w:basedOn w:val="1"/>
    <w:qFormat/>
    <w:uiPriority w:val="0"/>
    <w:pPr>
      <w:spacing w:line="360" w:lineRule="auto"/>
      <w:ind w:firstLine="200" w:firstLineChars="200"/>
    </w:pPr>
    <w:rPr>
      <w:szCs w:val="20"/>
    </w:rPr>
  </w:style>
  <w:style w:type="paragraph" w:customStyle="1" w:styleId="106">
    <w:name w:val="设计依据"/>
    <w:basedOn w:val="18"/>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07">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108">
    <w:name w:val="样式4"/>
    <w:basedOn w:val="1"/>
    <w:qFormat/>
    <w:uiPriority w:val="0"/>
    <w:pPr>
      <w:tabs>
        <w:tab w:val="left" w:pos="842"/>
      </w:tabs>
      <w:spacing w:line="360" w:lineRule="auto"/>
      <w:ind w:left="842" w:hanging="420"/>
    </w:pPr>
    <w:rPr>
      <w:sz w:val="24"/>
    </w:rPr>
  </w:style>
  <w:style w:type="paragraph" w:customStyle="1" w:styleId="109">
    <w:name w:val="文字"/>
    <w:basedOn w:val="1"/>
    <w:qFormat/>
    <w:uiPriority w:val="0"/>
    <w:pPr>
      <w:tabs>
        <w:tab w:val="left" w:pos="8520"/>
      </w:tabs>
      <w:spacing w:line="312" w:lineRule="auto"/>
      <w:ind w:right="-210" w:firstLine="556"/>
    </w:pPr>
    <w:rPr>
      <w:rFonts w:ascii="宋体"/>
      <w:sz w:val="28"/>
      <w:szCs w:val="20"/>
    </w:rPr>
  </w:style>
  <w:style w:type="paragraph" w:customStyle="1" w:styleId="110">
    <w:name w:val="--规划-表格-居左"/>
    <w:basedOn w:val="105"/>
    <w:qFormat/>
    <w:uiPriority w:val="0"/>
    <w:pPr>
      <w:spacing w:line="240" w:lineRule="auto"/>
      <w:ind w:firstLine="0" w:firstLineChars="0"/>
    </w:pPr>
    <w:rPr>
      <w:sz w:val="20"/>
    </w:rPr>
  </w:style>
  <w:style w:type="paragraph" w:customStyle="1" w:styleId="111">
    <w:name w:val="--规划-表格-居中"/>
    <w:basedOn w:val="105"/>
    <w:qFormat/>
    <w:uiPriority w:val="0"/>
    <w:pPr>
      <w:spacing w:line="240" w:lineRule="auto"/>
      <w:ind w:firstLine="0" w:firstLineChars="0"/>
      <w:jc w:val="center"/>
    </w:pPr>
    <w:rPr>
      <w:sz w:val="20"/>
    </w:rPr>
  </w:style>
  <w:style w:type="paragraph" w:customStyle="1" w:styleId="112">
    <w:name w:val="--编号内缩进"/>
    <w:basedOn w:val="1"/>
    <w:qFormat/>
    <w:uiPriority w:val="0"/>
    <w:pPr>
      <w:spacing w:line="360" w:lineRule="auto"/>
      <w:ind w:left="420" w:firstLine="200" w:firstLineChars="200"/>
    </w:pPr>
    <w:rPr>
      <w:szCs w:val="21"/>
    </w:rPr>
  </w:style>
  <w:style w:type="paragraph" w:customStyle="1" w:styleId="113">
    <w:name w:val="--规划-题注"/>
    <w:basedOn w:val="1"/>
    <w:next w:val="105"/>
    <w:qFormat/>
    <w:uiPriority w:val="0"/>
    <w:pPr>
      <w:spacing w:line="360" w:lineRule="auto"/>
      <w:jc w:val="center"/>
    </w:pPr>
    <w:rPr>
      <w:rFonts w:eastAsia="黑体"/>
    </w:rPr>
  </w:style>
  <w:style w:type="paragraph" w:customStyle="1" w:styleId="114">
    <w:name w:val="--规划-图和表"/>
    <w:next w:val="105"/>
    <w:qFormat/>
    <w:uiPriority w:val="0"/>
    <w:pPr>
      <w:jc w:val="center"/>
    </w:pPr>
    <w:rPr>
      <w:rFonts w:ascii="Times New Roman" w:hAnsi="Times New Roman" w:eastAsia="宋体" w:cs="Times New Roman"/>
      <w:kern w:val="2"/>
      <w:sz w:val="21"/>
      <w:lang w:val="en-US" w:eastAsia="zh-CN" w:bidi="ar-SA"/>
    </w:rPr>
  </w:style>
  <w:style w:type="paragraph" w:customStyle="1" w:styleId="115">
    <w:name w:val="--规划-小标题"/>
    <w:basedOn w:val="1"/>
    <w:next w:val="105"/>
    <w:qFormat/>
    <w:uiPriority w:val="0"/>
    <w:pPr>
      <w:keepNext/>
      <w:keepLines/>
      <w:spacing w:line="360" w:lineRule="auto"/>
      <w:outlineLvl w:val="4"/>
    </w:pPr>
    <w:rPr>
      <w:rFonts w:eastAsia="黑体"/>
    </w:rPr>
  </w:style>
  <w:style w:type="paragraph" w:customStyle="1" w:styleId="116">
    <w:name w:val="--规划正文 Char"/>
    <w:basedOn w:val="1"/>
    <w:qFormat/>
    <w:uiPriority w:val="0"/>
    <w:pPr>
      <w:spacing w:line="360" w:lineRule="auto"/>
      <w:ind w:firstLine="200" w:firstLineChars="200"/>
    </w:pPr>
    <w:rPr>
      <w:sz w:val="24"/>
    </w:rPr>
  </w:style>
  <w:style w:type="paragraph" w:customStyle="1" w:styleId="117">
    <w:name w:val="缺省文本"/>
    <w:basedOn w:val="1"/>
    <w:qFormat/>
    <w:uiPriority w:val="0"/>
    <w:pPr>
      <w:autoSpaceDE w:val="0"/>
      <w:autoSpaceDN w:val="0"/>
      <w:adjustRightInd w:val="0"/>
      <w:jc w:val="left"/>
    </w:pPr>
    <w:rPr>
      <w:kern w:val="0"/>
    </w:rPr>
  </w:style>
  <w:style w:type="paragraph" w:customStyle="1" w:styleId="118">
    <w:name w:val="封面文档标题"/>
    <w:basedOn w:val="1"/>
    <w:qFormat/>
    <w:uiPriority w:val="0"/>
    <w:pPr>
      <w:autoSpaceDE w:val="0"/>
      <w:autoSpaceDN w:val="0"/>
      <w:adjustRightInd w:val="0"/>
      <w:spacing w:line="360" w:lineRule="auto"/>
      <w:jc w:val="center"/>
    </w:pPr>
    <w:rPr>
      <w:rFonts w:ascii="Arial" w:hAnsi="Arial"/>
      <w:b/>
      <w:kern w:val="0"/>
      <w:sz w:val="56"/>
    </w:rPr>
  </w:style>
  <w:style w:type="character" w:customStyle="1" w:styleId="119">
    <w:name w:val="--规划正文 Char Char"/>
    <w:qFormat/>
    <w:uiPriority w:val="0"/>
    <w:rPr>
      <w:rFonts w:eastAsia="宋体"/>
      <w:kern w:val="2"/>
      <w:sz w:val="24"/>
      <w:szCs w:val="24"/>
      <w:lang w:val="en-US" w:eastAsia="zh-CN" w:bidi="ar-SA"/>
    </w:rPr>
  </w:style>
  <w:style w:type="paragraph" w:customStyle="1" w:styleId="120">
    <w:name w:val="样式3"/>
    <w:basedOn w:val="4"/>
    <w:qFormat/>
    <w:uiPriority w:val="0"/>
    <w:pPr>
      <w:numPr>
        <w:ilvl w:val="0"/>
        <w:numId w:val="5"/>
      </w:numPr>
      <w:spacing w:before="240" w:after="240" w:line="480" w:lineRule="auto"/>
      <w:ind w:right="210" w:rightChars="100"/>
      <w:jc w:val="left"/>
    </w:pPr>
    <w:rPr>
      <w:rFonts w:ascii="Times New Roman" w:hAnsi="Times New Roman"/>
      <w:sz w:val="32"/>
    </w:rPr>
  </w:style>
  <w:style w:type="character" w:customStyle="1" w:styleId="121">
    <w:name w:val="--规划正文 Char1"/>
    <w:qFormat/>
    <w:uiPriority w:val="0"/>
    <w:rPr>
      <w:rFonts w:eastAsia="宋体"/>
      <w:kern w:val="2"/>
      <w:sz w:val="21"/>
      <w:lang w:val="en-US" w:eastAsia="zh-CN" w:bidi="ar-SA"/>
    </w:rPr>
  </w:style>
  <w:style w:type="paragraph" w:customStyle="1" w:styleId="122">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3">
    <w:name w:val="列表项目"/>
    <w:basedOn w:val="1"/>
    <w:qFormat/>
    <w:uiPriority w:val="0"/>
    <w:pPr>
      <w:tabs>
        <w:tab w:val="left" w:pos="420"/>
        <w:tab w:val="left" w:pos="1080"/>
      </w:tabs>
      <w:spacing w:line="288" w:lineRule="auto"/>
      <w:ind w:left="1080" w:hanging="360"/>
    </w:pPr>
    <w:rPr>
      <w:sz w:val="24"/>
      <w:szCs w:val="20"/>
    </w:rPr>
  </w:style>
  <w:style w:type="character" w:customStyle="1" w:styleId="124">
    <w:name w:val="content1"/>
    <w:qFormat/>
    <w:uiPriority w:val="0"/>
    <w:rPr>
      <w:rFonts w:hint="default" w:ascii="??" w:hAnsi="??"/>
      <w:sz w:val="16"/>
      <w:szCs w:val="16"/>
      <w:u w:val="none"/>
    </w:rPr>
  </w:style>
  <w:style w:type="character" w:customStyle="1" w:styleId="125">
    <w:name w:val="unnamed4"/>
    <w:basedOn w:val="46"/>
    <w:qFormat/>
    <w:uiPriority w:val="0"/>
  </w:style>
  <w:style w:type="character" w:customStyle="1" w:styleId="126">
    <w:name w:val="font2"/>
    <w:basedOn w:val="46"/>
    <w:qFormat/>
    <w:uiPriority w:val="0"/>
  </w:style>
  <w:style w:type="character" w:customStyle="1" w:styleId="127">
    <w:name w:val="font41"/>
    <w:qFormat/>
    <w:uiPriority w:val="0"/>
    <w:rPr>
      <w:color w:val="000000"/>
      <w:spacing w:val="260"/>
      <w:sz w:val="18"/>
      <w:szCs w:val="18"/>
      <w:u w:val="none"/>
    </w:rPr>
  </w:style>
  <w:style w:type="paragraph" w:customStyle="1" w:styleId="128">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29">
    <w:name w:val="xl72"/>
    <w:basedOn w:val="1"/>
    <w:qFormat/>
    <w:uiPriority w:val="0"/>
    <w:pPr>
      <w:widowControl/>
      <w:spacing w:before="100" w:beforeAutospacing="1" w:after="100" w:afterAutospacing="1"/>
      <w:jc w:val="left"/>
    </w:pPr>
    <w:rPr>
      <w:rFonts w:ascii="宋体" w:hAnsi="宋体"/>
      <w:b/>
      <w:bCs/>
      <w:kern w:val="0"/>
      <w:sz w:val="28"/>
      <w:szCs w:val="28"/>
    </w:rPr>
  </w:style>
  <w:style w:type="character" w:customStyle="1" w:styleId="130">
    <w:name w:val="正文首行缩进 Char"/>
    <w:link w:val="42"/>
    <w:qFormat/>
    <w:uiPriority w:val="0"/>
    <w:rPr>
      <w:rFonts w:eastAsia="宋体"/>
      <w:b/>
      <w:bCs/>
      <w:kern w:val="2"/>
      <w:sz w:val="21"/>
      <w:szCs w:val="24"/>
      <w:lang w:val="en-US" w:eastAsia="zh-CN" w:bidi="ar-SA"/>
    </w:rPr>
  </w:style>
  <w:style w:type="paragraph" w:customStyle="1" w:styleId="131">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2">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3">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34">
    <w:name w:val="mode"/>
    <w:basedOn w:val="46"/>
    <w:qFormat/>
    <w:uiPriority w:val="0"/>
  </w:style>
  <w:style w:type="paragraph" w:customStyle="1" w:styleId="135">
    <w:name w:val="9"/>
    <w:basedOn w:val="1"/>
    <w:next w:val="3"/>
    <w:qFormat/>
    <w:uiPriority w:val="0"/>
    <w:pPr>
      <w:autoSpaceDE w:val="0"/>
      <w:autoSpaceDN w:val="0"/>
      <w:adjustRightInd w:val="0"/>
      <w:ind w:firstLine="420"/>
      <w:jc w:val="left"/>
      <w:textAlignment w:val="baseline"/>
    </w:pPr>
    <w:rPr>
      <w:rFonts w:ascii="宋体"/>
      <w:kern w:val="0"/>
      <w:sz w:val="34"/>
      <w:szCs w:val="20"/>
    </w:rPr>
  </w:style>
  <w:style w:type="character" w:customStyle="1" w:styleId="136">
    <w:name w:val="unnamed3"/>
    <w:basedOn w:val="46"/>
    <w:qFormat/>
    <w:uiPriority w:val="0"/>
  </w:style>
  <w:style w:type="paragraph" w:customStyle="1" w:styleId="137">
    <w:name w:val="8"/>
    <w:basedOn w:val="1"/>
    <w:next w:val="19"/>
    <w:qFormat/>
    <w:uiPriority w:val="0"/>
    <w:pPr>
      <w:spacing w:after="120"/>
      <w:ind w:left="420" w:leftChars="200"/>
    </w:pPr>
  </w:style>
  <w:style w:type="paragraph" w:customStyle="1" w:styleId="138">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39">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40">
    <w:name w:val="5"/>
    <w:basedOn w:val="1"/>
    <w:qFormat/>
    <w:uiPriority w:val="0"/>
    <w:pPr>
      <w:autoSpaceDE w:val="0"/>
      <w:autoSpaceDN w:val="0"/>
      <w:adjustRightInd w:val="0"/>
      <w:jc w:val="left"/>
    </w:pPr>
    <w:rPr>
      <w:rFonts w:ascii="宋体"/>
      <w:b/>
      <w:bCs/>
      <w:kern w:val="0"/>
      <w:sz w:val="18"/>
      <w:szCs w:val="18"/>
    </w:rPr>
  </w:style>
  <w:style w:type="paragraph" w:customStyle="1" w:styleId="141">
    <w:name w:val="6"/>
    <w:basedOn w:val="140"/>
    <w:qFormat/>
    <w:uiPriority w:val="0"/>
    <w:pPr>
      <w:spacing w:line="270" w:lineRule="atLeast"/>
      <w:jc w:val="both"/>
    </w:pPr>
    <w:rPr>
      <w:b w:val="0"/>
      <w:bCs w:val="0"/>
    </w:rPr>
  </w:style>
  <w:style w:type="paragraph" w:customStyle="1" w:styleId="142">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3">
    <w:name w:val="姜文清定义的正文"/>
    <w:basedOn w:val="1"/>
    <w:qFormat/>
    <w:uiPriority w:val="0"/>
    <w:pPr>
      <w:spacing w:line="240" w:lineRule="atLeast"/>
      <w:ind w:firstLine="567"/>
    </w:pPr>
    <w:rPr>
      <w:szCs w:val="20"/>
    </w:rPr>
  </w:style>
  <w:style w:type="paragraph" w:customStyle="1" w:styleId="144">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45">
    <w:name w:val="CM2"/>
    <w:basedOn w:val="144"/>
    <w:next w:val="144"/>
    <w:qFormat/>
    <w:uiPriority w:val="0"/>
    <w:pPr>
      <w:spacing w:line="200" w:lineRule="atLeast"/>
    </w:pPr>
    <w:rPr>
      <w:rFonts w:ascii="Arial" w:hAnsi="Arial" w:eastAsia="宋体" w:cs="Times New Roman"/>
      <w:color w:val="auto"/>
    </w:rPr>
  </w:style>
  <w:style w:type="paragraph" w:customStyle="1" w:styleId="146">
    <w:name w:val="Normal Paragraph"/>
    <w:basedOn w:val="1"/>
    <w:qFormat/>
    <w:uiPriority w:val="0"/>
    <w:pPr>
      <w:widowControl/>
      <w:spacing w:before="120" w:line="360" w:lineRule="auto"/>
      <w:ind w:firstLine="425"/>
    </w:pPr>
    <w:rPr>
      <w:kern w:val="0"/>
      <w:sz w:val="24"/>
    </w:rPr>
  </w:style>
  <w:style w:type="character" w:customStyle="1" w:styleId="147">
    <w:name w:val="blue"/>
    <w:basedOn w:val="46"/>
    <w:qFormat/>
    <w:uiPriority w:val="0"/>
  </w:style>
  <w:style w:type="paragraph" w:customStyle="1" w:styleId="148">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49">
    <w:name w:val="font"/>
    <w:basedOn w:val="46"/>
    <w:qFormat/>
    <w:uiPriority w:val="0"/>
  </w:style>
  <w:style w:type="character" w:customStyle="1" w:styleId="150">
    <w:name w:val="font11"/>
    <w:qFormat/>
    <w:uiPriority w:val="0"/>
    <w:rPr>
      <w:rFonts w:hint="default" w:ascii="ˎ̥" w:hAnsi="ˎ̥"/>
    </w:rPr>
  </w:style>
  <w:style w:type="paragraph" w:customStyle="1" w:styleId="151">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2">
    <w:name w:val="proddescription"/>
    <w:basedOn w:val="46"/>
    <w:qFormat/>
    <w:uiPriority w:val="0"/>
  </w:style>
  <w:style w:type="character" w:customStyle="1" w:styleId="153">
    <w:name w:val="prodheadlines"/>
    <w:basedOn w:val="46"/>
    <w:qFormat/>
    <w:uiPriority w:val="0"/>
  </w:style>
  <w:style w:type="character" w:customStyle="1" w:styleId="154">
    <w:name w:val="text"/>
    <w:basedOn w:val="46"/>
    <w:qFormat/>
    <w:uiPriority w:val="0"/>
  </w:style>
  <w:style w:type="paragraph" w:customStyle="1" w:styleId="155">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56">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57">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58">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59">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60">
    <w:name w:val="段落正文"/>
    <w:basedOn w:val="22"/>
    <w:qFormat/>
    <w:uiPriority w:val="0"/>
    <w:pPr>
      <w:ind w:firstLine="560" w:firstLineChars="200"/>
    </w:pPr>
    <w:rPr>
      <w:sz w:val="28"/>
    </w:rPr>
  </w:style>
  <w:style w:type="character" w:customStyle="1" w:styleId="161">
    <w:name w:val="gray6"/>
    <w:basedOn w:val="46"/>
    <w:qFormat/>
    <w:uiPriority w:val="0"/>
  </w:style>
  <w:style w:type="character" w:customStyle="1" w:styleId="162">
    <w:name w:val="style9"/>
    <w:basedOn w:val="46"/>
    <w:qFormat/>
    <w:uiPriority w:val="0"/>
  </w:style>
  <w:style w:type="paragraph" w:customStyle="1" w:styleId="163">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character" w:customStyle="1" w:styleId="164">
    <w:name w:val="grame"/>
    <w:basedOn w:val="46"/>
    <w:qFormat/>
    <w:uiPriority w:val="0"/>
  </w:style>
  <w:style w:type="paragraph" w:customStyle="1" w:styleId="165">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6">
    <w:name w:val="Char1"/>
    <w:basedOn w:val="1"/>
    <w:qFormat/>
    <w:uiPriority w:val="0"/>
    <w:pPr>
      <w:jc w:val="left"/>
    </w:pPr>
    <w:rPr>
      <w:rFonts w:ascii="Tahoma" w:hAnsi="Tahoma"/>
      <w:sz w:val="24"/>
      <w:szCs w:val="20"/>
    </w:rPr>
  </w:style>
  <w:style w:type="paragraph" w:customStyle="1" w:styleId="167">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68">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69">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70">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71">
    <w:name w:val="font6"/>
    <w:basedOn w:val="1"/>
    <w:qFormat/>
    <w:uiPriority w:val="0"/>
    <w:pPr>
      <w:widowControl/>
      <w:spacing w:before="100" w:beforeAutospacing="1" w:after="100" w:afterAutospacing="1"/>
      <w:jc w:val="left"/>
    </w:pPr>
    <w:rPr>
      <w:kern w:val="0"/>
      <w:sz w:val="24"/>
    </w:rPr>
  </w:style>
  <w:style w:type="paragraph" w:customStyle="1" w:styleId="172">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3">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74">
    <w:name w:val="表格字"/>
    <w:basedOn w:val="1"/>
    <w:qFormat/>
    <w:uiPriority w:val="0"/>
    <w:pPr>
      <w:adjustRightInd w:val="0"/>
      <w:jc w:val="center"/>
    </w:pPr>
    <w:rPr>
      <w:rFonts w:ascii="宋体"/>
      <w:sz w:val="24"/>
      <w:szCs w:val="20"/>
    </w:rPr>
  </w:style>
  <w:style w:type="character" w:customStyle="1" w:styleId="175">
    <w:name w:val="样式 小三 加粗"/>
    <w:qFormat/>
    <w:uiPriority w:val="0"/>
    <w:rPr>
      <w:rFonts w:eastAsia="宋体"/>
      <w:b/>
      <w:bCs/>
      <w:sz w:val="32"/>
    </w:rPr>
  </w:style>
  <w:style w:type="paragraph" w:customStyle="1" w:styleId="176">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7">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78">
    <w:name w:val="Char Char Char"/>
    <w:basedOn w:val="1"/>
    <w:qFormat/>
    <w:uiPriority w:val="0"/>
    <w:rPr>
      <w:rFonts w:ascii="Tahoma" w:hAnsi="Tahoma"/>
      <w:sz w:val="24"/>
      <w:szCs w:val="20"/>
    </w:rPr>
  </w:style>
  <w:style w:type="paragraph" w:customStyle="1" w:styleId="179">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0">
    <w:name w:val="info4"/>
    <w:basedOn w:val="46"/>
    <w:qFormat/>
    <w:uiPriority w:val="0"/>
  </w:style>
  <w:style w:type="paragraph" w:customStyle="1" w:styleId="181">
    <w:name w:val="缩进正文"/>
    <w:basedOn w:val="1"/>
    <w:link w:val="182"/>
    <w:qFormat/>
    <w:uiPriority w:val="0"/>
    <w:pPr>
      <w:ind w:firstLine="560" w:firstLineChars="200"/>
    </w:pPr>
    <w:rPr>
      <w:rFonts w:eastAsia="仿宋_GB2312" w:cs="宋体"/>
      <w:sz w:val="28"/>
      <w:szCs w:val="20"/>
    </w:rPr>
  </w:style>
  <w:style w:type="character" w:customStyle="1" w:styleId="182">
    <w:name w:val="缩进正文 Char"/>
    <w:link w:val="181"/>
    <w:qFormat/>
    <w:uiPriority w:val="0"/>
    <w:rPr>
      <w:rFonts w:eastAsia="仿宋_GB2312" w:cs="宋体"/>
      <w:kern w:val="2"/>
      <w:sz w:val="28"/>
      <w:lang w:val="en-US" w:eastAsia="zh-CN" w:bidi="ar-SA"/>
    </w:rPr>
  </w:style>
  <w:style w:type="paragraph" w:customStyle="1" w:styleId="183">
    <w:name w:val="列出段落1"/>
    <w:basedOn w:val="1"/>
    <w:qFormat/>
    <w:uiPriority w:val="0"/>
    <w:pPr>
      <w:ind w:firstLine="420" w:firstLineChars="200"/>
    </w:pPr>
    <w:rPr>
      <w:rFonts w:ascii="Calibri" w:hAnsi="Calibri" w:cs="Calibri"/>
      <w:szCs w:val="21"/>
    </w:rPr>
  </w:style>
  <w:style w:type="character" w:customStyle="1" w:styleId="184">
    <w:name w:val="批注文字 Char"/>
    <w:basedOn w:val="46"/>
    <w:link w:val="16"/>
    <w:qFormat/>
    <w:uiPriority w:val="0"/>
    <w:rPr>
      <w:rFonts w:ascii="宋体"/>
      <w:sz w:val="34"/>
    </w:rPr>
  </w:style>
  <w:style w:type="character" w:customStyle="1" w:styleId="185">
    <w:name w:val="批注主题 Char"/>
    <w:basedOn w:val="184"/>
    <w:link w:val="41"/>
    <w:qFormat/>
    <w:uiPriority w:val="99"/>
    <w:rPr>
      <w:rFonts w:ascii="宋体"/>
      <w:sz w:val="34"/>
    </w:rPr>
  </w:style>
  <w:style w:type="paragraph" w:customStyle="1" w:styleId="186">
    <w:name w:val="评价"/>
    <w:basedOn w:val="1"/>
    <w:qFormat/>
    <w:uiPriority w:val="0"/>
    <w:pPr>
      <w:spacing w:afterLines="20"/>
      <w:ind w:firstLine="1446" w:firstLineChars="200"/>
    </w:pPr>
    <w:rPr>
      <w:rFonts w:ascii="Calibri" w:hAnsi="Calibri"/>
      <w:sz w:val="24"/>
    </w:rPr>
  </w:style>
  <w:style w:type="paragraph" w:customStyle="1" w:styleId="18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8">
    <w:name w:val="alt-edited1"/>
    <w:qFormat/>
    <w:uiPriority w:val="0"/>
    <w:rPr>
      <w:color w:val="4D90F0"/>
    </w:rPr>
  </w:style>
  <w:style w:type="paragraph" w:customStyle="1" w:styleId="189">
    <w:name w:val="toc 14"/>
    <w:next w:val="1"/>
    <w:qFormat/>
    <w:uiPriority w:val="0"/>
    <w:pPr>
      <w:wordWrap w:val="0"/>
      <w:jc w:val="both"/>
    </w:pPr>
    <w:rPr>
      <w:rFonts w:ascii="Calibri" w:hAnsi="Calibri" w:eastAsia="宋体" w:cs="Times New Roman"/>
      <w:sz w:val="21"/>
      <w:lang w:val="en-US" w:eastAsia="zh-CN" w:bidi="ar-SA"/>
    </w:rPr>
  </w:style>
  <w:style w:type="character" w:customStyle="1" w:styleId="190">
    <w:name w:val="文档结构图 Char1"/>
    <w:semiHidden/>
    <w:qFormat/>
    <w:uiPriority w:val="0"/>
    <w:rPr>
      <w:sz w:val="20"/>
    </w:rPr>
  </w:style>
  <w:style w:type="character" w:customStyle="1" w:styleId="191">
    <w:name w:val="文档结构图 Char"/>
    <w:semiHidden/>
    <w:qFormat/>
    <w:uiPriority w:val="0"/>
    <w:rPr>
      <w:sz w:val="20"/>
    </w:rPr>
  </w:style>
  <w:style w:type="character" w:customStyle="1" w:styleId="192">
    <w:name w:val="short_text"/>
    <w:basedOn w:val="46"/>
    <w:qFormat/>
    <w:uiPriority w:val="0"/>
    <w:rPr>
      <w:sz w:val="20"/>
    </w:rPr>
  </w:style>
  <w:style w:type="character" w:customStyle="1" w:styleId="193">
    <w:name w:val="标题 Char1"/>
    <w:qFormat/>
    <w:uiPriority w:val="0"/>
    <w:rPr>
      <w:b/>
      <w:sz w:val="20"/>
    </w:rPr>
  </w:style>
  <w:style w:type="character" w:customStyle="1" w:styleId="194">
    <w:name w:val="正文文本缩进 3 Char1"/>
    <w:semiHidden/>
    <w:qFormat/>
    <w:uiPriority w:val="0"/>
    <w:rPr>
      <w:sz w:val="20"/>
    </w:rPr>
  </w:style>
  <w:style w:type="character" w:customStyle="1" w:styleId="195">
    <w:name w:val="font21"/>
    <w:qFormat/>
    <w:uiPriority w:val="0"/>
    <w:rPr>
      <w:color w:val="FF0000"/>
      <w:sz w:val="20"/>
      <w:u w:val="none"/>
    </w:rPr>
  </w:style>
  <w:style w:type="character" w:customStyle="1" w:styleId="196">
    <w:name w:val="不明显强调1"/>
    <w:qFormat/>
    <w:uiPriority w:val="0"/>
    <w:rPr>
      <w:i/>
      <w:sz w:val="20"/>
    </w:rPr>
  </w:style>
  <w:style w:type="character" w:customStyle="1" w:styleId="197">
    <w:name w:val="font71"/>
    <w:qFormat/>
    <w:uiPriority w:val="0"/>
    <w:rPr>
      <w:sz w:val="20"/>
      <w:u w:val="none"/>
    </w:rPr>
  </w:style>
  <w:style w:type="character" w:customStyle="1" w:styleId="198">
    <w:name w:val="页眉 Char1"/>
    <w:semiHidden/>
    <w:qFormat/>
    <w:uiPriority w:val="0"/>
    <w:rPr>
      <w:sz w:val="20"/>
    </w:rPr>
  </w:style>
  <w:style w:type="character" w:customStyle="1" w:styleId="199">
    <w:name w:val="正文文本缩进 2 Char1"/>
    <w:semiHidden/>
    <w:qFormat/>
    <w:uiPriority w:val="0"/>
    <w:rPr>
      <w:sz w:val="20"/>
    </w:rPr>
  </w:style>
  <w:style w:type="character" w:customStyle="1" w:styleId="200">
    <w:name w:val="font61"/>
    <w:qFormat/>
    <w:uiPriority w:val="0"/>
    <w:rPr>
      <w:sz w:val="20"/>
      <w:u w:val="none"/>
    </w:rPr>
  </w:style>
  <w:style w:type="character" w:customStyle="1" w:styleId="201">
    <w:name w:val="纯文本 Char1"/>
    <w:semiHidden/>
    <w:qFormat/>
    <w:uiPriority w:val="0"/>
    <w:rPr>
      <w:sz w:val="20"/>
    </w:rPr>
  </w:style>
  <w:style w:type="character" w:customStyle="1" w:styleId="202">
    <w:name w:val="正文文本 3 Char1"/>
    <w:semiHidden/>
    <w:qFormat/>
    <w:uiPriority w:val="0"/>
    <w:rPr>
      <w:sz w:val="20"/>
    </w:rPr>
  </w:style>
  <w:style w:type="character" w:customStyle="1" w:styleId="203">
    <w:name w:val="正文文本缩进 Char1"/>
    <w:semiHidden/>
    <w:qFormat/>
    <w:uiPriority w:val="0"/>
    <w:rPr>
      <w:sz w:val="20"/>
    </w:rPr>
  </w:style>
  <w:style w:type="character" w:customStyle="1" w:styleId="204">
    <w:name w:val="明显参考1"/>
    <w:qFormat/>
    <w:uiPriority w:val="0"/>
    <w:rPr>
      <w:b/>
      <w:sz w:val="20"/>
    </w:rPr>
  </w:style>
  <w:style w:type="character" w:customStyle="1" w:styleId="205">
    <w:name w:val="apple-converted-space"/>
    <w:qFormat/>
    <w:uiPriority w:val="0"/>
    <w:rPr>
      <w:sz w:val="20"/>
    </w:rPr>
  </w:style>
  <w:style w:type="character" w:customStyle="1" w:styleId="206">
    <w:name w:val="书籍标题1"/>
    <w:qFormat/>
    <w:uiPriority w:val="0"/>
    <w:rPr>
      <w:b/>
      <w:i/>
      <w:sz w:val="20"/>
    </w:rPr>
  </w:style>
  <w:style w:type="character" w:customStyle="1" w:styleId="207">
    <w:name w:val="long_text"/>
    <w:qFormat/>
    <w:uiPriority w:val="0"/>
    <w:rPr>
      <w:sz w:val="20"/>
    </w:rPr>
  </w:style>
  <w:style w:type="character" w:customStyle="1" w:styleId="208">
    <w:name w:val="日期 Char1"/>
    <w:semiHidden/>
    <w:qFormat/>
    <w:uiPriority w:val="0"/>
    <w:rPr>
      <w:sz w:val="20"/>
    </w:rPr>
  </w:style>
  <w:style w:type="character" w:customStyle="1" w:styleId="209">
    <w:name w:val="批注文字 Char1"/>
    <w:semiHidden/>
    <w:qFormat/>
    <w:uiPriority w:val="0"/>
    <w:rPr>
      <w:sz w:val="20"/>
    </w:rPr>
  </w:style>
  <w:style w:type="character" w:customStyle="1" w:styleId="210">
    <w:name w:val="明显强调1"/>
    <w:qFormat/>
    <w:uiPriority w:val="0"/>
    <w:rPr>
      <w:i/>
      <w:sz w:val="20"/>
    </w:rPr>
  </w:style>
  <w:style w:type="character" w:customStyle="1" w:styleId="211">
    <w:name w:val="16"/>
    <w:qFormat/>
    <w:uiPriority w:val="0"/>
    <w:rPr>
      <w:b/>
      <w:color w:val="FF0356"/>
      <w:sz w:val="20"/>
    </w:rPr>
  </w:style>
  <w:style w:type="character" w:customStyle="1" w:styleId="212">
    <w:name w:val="批注主题 Char1"/>
    <w:semiHidden/>
    <w:qFormat/>
    <w:uiPriority w:val="0"/>
    <w:rPr>
      <w:b/>
      <w:sz w:val="20"/>
    </w:rPr>
  </w:style>
  <w:style w:type="character" w:customStyle="1" w:styleId="213">
    <w:name w:val="正文文本 2 Char1"/>
    <w:semiHidden/>
    <w:qFormat/>
    <w:uiPriority w:val="0"/>
    <w:rPr>
      <w:sz w:val="20"/>
    </w:rPr>
  </w:style>
  <w:style w:type="character" w:customStyle="1" w:styleId="214">
    <w:name w:val="font31"/>
    <w:qFormat/>
    <w:uiPriority w:val="0"/>
    <w:rPr>
      <w:color w:val="FF0000"/>
      <w:sz w:val="20"/>
      <w:u w:val="none"/>
      <w:vertAlign w:val="superscript"/>
    </w:rPr>
  </w:style>
  <w:style w:type="character" w:customStyle="1" w:styleId="215">
    <w:name w:val="不明显参考1"/>
    <w:qFormat/>
    <w:uiPriority w:val="0"/>
    <w:rPr>
      <w:sz w:val="20"/>
    </w:rPr>
  </w:style>
  <w:style w:type="character" w:customStyle="1" w:styleId="216">
    <w:name w:val="HTML 预设格式 Char1"/>
    <w:semiHidden/>
    <w:qFormat/>
    <w:uiPriority w:val="0"/>
    <w:rPr>
      <w:sz w:val="20"/>
    </w:rPr>
  </w:style>
  <w:style w:type="character" w:customStyle="1" w:styleId="217">
    <w:name w:val="font01"/>
    <w:qFormat/>
    <w:uiPriority w:val="0"/>
    <w:rPr>
      <w:color w:val="FF0000"/>
      <w:sz w:val="20"/>
      <w:u w:val="none"/>
      <w:vertAlign w:val="superscript"/>
    </w:rPr>
  </w:style>
  <w:style w:type="character" w:customStyle="1" w:styleId="218">
    <w:name w:val="页脚 Char1"/>
    <w:semiHidden/>
    <w:qFormat/>
    <w:uiPriority w:val="0"/>
    <w:rPr>
      <w:sz w:val="20"/>
    </w:rPr>
  </w:style>
  <w:style w:type="character" w:customStyle="1" w:styleId="219">
    <w:name w:val="批注框文本 Char1"/>
    <w:semiHidden/>
    <w:qFormat/>
    <w:uiPriority w:val="0"/>
    <w:rPr>
      <w:sz w:val="20"/>
    </w:rPr>
  </w:style>
  <w:style w:type="paragraph" w:customStyle="1" w:styleId="220">
    <w:name w:val="列出段落2"/>
    <w:basedOn w:val="1"/>
    <w:next w:val="221"/>
    <w:qFormat/>
    <w:uiPriority w:val="0"/>
    <w:pPr>
      <w:ind w:firstLine="420"/>
    </w:pPr>
    <w:rPr>
      <w:rFonts w:hAnsi="Calibri"/>
      <w:kern w:val="0"/>
      <w:szCs w:val="20"/>
    </w:rPr>
  </w:style>
  <w:style w:type="paragraph" w:customStyle="1" w:styleId="221">
    <w:name w:val="toc 814"/>
    <w:next w:val="1"/>
    <w:qFormat/>
    <w:uiPriority w:val="0"/>
    <w:pPr>
      <w:wordWrap w:val="0"/>
      <w:ind w:left="2975"/>
      <w:jc w:val="both"/>
    </w:pPr>
    <w:rPr>
      <w:rFonts w:ascii="Calibri" w:hAnsi="Calibri" w:eastAsia="宋体" w:cs="Times New Roman"/>
      <w:sz w:val="21"/>
      <w:lang w:val="en-US" w:eastAsia="zh-CN" w:bidi="ar-SA"/>
    </w:rPr>
  </w:style>
  <w:style w:type="paragraph" w:customStyle="1" w:styleId="222">
    <w:name w:val="toc 62"/>
    <w:next w:val="1"/>
    <w:qFormat/>
    <w:uiPriority w:val="0"/>
    <w:pPr>
      <w:wordWrap w:val="0"/>
      <w:ind w:left="2125"/>
      <w:jc w:val="both"/>
    </w:pPr>
    <w:rPr>
      <w:rFonts w:ascii="Calibri" w:hAnsi="Calibri" w:eastAsia="宋体" w:cs="Times New Roman"/>
      <w:sz w:val="21"/>
      <w:lang w:val="en-US" w:eastAsia="zh-CN" w:bidi="ar-SA"/>
    </w:rPr>
  </w:style>
  <w:style w:type="paragraph" w:customStyle="1" w:styleId="223">
    <w:name w:val="toc 414"/>
    <w:next w:val="1"/>
    <w:qFormat/>
    <w:uiPriority w:val="0"/>
    <w:pPr>
      <w:wordWrap w:val="0"/>
      <w:ind w:left="1275"/>
      <w:jc w:val="both"/>
    </w:pPr>
    <w:rPr>
      <w:rFonts w:ascii="Calibri" w:hAnsi="Calibri" w:eastAsia="宋体" w:cs="Times New Roman"/>
      <w:sz w:val="21"/>
      <w:lang w:val="en-US" w:eastAsia="zh-CN" w:bidi="ar-SA"/>
    </w:rPr>
  </w:style>
  <w:style w:type="paragraph" w:customStyle="1" w:styleId="224">
    <w:name w:val="toc 411"/>
    <w:next w:val="1"/>
    <w:qFormat/>
    <w:uiPriority w:val="0"/>
    <w:pPr>
      <w:wordWrap w:val="0"/>
      <w:ind w:left="1275"/>
      <w:jc w:val="both"/>
    </w:pPr>
    <w:rPr>
      <w:rFonts w:ascii="Calibri" w:hAnsi="Calibri" w:eastAsia="宋体" w:cs="Times New Roman"/>
      <w:sz w:val="21"/>
      <w:lang w:val="en-US" w:eastAsia="zh-CN" w:bidi="ar-SA"/>
    </w:rPr>
  </w:style>
  <w:style w:type="paragraph" w:customStyle="1" w:styleId="225">
    <w:name w:val="xl86"/>
    <w:basedOn w:val="1"/>
    <w:next w:val="226"/>
    <w:qFormat/>
    <w:uiPriority w:val="0"/>
    <w:pPr>
      <w:widowControl/>
      <w:shd w:val="clear" w:color="000000" w:fill="FFFFFF"/>
      <w:spacing w:before="280" w:after="280"/>
      <w:jc w:val="center"/>
    </w:pPr>
    <w:rPr>
      <w:rFonts w:ascii="宋体" w:hAnsi="Calibri"/>
      <w:kern w:val="0"/>
      <w:sz w:val="20"/>
      <w:szCs w:val="20"/>
    </w:rPr>
  </w:style>
  <w:style w:type="paragraph" w:customStyle="1" w:styleId="226">
    <w:name w:val="toc 515"/>
    <w:next w:val="1"/>
    <w:qFormat/>
    <w:uiPriority w:val="0"/>
    <w:pPr>
      <w:wordWrap w:val="0"/>
      <w:ind w:left="1700"/>
      <w:jc w:val="both"/>
    </w:pPr>
    <w:rPr>
      <w:rFonts w:ascii="Calibri" w:hAnsi="Calibri" w:eastAsia="宋体" w:cs="Times New Roman"/>
      <w:sz w:val="21"/>
      <w:lang w:val="en-US" w:eastAsia="zh-CN" w:bidi="ar-SA"/>
    </w:rPr>
  </w:style>
  <w:style w:type="paragraph" w:customStyle="1" w:styleId="227">
    <w:name w:val="TOC Heading4"/>
    <w:next w:val="1"/>
    <w:qFormat/>
    <w:uiPriority w:val="0"/>
    <w:pPr>
      <w:wordWrap w:val="0"/>
    </w:pPr>
    <w:rPr>
      <w:rFonts w:ascii="Calibri" w:hAnsi="Calibri" w:eastAsia="宋体" w:cs="Times New Roman"/>
      <w:sz w:val="32"/>
      <w:lang w:val="en-US" w:eastAsia="zh-CN" w:bidi="ar-SA"/>
    </w:rPr>
  </w:style>
  <w:style w:type="paragraph" w:customStyle="1" w:styleId="228">
    <w:name w:val="toc 15"/>
    <w:next w:val="1"/>
    <w:qFormat/>
    <w:uiPriority w:val="0"/>
    <w:pPr>
      <w:wordWrap w:val="0"/>
      <w:jc w:val="both"/>
    </w:pPr>
    <w:rPr>
      <w:rFonts w:ascii="Calibri" w:hAnsi="Calibri" w:eastAsia="宋体" w:cs="Times New Roman"/>
      <w:sz w:val="21"/>
      <w:lang w:val="en-US" w:eastAsia="zh-CN" w:bidi="ar-SA"/>
    </w:rPr>
  </w:style>
  <w:style w:type="paragraph" w:customStyle="1" w:styleId="229">
    <w:name w:val="TOC Heading2"/>
    <w:next w:val="1"/>
    <w:qFormat/>
    <w:uiPriority w:val="0"/>
    <w:pPr>
      <w:wordWrap w:val="0"/>
    </w:pPr>
    <w:rPr>
      <w:rFonts w:ascii="Calibri" w:hAnsi="Calibri" w:eastAsia="宋体" w:cs="Times New Roman"/>
      <w:sz w:val="32"/>
      <w:lang w:val="en-US" w:eastAsia="zh-CN" w:bidi="ar-SA"/>
    </w:rPr>
  </w:style>
  <w:style w:type="paragraph" w:customStyle="1" w:styleId="230">
    <w:name w:val="TOC Heading1"/>
    <w:next w:val="1"/>
    <w:qFormat/>
    <w:uiPriority w:val="0"/>
    <w:pPr>
      <w:wordWrap w:val="0"/>
    </w:pPr>
    <w:rPr>
      <w:rFonts w:ascii="Calibri" w:hAnsi="Calibri" w:eastAsia="宋体" w:cs="Times New Roman"/>
      <w:sz w:val="32"/>
      <w:lang w:val="en-US" w:eastAsia="zh-CN" w:bidi="ar-SA"/>
    </w:rPr>
  </w:style>
  <w:style w:type="paragraph" w:customStyle="1" w:styleId="231">
    <w:name w:val="toc 73"/>
    <w:next w:val="1"/>
    <w:qFormat/>
    <w:uiPriority w:val="0"/>
    <w:pPr>
      <w:wordWrap w:val="0"/>
      <w:ind w:left="2550"/>
      <w:jc w:val="both"/>
    </w:pPr>
    <w:rPr>
      <w:rFonts w:ascii="Calibri" w:hAnsi="Calibri" w:eastAsia="宋体" w:cs="Times New Roman"/>
      <w:sz w:val="21"/>
      <w:lang w:val="en-US" w:eastAsia="zh-CN" w:bidi="ar-SA"/>
    </w:rPr>
  </w:style>
  <w:style w:type="paragraph" w:customStyle="1" w:styleId="232">
    <w:name w:val="font7"/>
    <w:basedOn w:val="1"/>
    <w:next w:val="233"/>
    <w:qFormat/>
    <w:uiPriority w:val="0"/>
    <w:pPr>
      <w:widowControl/>
      <w:spacing w:before="280" w:after="280"/>
    </w:pPr>
    <w:rPr>
      <w:rFonts w:ascii="Arial" w:hAnsi="Calibri"/>
      <w:kern w:val="0"/>
      <w:sz w:val="18"/>
      <w:szCs w:val="20"/>
    </w:rPr>
  </w:style>
  <w:style w:type="paragraph" w:customStyle="1" w:styleId="233">
    <w:name w:val="toc 810"/>
    <w:next w:val="1"/>
    <w:qFormat/>
    <w:uiPriority w:val="0"/>
    <w:pPr>
      <w:wordWrap w:val="0"/>
      <w:ind w:left="2975"/>
      <w:jc w:val="both"/>
    </w:pPr>
    <w:rPr>
      <w:rFonts w:ascii="Calibri" w:hAnsi="Calibri" w:eastAsia="宋体" w:cs="Times New Roman"/>
      <w:sz w:val="21"/>
      <w:lang w:val="en-US" w:eastAsia="zh-CN" w:bidi="ar-SA"/>
    </w:rPr>
  </w:style>
  <w:style w:type="paragraph" w:customStyle="1" w:styleId="234">
    <w:name w:val="xl113"/>
    <w:basedOn w:val="1"/>
    <w:next w:val="235"/>
    <w:qFormat/>
    <w:uiPriority w:val="0"/>
    <w:pPr>
      <w:widowControl/>
      <w:shd w:val="clear" w:color="000000" w:fill="FFFFFF"/>
      <w:spacing w:before="280" w:after="280"/>
      <w:jc w:val="center"/>
    </w:pPr>
    <w:rPr>
      <w:rFonts w:ascii="宋体" w:hAnsi="Calibri"/>
      <w:b/>
      <w:kern w:val="0"/>
      <w:sz w:val="20"/>
      <w:szCs w:val="20"/>
    </w:rPr>
  </w:style>
  <w:style w:type="paragraph" w:customStyle="1" w:styleId="235">
    <w:name w:val="TOC Heading10"/>
    <w:next w:val="1"/>
    <w:qFormat/>
    <w:uiPriority w:val="0"/>
    <w:pPr>
      <w:wordWrap w:val="0"/>
    </w:pPr>
    <w:rPr>
      <w:rFonts w:ascii="Calibri" w:hAnsi="Calibri" w:eastAsia="宋体" w:cs="Times New Roman"/>
      <w:sz w:val="32"/>
      <w:lang w:val="en-US" w:eastAsia="zh-CN" w:bidi="ar-SA"/>
    </w:rPr>
  </w:style>
  <w:style w:type="paragraph" w:customStyle="1" w:styleId="236">
    <w:name w:val="toc 89"/>
    <w:next w:val="1"/>
    <w:qFormat/>
    <w:uiPriority w:val="0"/>
    <w:pPr>
      <w:wordWrap w:val="0"/>
      <w:ind w:left="2975"/>
      <w:jc w:val="both"/>
    </w:pPr>
    <w:rPr>
      <w:rFonts w:ascii="Calibri" w:hAnsi="Calibri" w:eastAsia="宋体" w:cs="Times New Roman"/>
      <w:sz w:val="21"/>
      <w:lang w:val="en-US" w:eastAsia="zh-CN" w:bidi="ar-SA"/>
    </w:rPr>
  </w:style>
  <w:style w:type="paragraph" w:customStyle="1" w:styleId="237">
    <w:name w:val="xl73"/>
    <w:basedOn w:val="1"/>
    <w:next w:val="238"/>
    <w:qFormat/>
    <w:uiPriority w:val="0"/>
    <w:pPr>
      <w:widowControl/>
      <w:shd w:val="clear" w:color="000000" w:fill="FFFFFF"/>
      <w:spacing w:before="280" w:after="280"/>
      <w:jc w:val="center"/>
    </w:pPr>
    <w:rPr>
      <w:rFonts w:ascii="宋体" w:hAnsi="Calibri"/>
      <w:kern w:val="0"/>
      <w:sz w:val="20"/>
      <w:szCs w:val="20"/>
    </w:rPr>
  </w:style>
  <w:style w:type="paragraph" w:customStyle="1" w:styleId="238">
    <w:name w:val="toc 613"/>
    <w:next w:val="1"/>
    <w:qFormat/>
    <w:uiPriority w:val="0"/>
    <w:pPr>
      <w:wordWrap w:val="0"/>
      <w:ind w:left="2125"/>
      <w:jc w:val="both"/>
    </w:pPr>
    <w:rPr>
      <w:rFonts w:ascii="Calibri" w:hAnsi="Calibri" w:eastAsia="宋体" w:cs="Times New Roman"/>
      <w:sz w:val="21"/>
      <w:lang w:val="en-US" w:eastAsia="zh-CN" w:bidi="ar-SA"/>
    </w:rPr>
  </w:style>
  <w:style w:type="paragraph" w:customStyle="1" w:styleId="239">
    <w:name w:val="xl79"/>
    <w:basedOn w:val="1"/>
    <w:next w:val="240"/>
    <w:qFormat/>
    <w:uiPriority w:val="0"/>
    <w:pPr>
      <w:widowControl/>
      <w:shd w:val="clear" w:color="000000" w:fill="FFFFFF"/>
      <w:spacing w:before="280" w:after="280"/>
    </w:pPr>
    <w:rPr>
      <w:rFonts w:ascii="宋体" w:hAnsi="Calibri"/>
      <w:b/>
      <w:kern w:val="0"/>
      <w:sz w:val="20"/>
      <w:szCs w:val="20"/>
    </w:rPr>
  </w:style>
  <w:style w:type="paragraph" w:customStyle="1" w:styleId="240">
    <w:name w:val="toc 87"/>
    <w:next w:val="1"/>
    <w:qFormat/>
    <w:uiPriority w:val="0"/>
    <w:pPr>
      <w:wordWrap w:val="0"/>
      <w:ind w:left="2975"/>
      <w:jc w:val="both"/>
    </w:pPr>
    <w:rPr>
      <w:rFonts w:ascii="Calibri" w:hAnsi="Calibri" w:eastAsia="宋体" w:cs="Times New Roman"/>
      <w:sz w:val="21"/>
      <w:lang w:val="en-US" w:eastAsia="zh-CN" w:bidi="ar-SA"/>
    </w:rPr>
  </w:style>
  <w:style w:type="paragraph" w:customStyle="1" w:styleId="241">
    <w:name w:val="toc 11"/>
    <w:next w:val="1"/>
    <w:qFormat/>
    <w:uiPriority w:val="0"/>
    <w:pPr>
      <w:wordWrap w:val="0"/>
      <w:jc w:val="both"/>
    </w:pPr>
    <w:rPr>
      <w:rFonts w:ascii="Calibri" w:hAnsi="Calibri" w:eastAsia="宋体" w:cs="Times New Roman"/>
      <w:sz w:val="21"/>
      <w:lang w:val="en-US" w:eastAsia="zh-CN" w:bidi="ar-SA"/>
    </w:rPr>
  </w:style>
  <w:style w:type="paragraph" w:customStyle="1" w:styleId="242">
    <w:name w:val="toc 410"/>
    <w:next w:val="1"/>
    <w:qFormat/>
    <w:uiPriority w:val="0"/>
    <w:pPr>
      <w:wordWrap w:val="0"/>
      <w:ind w:left="1275"/>
      <w:jc w:val="both"/>
    </w:pPr>
    <w:rPr>
      <w:rFonts w:ascii="Calibri" w:hAnsi="Calibri" w:eastAsia="宋体" w:cs="Times New Roman"/>
      <w:sz w:val="21"/>
      <w:lang w:val="en-US" w:eastAsia="zh-CN" w:bidi="ar-SA"/>
    </w:rPr>
  </w:style>
  <w:style w:type="paragraph" w:customStyle="1" w:styleId="243">
    <w:name w:val="toc 611"/>
    <w:next w:val="1"/>
    <w:qFormat/>
    <w:uiPriority w:val="0"/>
    <w:pPr>
      <w:wordWrap w:val="0"/>
      <w:ind w:left="2125"/>
      <w:jc w:val="both"/>
    </w:pPr>
    <w:rPr>
      <w:rFonts w:ascii="Calibri" w:hAnsi="Calibri" w:eastAsia="宋体" w:cs="Times New Roman"/>
      <w:sz w:val="21"/>
      <w:lang w:val="en-US" w:eastAsia="zh-CN" w:bidi="ar-SA"/>
    </w:rPr>
  </w:style>
  <w:style w:type="paragraph" w:customStyle="1" w:styleId="244">
    <w:name w:val="xl112"/>
    <w:basedOn w:val="1"/>
    <w:next w:val="243"/>
    <w:qFormat/>
    <w:uiPriority w:val="0"/>
    <w:pPr>
      <w:widowControl/>
      <w:shd w:val="clear" w:color="000000" w:fill="FFFFFF"/>
      <w:spacing w:before="280" w:after="280"/>
      <w:jc w:val="center"/>
    </w:pPr>
    <w:rPr>
      <w:rFonts w:ascii="宋体" w:hAnsi="Calibri"/>
      <w:b/>
      <w:kern w:val="0"/>
      <w:sz w:val="20"/>
      <w:szCs w:val="20"/>
    </w:rPr>
  </w:style>
  <w:style w:type="paragraph" w:customStyle="1" w:styleId="245">
    <w:name w:val="toc 514"/>
    <w:next w:val="1"/>
    <w:qFormat/>
    <w:uiPriority w:val="0"/>
    <w:pPr>
      <w:wordWrap w:val="0"/>
      <w:ind w:left="1700"/>
      <w:jc w:val="both"/>
    </w:pPr>
    <w:rPr>
      <w:rFonts w:ascii="Calibri" w:hAnsi="Calibri" w:eastAsia="宋体" w:cs="Times New Roman"/>
      <w:sz w:val="21"/>
      <w:lang w:val="en-US" w:eastAsia="zh-CN" w:bidi="ar-SA"/>
    </w:rPr>
  </w:style>
  <w:style w:type="paragraph" w:customStyle="1" w:styleId="246">
    <w:name w:val="toc 44"/>
    <w:next w:val="1"/>
    <w:qFormat/>
    <w:uiPriority w:val="0"/>
    <w:pPr>
      <w:wordWrap w:val="0"/>
      <w:ind w:left="1275"/>
      <w:jc w:val="both"/>
    </w:pPr>
    <w:rPr>
      <w:rFonts w:ascii="Calibri" w:hAnsi="Calibri" w:eastAsia="宋体" w:cs="Times New Roman"/>
      <w:sz w:val="21"/>
      <w:lang w:val="en-US" w:eastAsia="zh-CN" w:bidi="ar-SA"/>
    </w:rPr>
  </w:style>
  <w:style w:type="paragraph" w:customStyle="1" w:styleId="247">
    <w:name w:val="toc 412"/>
    <w:next w:val="1"/>
    <w:qFormat/>
    <w:uiPriority w:val="0"/>
    <w:pPr>
      <w:wordWrap w:val="0"/>
      <w:ind w:left="1275"/>
      <w:jc w:val="both"/>
    </w:pPr>
    <w:rPr>
      <w:rFonts w:ascii="Calibri" w:hAnsi="Calibri" w:eastAsia="宋体" w:cs="Times New Roman"/>
      <w:sz w:val="21"/>
      <w:lang w:val="en-US" w:eastAsia="zh-CN" w:bidi="ar-SA"/>
    </w:rPr>
  </w:style>
  <w:style w:type="paragraph" w:customStyle="1" w:styleId="248">
    <w:name w:val="xl74"/>
    <w:basedOn w:val="1"/>
    <w:next w:val="249"/>
    <w:qFormat/>
    <w:uiPriority w:val="0"/>
    <w:pPr>
      <w:widowControl/>
      <w:shd w:val="clear" w:color="000000" w:fill="FFFFFF"/>
      <w:spacing w:before="280" w:after="280"/>
    </w:pPr>
    <w:rPr>
      <w:rFonts w:ascii="宋体" w:hAnsi="Calibri"/>
      <w:kern w:val="0"/>
      <w:sz w:val="20"/>
      <w:szCs w:val="20"/>
    </w:rPr>
  </w:style>
  <w:style w:type="paragraph" w:customStyle="1" w:styleId="249">
    <w:name w:val="toc 57"/>
    <w:next w:val="1"/>
    <w:qFormat/>
    <w:uiPriority w:val="0"/>
    <w:pPr>
      <w:wordWrap w:val="0"/>
      <w:ind w:left="1700"/>
      <w:jc w:val="both"/>
    </w:pPr>
    <w:rPr>
      <w:rFonts w:ascii="Calibri" w:hAnsi="Calibri" w:eastAsia="宋体" w:cs="Times New Roman"/>
      <w:sz w:val="21"/>
      <w:lang w:val="en-US" w:eastAsia="zh-CN" w:bidi="ar-SA"/>
    </w:rPr>
  </w:style>
  <w:style w:type="paragraph" w:customStyle="1" w:styleId="250">
    <w:name w:val="toc 912"/>
    <w:next w:val="1"/>
    <w:qFormat/>
    <w:uiPriority w:val="0"/>
    <w:pPr>
      <w:wordWrap w:val="0"/>
      <w:ind w:left="3400"/>
      <w:jc w:val="both"/>
    </w:pPr>
    <w:rPr>
      <w:rFonts w:ascii="Calibri" w:hAnsi="Calibri" w:eastAsia="宋体" w:cs="Times New Roman"/>
      <w:sz w:val="21"/>
      <w:lang w:val="en-US" w:eastAsia="zh-CN" w:bidi="ar-SA"/>
    </w:rPr>
  </w:style>
  <w:style w:type="paragraph" w:customStyle="1" w:styleId="251">
    <w:name w:val="toc 91"/>
    <w:next w:val="1"/>
    <w:qFormat/>
    <w:uiPriority w:val="0"/>
    <w:pPr>
      <w:wordWrap w:val="0"/>
      <w:ind w:left="3400"/>
      <w:jc w:val="both"/>
    </w:pPr>
    <w:rPr>
      <w:rFonts w:ascii="Calibri" w:hAnsi="Calibri" w:eastAsia="宋体" w:cs="Times New Roman"/>
      <w:sz w:val="21"/>
      <w:lang w:val="en-US" w:eastAsia="zh-CN" w:bidi="ar-SA"/>
    </w:rPr>
  </w:style>
  <w:style w:type="paragraph" w:customStyle="1" w:styleId="252">
    <w:name w:val="toc 38"/>
    <w:next w:val="1"/>
    <w:qFormat/>
    <w:uiPriority w:val="0"/>
    <w:pPr>
      <w:wordWrap w:val="0"/>
      <w:ind w:left="850"/>
      <w:jc w:val="both"/>
    </w:pPr>
    <w:rPr>
      <w:rFonts w:ascii="Calibri" w:hAnsi="Calibri" w:eastAsia="宋体" w:cs="Times New Roman"/>
      <w:sz w:val="21"/>
      <w:lang w:val="en-US" w:eastAsia="zh-CN" w:bidi="ar-SA"/>
    </w:rPr>
  </w:style>
  <w:style w:type="paragraph" w:customStyle="1" w:styleId="253">
    <w:name w:val="toc 95"/>
    <w:next w:val="1"/>
    <w:qFormat/>
    <w:uiPriority w:val="0"/>
    <w:pPr>
      <w:wordWrap w:val="0"/>
      <w:ind w:left="3400"/>
      <w:jc w:val="both"/>
    </w:pPr>
    <w:rPr>
      <w:rFonts w:ascii="Calibri" w:hAnsi="Calibri" w:eastAsia="宋体" w:cs="Times New Roman"/>
      <w:sz w:val="21"/>
      <w:lang w:val="en-US" w:eastAsia="zh-CN" w:bidi="ar-SA"/>
    </w:rPr>
  </w:style>
  <w:style w:type="paragraph" w:customStyle="1" w:styleId="254">
    <w:name w:val="列出段落5"/>
    <w:basedOn w:val="1"/>
    <w:next w:val="255"/>
    <w:qFormat/>
    <w:uiPriority w:val="0"/>
    <w:pPr>
      <w:ind w:firstLine="420"/>
    </w:pPr>
    <w:rPr>
      <w:rFonts w:hAnsi="Calibri"/>
      <w:kern w:val="0"/>
      <w:szCs w:val="20"/>
    </w:rPr>
  </w:style>
  <w:style w:type="paragraph" w:customStyle="1" w:styleId="255">
    <w:name w:val="toc 312"/>
    <w:next w:val="1"/>
    <w:qFormat/>
    <w:uiPriority w:val="0"/>
    <w:pPr>
      <w:wordWrap w:val="0"/>
      <w:ind w:left="850"/>
      <w:jc w:val="both"/>
    </w:pPr>
    <w:rPr>
      <w:rFonts w:ascii="Calibri" w:hAnsi="Calibri" w:eastAsia="宋体" w:cs="Times New Roman"/>
      <w:sz w:val="21"/>
      <w:lang w:val="en-US" w:eastAsia="zh-CN" w:bidi="ar-SA"/>
    </w:rPr>
  </w:style>
  <w:style w:type="paragraph" w:customStyle="1" w:styleId="256">
    <w:name w:val="xl66"/>
    <w:basedOn w:val="1"/>
    <w:next w:val="257"/>
    <w:qFormat/>
    <w:uiPriority w:val="0"/>
    <w:pPr>
      <w:widowControl/>
      <w:shd w:val="clear" w:color="000000" w:fill="FFFFFF"/>
      <w:spacing w:before="280" w:after="280"/>
    </w:pPr>
    <w:rPr>
      <w:rFonts w:ascii="宋体" w:hAnsi="Calibri"/>
      <w:kern w:val="0"/>
      <w:sz w:val="20"/>
      <w:szCs w:val="20"/>
    </w:rPr>
  </w:style>
  <w:style w:type="paragraph" w:customStyle="1" w:styleId="257">
    <w:name w:val="toc 56"/>
    <w:next w:val="1"/>
    <w:qFormat/>
    <w:uiPriority w:val="0"/>
    <w:pPr>
      <w:wordWrap w:val="0"/>
      <w:ind w:left="1700"/>
      <w:jc w:val="both"/>
    </w:pPr>
    <w:rPr>
      <w:rFonts w:ascii="Calibri" w:hAnsi="Calibri" w:eastAsia="宋体" w:cs="Times New Roman"/>
      <w:sz w:val="21"/>
      <w:lang w:val="en-US" w:eastAsia="zh-CN" w:bidi="ar-SA"/>
    </w:rPr>
  </w:style>
  <w:style w:type="paragraph" w:customStyle="1" w:styleId="258">
    <w:name w:val="TOC Heading3"/>
    <w:next w:val="1"/>
    <w:qFormat/>
    <w:uiPriority w:val="0"/>
    <w:pPr>
      <w:wordWrap w:val="0"/>
    </w:pPr>
    <w:rPr>
      <w:rFonts w:ascii="Calibri" w:hAnsi="Calibri" w:eastAsia="宋体" w:cs="Times New Roman"/>
      <w:sz w:val="32"/>
      <w:lang w:val="en-US" w:eastAsia="zh-CN" w:bidi="ar-SA"/>
    </w:rPr>
  </w:style>
  <w:style w:type="paragraph" w:customStyle="1" w:styleId="259">
    <w:name w:val="toc 65"/>
    <w:next w:val="1"/>
    <w:qFormat/>
    <w:uiPriority w:val="0"/>
    <w:pPr>
      <w:wordWrap w:val="0"/>
      <w:ind w:left="2125"/>
      <w:jc w:val="both"/>
    </w:pPr>
    <w:rPr>
      <w:rFonts w:ascii="Calibri" w:hAnsi="Calibri" w:eastAsia="宋体" w:cs="Times New Roman"/>
      <w:sz w:val="21"/>
      <w:lang w:val="en-US" w:eastAsia="zh-CN" w:bidi="ar-SA"/>
    </w:rPr>
  </w:style>
  <w:style w:type="paragraph" w:customStyle="1" w:styleId="260">
    <w:name w:val="toc 25"/>
    <w:next w:val="1"/>
    <w:qFormat/>
    <w:uiPriority w:val="0"/>
    <w:pPr>
      <w:wordWrap w:val="0"/>
      <w:ind w:left="425"/>
      <w:jc w:val="both"/>
    </w:pPr>
    <w:rPr>
      <w:rFonts w:ascii="Calibri" w:hAnsi="Calibri" w:eastAsia="宋体" w:cs="Times New Roman"/>
      <w:sz w:val="21"/>
      <w:lang w:val="en-US" w:eastAsia="zh-CN" w:bidi="ar-SA"/>
    </w:rPr>
  </w:style>
  <w:style w:type="paragraph" w:customStyle="1" w:styleId="261">
    <w:name w:val="xl84"/>
    <w:basedOn w:val="1"/>
    <w:next w:val="262"/>
    <w:qFormat/>
    <w:uiPriority w:val="0"/>
    <w:pPr>
      <w:widowControl/>
      <w:shd w:val="clear" w:color="000000" w:fill="FFFFFF"/>
      <w:spacing w:before="280" w:after="280"/>
      <w:jc w:val="center"/>
    </w:pPr>
    <w:rPr>
      <w:rFonts w:ascii="宋体" w:hAnsi="Calibri"/>
      <w:kern w:val="0"/>
      <w:sz w:val="20"/>
      <w:szCs w:val="20"/>
    </w:rPr>
  </w:style>
  <w:style w:type="paragraph" w:customStyle="1" w:styleId="262">
    <w:name w:val="toc 99"/>
    <w:next w:val="1"/>
    <w:qFormat/>
    <w:uiPriority w:val="0"/>
    <w:pPr>
      <w:wordWrap w:val="0"/>
      <w:ind w:left="3400"/>
      <w:jc w:val="both"/>
    </w:pPr>
    <w:rPr>
      <w:rFonts w:ascii="Calibri" w:hAnsi="Calibri" w:eastAsia="宋体" w:cs="Times New Roman"/>
      <w:sz w:val="21"/>
      <w:lang w:val="en-US" w:eastAsia="zh-CN" w:bidi="ar-SA"/>
    </w:rPr>
  </w:style>
  <w:style w:type="paragraph" w:customStyle="1" w:styleId="263">
    <w:name w:val="xl81"/>
    <w:basedOn w:val="1"/>
    <w:next w:val="264"/>
    <w:qFormat/>
    <w:uiPriority w:val="0"/>
    <w:pPr>
      <w:widowControl/>
      <w:shd w:val="clear" w:color="000000" w:fill="FFFFFF"/>
      <w:spacing w:before="280" w:after="280"/>
    </w:pPr>
    <w:rPr>
      <w:rFonts w:ascii="宋体" w:hAnsi="Calibri"/>
      <w:kern w:val="0"/>
      <w:sz w:val="20"/>
      <w:szCs w:val="20"/>
    </w:rPr>
  </w:style>
  <w:style w:type="paragraph" w:customStyle="1" w:styleId="264">
    <w:name w:val="toc 59"/>
    <w:next w:val="1"/>
    <w:qFormat/>
    <w:uiPriority w:val="0"/>
    <w:pPr>
      <w:wordWrap w:val="0"/>
      <w:ind w:left="1700"/>
      <w:jc w:val="both"/>
    </w:pPr>
    <w:rPr>
      <w:rFonts w:ascii="Calibri" w:hAnsi="Calibri" w:eastAsia="宋体" w:cs="Times New Roman"/>
      <w:sz w:val="21"/>
      <w:lang w:val="en-US" w:eastAsia="zh-CN" w:bidi="ar-SA"/>
    </w:rPr>
  </w:style>
  <w:style w:type="paragraph" w:customStyle="1" w:styleId="265">
    <w:name w:val="目录 11"/>
    <w:next w:val="1"/>
    <w:qFormat/>
    <w:uiPriority w:val="0"/>
    <w:pPr>
      <w:wordWrap w:val="0"/>
      <w:jc w:val="both"/>
    </w:pPr>
    <w:rPr>
      <w:rFonts w:ascii="Calibri" w:hAnsi="Calibri" w:eastAsia="宋体" w:cs="Times New Roman"/>
      <w:sz w:val="21"/>
      <w:lang w:val="en-US" w:eastAsia="zh-CN" w:bidi="ar-SA"/>
    </w:rPr>
  </w:style>
  <w:style w:type="paragraph" w:customStyle="1" w:styleId="266">
    <w:name w:val="toc 513"/>
    <w:next w:val="1"/>
    <w:qFormat/>
    <w:uiPriority w:val="0"/>
    <w:pPr>
      <w:wordWrap w:val="0"/>
      <w:ind w:left="1700"/>
      <w:jc w:val="both"/>
    </w:pPr>
    <w:rPr>
      <w:rFonts w:ascii="Calibri" w:hAnsi="Calibri" w:eastAsia="宋体" w:cs="Times New Roman"/>
      <w:sz w:val="21"/>
      <w:lang w:val="en-US" w:eastAsia="zh-CN" w:bidi="ar-SA"/>
    </w:rPr>
  </w:style>
  <w:style w:type="paragraph" w:customStyle="1" w:styleId="267">
    <w:name w:val="TOC Heading12"/>
    <w:next w:val="1"/>
    <w:qFormat/>
    <w:uiPriority w:val="0"/>
    <w:pPr>
      <w:wordWrap w:val="0"/>
    </w:pPr>
    <w:rPr>
      <w:rFonts w:ascii="Calibri" w:hAnsi="Calibri" w:eastAsia="宋体" w:cs="Times New Roman"/>
      <w:sz w:val="32"/>
      <w:lang w:val="en-US" w:eastAsia="zh-CN" w:bidi="ar-SA"/>
    </w:rPr>
  </w:style>
  <w:style w:type="paragraph" w:customStyle="1" w:styleId="268">
    <w:name w:val="TOC Heading8"/>
    <w:next w:val="1"/>
    <w:qFormat/>
    <w:uiPriority w:val="0"/>
    <w:pPr>
      <w:wordWrap w:val="0"/>
    </w:pPr>
    <w:rPr>
      <w:rFonts w:ascii="Calibri" w:hAnsi="Calibri" w:eastAsia="宋体" w:cs="Times New Roman"/>
      <w:sz w:val="32"/>
      <w:lang w:val="en-US" w:eastAsia="zh-CN" w:bidi="ar-SA"/>
    </w:rPr>
  </w:style>
  <w:style w:type="paragraph" w:customStyle="1" w:styleId="269">
    <w:name w:val="toc 711"/>
    <w:next w:val="1"/>
    <w:qFormat/>
    <w:uiPriority w:val="0"/>
    <w:pPr>
      <w:wordWrap w:val="0"/>
      <w:ind w:left="2550"/>
      <w:jc w:val="both"/>
    </w:pPr>
    <w:rPr>
      <w:rFonts w:ascii="Calibri" w:hAnsi="Calibri" w:eastAsia="宋体" w:cs="Times New Roman"/>
      <w:sz w:val="21"/>
      <w:lang w:val="en-US" w:eastAsia="zh-CN" w:bidi="ar-SA"/>
    </w:rPr>
  </w:style>
  <w:style w:type="paragraph" w:customStyle="1" w:styleId="270">
    <w:name w:val="toc 212"/>
    <w:next w:val="1"/>
    <w:qFormat/>
    <w:uiPriority w:val="0"/>
    <w:pPr>
      <w:wordWrap w:val="0"/>
      <w:ind w:left="425"/>
      <w:jc w:val="both"/>
    </w:pPr>
    <w:rPr>
      <w:rFonts w:ascii="Calibri" w:hAnsi="Calibri" w:eastAsia="宋体" w:cs="Times New Roman"/>
      <w:sz w:val="21"/>
      <w:lang w:val="en-US" w:eastAsia="zh-CN" w:bidi="ar-SA"/>
    </w:rPr>
  </w:style>
  <w:style w:type="paragraph" w:customStyle="1" w:styleId="271">
    <w:name w:val="目录 21"/>
    <w:next w:val="1"/>
    <w:qFormat/>
    <w:uiPriority w:val="0"/>
    <w:pPr>
      <w:wordWrap w:val="0"/>
      <w:ind w:left="425"/>
      <w:jc w:val="both"/>
    </w:pPr>
    <w:rPr>
      <w:rFonts w:ascii="Calibri" w:hAnsi="Calibri" w:eastAsia="宋体" w:cs="Times New Roman"/>
      <w:sz w:val="21"/>
      <w:lang w:val="en-US" w:eastAsia="zh-CN" w:bidi="ar-SA"/>
    </w:rPr>
  </w:style>
  <w:style w:type="paragraph" w:customStyle="1" w:styleId="272">
    <w:name w:val="toc 45"/>
    <w:next w:val="1"/>
    <w:qFormat/>
    <w:uiPriority w:val="0"/>
    <w:pPr>
      <w:wordWrap w:val="0"/>
      <w:ind w:left="1275"/>
      <w:jc w:val="both"/>
    </w:pPr>
    <w:rPr>
      <w:rFonts w:ascii="Calibri" w:hAnsi="Calibri" w:eastAsia="宋体" w:cs="Times New Roman"/>
      <w:sz w:val="21"/>
      <w:lang w:val="en-US" w:eastAsia="zh-CN" w:bidi="ar-SA"/>
    </w:rPr>
  </w:style>
  <w:style w:type="paragraph" w:customStyle="1" w:styleId="273">
    <w:name w:val="xl116"/>
    <w:basedOn w:val="1"/>
    <w:next w:val="274"/>
    <w:qFormat/>
    <w:uiPriority w:val="0"/>
    <w:pPr>
      <w:widowControl/>
      <w:shd w:val="clear" w:color="000000" w:fill="FFFFFF"/>
      <w:spacing w:before="280" w:after="280"/>
      <w:jc w:val="center"/>
    </w:pPr>
    <w:rPr>
      <w:rFonts w:ascii="Arial Narrow" w:hAnsi="Calibri"/>
      <w:kern w:val="0"/>
      <w:sz w:val="20"/>
      <w:szCs w:val="20"/>
    </w:rPr>
  </w:style>
  <w:style w:type="paragraph" w:customStyle="1" w:styleId="274">
    <w:name w:val="toc 78"/>
    <w:next w:val="1"/>
    <w:qFormat/>
    <w:uiPriority w:val="0"/>
    <w:pPr>
      <w:wordWrap w:val="0"/>
      <w:ind w:left="2550"/>
      <w:jc w:val="both"/>
    </w:pPr>
    <w:rPr>
      <w:rFonts w:ascii="Calibri" w:hAnsi="Calibri" w:eastAsia="宋体" w:cs="Times New Roman"/>
      <w:sz w:val="21"/>
      <w:lang w:val="en-US" w:eastAsia="zh-CN" w:bidi="ar-SA"/>
    </w:rPr>
  </w:style>
  <w:style w:type="paragraph" w:customStyle="1" w:styleId="275">
    <w:name w:val="font8"/>
    <w:basedOn w:val="1"/>
    <w:next w:val="276"/>
    <w:qFormat/>
    <w:uiPriority w:val="0"/>
    <w:pPr>
      <w:widowControl/>
      <w:spacing w:before="280" w:after="280"/>
    </w:pPr>
    <w:rPr>
      <w:rFonts w:ascii="Arial" w:hAnsi="Calibri"/>
      <w:kern w:val="0"/>
      <w:sz w:val="20"/>
      <w:szCs w:val="20"/>
    </w:rPr>
  </w:style>
  <w:style w:type="paragraph" w:customStyle="1" w:styleId="276">
    <w:name w:val="TOC Heading11"/>
    <w:next w:val="1"/>
    <w:qFormat/>
    <w:uiPriority w:val="0"/>
    <w:pPr>
      <w:wordWrap w:val="0"/>
    </w:pPr>
    <w:rPr>
      <w:rFonts w:ascii="Calibri" w:hAnsi="Calibri" w:eastAsia="宋体" w:cs="Times New Roman"/>
      <w:sz w:val="32"/>
      <w:lang w:val="en-US" w:eastAsia="zh-CN" w:bidi="ar-SA"/>
    </w:rPr>
  </w:style>
  <w:style w:type="paragraph" w:customStyle="1" w:styleId="277">
    <w:name w:val="xl69"/>
    <w:basedOn w:val="1"/>
    <w:next w:val="278"/>
    <w:qFormat/>
    <w:uiPriority w:val="0"/>
    <w:pPr>
      <w:widowControl/>
      <w:shd w:val="clear" w:color="000000" w:fill="FFFFFF"/>
      <w:spacing w:before="280" w:after="280"/>
    </w:pPr>
    <w:rPr>
      <w:rFonts w:ascii="宋体" w:hAnsi="Calibri"/>
      <w:b/>
      <w:kern w:val="0"/>
      <w:sz w:val="20"/>
      <w:szCs w:val="20"/>
    </w:rPr>
  </w:style>
  <w:style w:type="paragraph" w:customStyle="1" w:styleId="278">
    <w:name w:val="toc 48"/>
    <w:next w:val="1"/>
    <w:qFormat/>
    <w:uiPriority w:val="0"/>
    <w:pPr>
      <w:wordWrap w:val="0"/>
      <w:ind w:left="1275"/>
      <w:jc w:val="both"/>
    </w:pPr>
    <w:rPr>
      <w:rFonts w:ascii="Calibri" w:hAnsi="Calibri" w:eastAsia="宋体" w:cs="Times New Roman"/>
      <w:sz w:val="21"/>
      <w:lang w:val="en-US" w:eastAsia="zh-CN" w:bidi="ar-SA"/>
    </w:rPr>
  </w:style>
  <w:style w:type="paragraph" w:customStyle="1" w:styleId="279">
    <w:name w:val="toc 813"/>
    <w:next w:val="1"/>
    <w:qFormat/>
    <w:uiPriority w:val="0"/>
    <w:pPr>
      <w:wordWrap w:val="0"/>
      <w:ind w:left="2975"/>
      <w:jc w:val="both"/>
    </w:pPr>
    <w:rPr>
      <w:rFonts w:ascii="Calibri" w:hAnsi="Calibri" w:eastAsia="宋体" w:cs="Times New Roman"/>
      <w:sz w:val="21"/>
      <w:lang w:val="en-US" w:eastAsia="zh-CN" w:bidi="ar-SA"/>
    </w:rPr>
  </w:style>
  <w:style w:type="paragraph" w:customStyle="1" w:styleId="280">
    <w:name w:val="目录 91"/>
    <w:next w:val="1"/>
    <w:qFormat/>
    <w:uiPriority w:val="0"/>
    <w:pPr>
      <w:wordWrap w:val="0"/>
      <w:ind w:left="3400"/>
      <w:jc w:val="both"/>
    </w:pPr>
    <w:rPr>
      <w:rFonts w:ascii="Calibri" w:hAnsi="Calibri" w:eastAsia="宋体" w:cs="Times New Roman"/>
      <w:sz w:val="21"/>
      <w:lang w:val="en-US" w:eastAsia="zh-CN" w:bidi="ar-SA"/>
    </w:rPr>
  </w:style>
  <w:style w:type="paragraph" w:customStyle="1" w:styleId="281">
    <w:name w:val="列出段落3"/>
    <w:basedOn w:val="1"/>
    <w:next w:val="282"/>
    <w:qFormat/>
    <w:uiPriority w:val="0"/>
    <w:pPr>
      <w:ind w:firstLine="420"/>
    </w:pPr>
    <w:rPr>
      <w:rFonts w:hAnsi="Calibri"/>
      <w:kern w:val="0"/>
      <w:szCs w:val="20"/>
    </w:rPr>
  </w:style>
  <w:style w:type="paragraph" w:customStyle="1" w:styleId="282">
    <w:name w:val="toc 213"/>
    <w:next w:val="1"/>
    <w:qFormat/>
    <w:uiPriority w:val="0"/>
    <w:pPr>
      <w:wordWrap w:val="0"/>
      <w:ind w:left="425"/>
      <w:jc w:val="both"/>
    </w:pPr>
    <w:rPr>
      <w:rFonts w:ascii="Calibri" w:hAnsi="Calibri" w:eastAsia="宋体" w:cs="Times New Roman"/>
      <w:sz w:val="21"/>
      <w:lang w:val="en-US" w:eastAsia="zh-CN" w:bidi="ar-SA"/>
    </w:rPr>
  </w:style>
  <w:style w:type="paragraph" w:customStyle="1" w:styleId="283">
    <w:name w:val="TOC 标题1"/>
    <w:next w:val="1"/>
    <w:qFormat/>
    <w:uiPriority w:val="0"/>
    <w:pPr>
      <w:wordWrap w:val="0"/>
    </w:pPr>
    <w:rPr>
      <w:rFonts w:ascii="Calibri" w:hAnsi="Calibri" w:eastAsia="宋体" w:cs="Times New Roman"/>
      <w:sz w:val="32"/>
      <w:lang w:val="en-US" w:eastAsia="zh-CN" w:bidi="ar-SA"/>
    </w:rPr>
  </w:style>
  <w:style w:type="paragraph" w:customStyle="1" w:styleId="284">
    <w:name w:val="TOC Heading5"/>
    <w:next w:val="1"/>
    <w:qFormat/>
    <w:uiPriority w:val="0"/>
    <w:pPr>
      <w:wordWrap w:val="0"/>
    </w:pPr>
    <w:rPr>
      <w:rFonts w:ascii="Calibri" w:hAnsi="Calibri" w:eastAsia="宋体" w:cs="Times New Roman"/>
      <w:sz w:val="32"/>
      <w:lang w:val="en-US" w:eastAsia="zh-CN" w:bidi="ar-SA"/>
    </w:rPr>
  </w:style>
  <w:style w:type="paragraph" w:customStyle="1" w:styleId="285">
    <w:name w:val="toc 313"/>
    <w:next w:val="1"/>
    <w:qFormat/>
    <w:uiPriority w:val="0"/>
    <w:pPr>
      <w:wordWrap w:val="0"/>
      <w:ind w:left="850"/>
      <w:jc w:val="both"/>
    </w:pPr>
    <w:rPr>
      <w:rFonts w:ascii="Calibri" w:hAnsi="Calibri" w:eastAsia="宋体" w:cs="Times New Roman"/>
      <w:sz w:val="21"/>
      <w:lang w:val="en-US" w:eastAsia="zh-CN" w:bidi="ar-SA"/>
    </w:rPr>
  </w:style>
  <w:style w:type="paragraph" w:customStyle="1" w:styleId="286">
    <w:name w:val="toc 716"/>
    <w:next w:val="1"/>
    <w:qFormat/>
    <w:uiPriority w:val="0"/>
    <w:pPr>
      <w:wordWrap w:val="0"/>
      <w:ind w:left="2550"/>
      <w:jc w:val="both"/>
    </w:pPr>
    <w:rPr>
      <w:rFonts w:ascii="Calibri" w:hAnsi="Calibri" w:eastAsia="宋体" w:cs="Times New Roman"/>
      <w:sz w:val="21"/>
      <w:lang w:val="en-US" w:eastAsia="zh-CN" w:bidi="ar-SA"/>
    </w:rPr>
  </w:style>
  <w:style w:type="paragraph" w:customStyle="1" w:styleId="287">
    <w:name w:val="xl115"/>
    <w:basedOn w:val="1"/>
    <w:next w:val="288"/>
    <w:qFormat/>
    <w:uiPriority w:val="0"/>
    <w:pPr>
      <w:widowControl/>
      <w:shd w:val="clear" w:color="000000" w:fill="FFFFFF"/>
      <w:spacing w:before="280" w:after="280"/>
      <w:jc w:val="center"/>
    </w:pPr>
    <w:rPr>
      <w:rFonts w:ascii="宋体" w:hAnsi="Calibri"/>
      <w:b/>
      <w:kern w:val="0"/>
      <w:sz w:val="20"/>
      <w:szCs w:val="20"/>
    </w:rPr>
  </w:style>
  <w:style w:type="paragraph" w:customStyle="1" w:styleId="288">
    <w:name w:val="toc 712"/>
    <w:next w:val="1"/>
    <w:qFormat/>
    <w:uiPriority w:val="0"/>
    <w:pPr>
      <w:wordWrap w:val="0"/>
      <w:ind w:left="2550"/>
      <w:jc w:val="both"/>
    </w:pPr>
    <w:rPr>
      <w:rFonts w:ascii="Calibri" w:hAnsi="Calibri" w:eastAsia="宋体" w:cs="Times New Roman"/>
      <w:sz w:val="21"/>
      <w:lang w:val="en-US" w:eastAsia="zh-CN" w:bidi="ar-SA"/>
    </w:rPr>
  </w:style>
  <w:style w:type="paragraph" w:customStyle="1" w:styleId="289">
    <w:name w:val="toc 64"/>
    <w:next w:val="1"/>
    <w:qFormat/>
    <w:uiPriority w:val="0"/>
    <w:pPr>
      <w:wordWrap w:val="0"/>
      <w:ind w:left="2125"/>
      <w:jc w:val="both"/>
    </w:pPr>
    <w:rPr>
      <w:rFonts w:ascii="Calibri" w:hAnsi="Calibri" w:eastAsia="宋体" w:cs="Times New Roman"/>
      <w:sz w:val="21"/>
      <w:lang w:val="en-US" w:eastAsia="zh-CN" w:bidi="ar-SA"/>
    </w:rPr>
  </w:style>
  <w:style w:type="paragraph" w:customStyle="1" w:styleId="290">
    <w:name w:val="toc 24"/>
    <w:next w:val="1"/>
    <w:qFormat/>
    <w:uiPriority w:val="0"/>
    <w:pPr>
      <w:wordWrap w:val="0"/>
      <w:ind w:left="425"/>
      <w:jc w:val="both"/>
    </w:pPr>
    <w:rPr>
      <w:rFonts w:ascii="Calibri" w:hAnsi="Calibri" w:eastAsia="宋体" w:cs="Times New Roman"/>
      <w:sz w:val="21"/>
      <w:lang w:val="en-US" w:eastAsia="zh-CN" w:bidi="ar-SA"/>
    </w:rPr>
  </w:style>
  <w:style w:type="paragraph" w:customStyle="1" w:styleId="291">
    <w:name w:val="toc 54"/>
    <w:next w:val="1"/>
    <w:qFormat/>
    <w:uiPriority w:val="0"/>
    <w:pPr>
      <w:wordWrap w:val="0"/>
      <w:ind w:left="1700"/>
      <w:jc w:val="both"/>
    </w:pPr>
    <w:rPr>
      <w:rFonts w:ascii="Calibri" w:hAnsi="Calibri" w:eastAsia="宋体" w:cs="Times New Roman"/>
      <w:sz w:val="21"/>
      <w:lang w:val="en-US" w:eastAsia="zh-CN" w:bidi="ar-SA"/>
    </w:rPr>
  </w:style>
  <w:style w:type="paragraph" w:customStyle="1" w:styleId="292">
    <w:name w:val="xl93"/>
    <w:basedOn w:val="1"/>
    <w:next w:val="293"/>
    <w:qFormat/>
    <w:uiPriority w:val="0"/>
    <w:pPr>
      <w:widowControl/>
      <w:shd w:val="clear" w:color="000000" w:fill="FFFFFF"/>
      <w:spacing w:before="280" w:after="280"/>
      <w:jc w:val="center"/>
    </w:pPr>
    <w:rPr>
      <w:rFonts w:ascii="宋体" w:hAnsi="Calibri"/>
      <w:kern w:val="0"/>
      <w:sz w:val="20"/>
      <w:szCs w:val="20"/>
    </w:rPr>
  </w:style>
  <w:style w:type="paragraph" w:customStyle="1" w:styleId="293">
    <w:name w:val="toc 112"/>
    <w:next w:val="1"/>
    <w:qFormat/>
    <w:uiPriority w:val="0"/>
    <w:pPr>
      <w:wordWrap w:val="0"/>
      <w:jc w:val="both"/>
    </w:pPr>
    <w:rPr>
      <w:rFonts w:ascii="Calibri" w:hAnsi="Calibri" w:eastAsia="宋体" w:cs="Times New Roman"/>
      <w:sz w:val="21"/>
      <w:lang w:val="en-US" w:eastAsia="zh-CN" w:bidi="ar-SA"/>
    </w:rPr>
  </w:style>
  <w:style w:type="paragraph" w:customStyle="1" w:styleId="294">
    <w:name w:val="xl96"/>
    <w:basedOn w:val="1"/>
    <w:next w:val="245"/>
    <w:qFormat/>
    <w:uiPriority w:val="0"/>
    <w:pPr>
      <w:widowControl/>
      <w:shd w:val="clear" w:color="000000" w:fill="FFFFFF"/>
      <w:spacing w:before="280" w:after="280"/>
      <w:jc w:val="center"/>
    </w:pPr>
    <w:rPr>
      <w:rFonts w:ascii="宋体" w:hAnsi="Calibri"/>
      <w:kern w:val="0"/>
      <w:sz w:val="20"/>
      <w:szCs w:val="20"/>
    </w:rPr>
  </w:style>
  <w:style w:type="paragraph" w:customStyle="1" w:styleId="295">
    <w:name w:val="xl106"/>
    <w:basedOn w:val="1"/>
    <w:next w:val="279"/>
    <w:qFormat/>
    <w:uiPriority w:val="0"/>
    <w:pPr>
      <w:widowControl/>
      <w:shd w:val="clear" w:color="000000" w:fill="FFFFFF"/>
      <w:spacing w:before="280" w:after="280"/>
    </w:pPr>
    <w:rPr>
      <w:rFonts w:ascii="宋体" w:hAnsi="Calibri"/>
      <w:kern w:val="0"/>
      <w:sz w:val="20"/>
      <w:szCs w:val="20"/>
    </w:rPr>
  </w:style>
  <w:style w:type="paragraph" w:customStyle="1" w:styleId="296">
    <w:name w:val="toc 35"/>
    <w:next w:val="1"/>
    <w:qFormat/>
    <w:uiPriority w:val="0"/>
    <w:pPr>
      <w:wordWrap w:val="0"/>
      <w:ind w:left="850"/>
      <w:jc w:val="both"/>
    </w:pPr>
    <w:rPr>
      <w:rFonts w:ascii="Calibri" w:hAnsi="Calibri" w:eastAsia="宋体" w:cs="Times New Roman"/>
      <w:sz w:val="21"/>
      <w:lang w:val="en-US" w:eastAsia="zh-CN" w:bidi="ar-SA"/>
    </w:rPr>
  </w:style>
  <w:style w:type="paragraph" w:customStyle="1" w:styleId="297">
    <w:name w:val="TOC Heading14"/>
    <w:next w:val="1"/>
    <w:qFormat/>
    <w:uiPriority w:val="0"/>
    <w:pPr>
      <w:wordWrap w:val="0"/>
    </w:pPr>
    <w:rPr>
      <w:rFonts w:ascii="Calibri" w:hAnsi="Calibri" w:eastAsia="宋体" w:cs="Times New Roman"/>
      <w:sz w:val="32"/>
      <w:lang w:val="en-US" w:eastAsia="zh-CN" w:bidi="ar-SA"/>
    </w:rPr>
  </w:style>
  <w:style w:type="paragraph" w:customStyle="1" w:styleId="298">
    <w:name w:val="Char Char Char Char Char Char Char1"/>
    <w:basedOn w:val="1"/>
    <w:next w:val="299"/>
    <w:qFormat/>
    <w:uiPriority w:val="0"/>
    <w:pPr>
      <w:widowControl/>
      <w:spacing w:after="160" w:line="240" w:lineRule="exact"/>
    </w:pPr>
    <w:rPr>
      <w:rFonts w:hAnsi="Calibri"/>
      <w:kern w:val="0"/>
      <w:szCs w:val="20"/>
    </w:rPr>
  </w:style>
  <w:style w:type="paragraph" w:customStyle="1" w:styleId="299">
    <w:name w:val="toc 67"/>
    <w:next w:val="1"/>
    <w:qFormat/>
    <w:uiPriority w:val="0"/>
    <w:pPr>
      <w:wordWrap w:val="0"/>
      <w:ind w:left="2125"/>
      <w:jc w:val="both"/>
    </w:pPr>
    <w:rPr>
      <w:rFonts w:ascii="Calibri" w:hAnsi="Calibri" w:eastAsia="宋体" w:cs="Times New Roman"/>
      <w:sz w:val="21"/>
      <w:lang w:val="en-US" w:eastAsia="zh-CN" w:bidi="ar-SA"/>
    </w:rPr>
  </w:style>
  <w:style w:type="paragraph" w:customStyle="1" w:styleId="300">
    <w:name w:val="列出段落4"/>
    <w:basedOn w:val="1"/>
    <w:next w:val="301"/>
    <w:qFormat/>
    <w:uiPriority w:val="0"/>
    <w:pPr>
      <w:ind w:firstLine="420"/>
    </w:pPr>
    <w:rPr>
      <w:rFonts w:hAnsi="Calibri"/>
      <w:kern w:val="0"/>
      <w:szCs w:val="20"/>
    </w:rPr>
  </w:style>
  <w:style w:type="paragraph" w:customStyle="1" w:styleId="301">
    <w:name w:val="TOC Heading9"/>
    <w:next w:val="1"/>
    <w:qFormat/>
    <w:uiPriority w:val="0"/>
    <w:pPr>
      <w:wordWrap w:val="0"/>
    </w:pPr>
    <w:rPr>
      <w:rFonts w:ascii="Calibri" w:hAnsi="Calibri" w:eastAsia="宋体" w:cs="Times New Roman"/>
      <w:sz w:val="32"/>
      <w:lang w:val="en-US" w:eastAsia="zh-CN" w:bidi="ar-SA"/>
    </w:rPr>
  </w:style>
  <w:style w:type="paragraph" w:customStyle="1" w:styleId="302">
    <w:name w:val="xl71"/>
    <w:basedOn w:val="1"/>
    <w:next w:val="303"/>
    <w:qFormat/>
    <w:uiPriority w:val="0"/>
    <w:pPr>
      <w:widowControl/>
      <w:shd w:val="clear" w:color="000000" w:fill="FFFFFF"/>
      <w:spacing w:before="280" w:after="280"/>
    </w:pPr>
    <w:rPr>
      <w:rFonts w:ascii="宋体" w:hAnsi="Calibri"/>
      <w:kern w:val="0"/>
      <w:sz w:val="24"/>
      <w:szCs w:val="20"/>
    </w:rPr>
  </w:style>
  <w:style w:type="paragraph" w:customStyle="1" w:styleId="303">
    <w:name w:val="toc 115"/>
    <w:next w:val="1"/>
    <w:qFormat/>
    <w:uiPriority w:val="0"/>
    <w:pPr>
      <w:wordWrap w:val="0"/>
      <w:jc w:val="both"/>
    </w:pPr>
    <w:rPr>
      <w:rFonts w:ascii="Calibri" w:hAnsi="Calibri" w:eastAsia="宋体" w:cs="Times New Roman"/>
      <w:sz w:val="21"/>
      <w:lang w:val="en-US" w:eastAsia="zh-CN" w:bidi="ar-SA"/>
    </w:rPr>
  </w:style>
  <w:style w:type="paragraph" w:customStyle="1" w:styleId="304">
    <w:name w:val="toc 51"/>
    <w:next w:val="1"/>
    <w:qFormat/>
    <w:uiPriority w:val="0"/>
    <w:pPr>
      <w:wordWrap w:val="0"/>
      <w:ind w:left="1700"/>
      <w:jc w:val="both"/>
    </w:pPr>
    <w:rPr>
      <w:rFonts w:ascii="Calibri" w:hAnsi="Calibri" w:eastAsia="宋体" w:cs="Times New Roman"/>
      <w:sz w:val="21"/>
      <w:lang w:val="en-US" w:eastAsia="zh-CN" w:bidi="ar-SA"/>
    </w:rPr>
  </w:style>
  <w:style w:type="paragraph" w:customStyle="1" w:styleId="305">
    <w:name w:val="toc 47"/>
    <w:next w:val="1"/>
    <w:qFormat/>
    <w:uiPriority w:val="0"/>
    <w:pPr>
      <w:wordWrap w:val="0"/>
      <w:ind w:left="1275"/>
      <w:jc w:val="both"/>
    </w:pPr>
    <w:rPr>
      <w:rFonts w:ascii="Calibri" w:hAnsi="Calibri" w:eastAsia="宋体" w:cs="Times New Roman"/>
      <w:sz w:val="21"/>
      <w:lang w:val="en-US" w:eastAsia="zh-CN" w:bidi="ar-SA"/>
    </w:rPr>
  </w:style>
  <w:style w:type="paragraph" w:customStyle="1" w:styleId="306">
    <w:name w:val="xl108"/>
    <w:basedOn w:val="1"/>
    <w:next w:val="307"/>
    <w:qFormat/>
    <w:uiPriority w:val="0"/>
    <w:pPr>
      <w:widowControl/>
      <w:shd w:val="clear" w:color="000000" w:fill="FFFFFF"/>
      <w:spacing w:before="280" w:after="280"/>
    </w:pPr>
    <w:rPr>
      <w:rFonts w:ascii="宋体" w:hAnsi="Calibri"/>
      <w:kern w:val="0"/>
      <w:sz w:val="18"/>
      <w:szCs w:val="20"/>
    </w:rPr>
  </w:style>
  <w:style w:type="paragraph" w:customStyle="1" w:styleId="307">
    <w:name w:val="toc 18"/>
    <w:next w:val="1"/>
    <w:qFormat/>
    <w:uiPriority w:val="0"/>
    <w:pPr>
      <w:wordWrap w:val="0"/>
      <w:jc w:val="both"/>
    </w:pPr>
    <w:rPr>
      <w:rFonts w:ascii="Calibri" w:hAnsi="Calibri" w:eastAsia="宋体" w:cs="Times New Roman"/>
      <w:sz w:val="21"/>
      <w:lang w:val="en-US" w:eastAsia="zh-CN" w:bidi="ar-SA"/>
    </w:rPr>
  </w:style>
  <w:style w:type="paragraph" w:customStyle="1" w:styleId="308">
    <w:name w:val="TOC Heading7"/>
    <w:next w:val="1"/>
    <w:qFormat/>
    <w:uiPriority w:val="0"/>
    <w:pPr>
      <w:wordWrap w:val="0"/>
    </w:pPr>
    <w:rPr>
      <w:rFonts w:ascii="Calibri" w:hAnsi="Calibri" w:eastAsia="宋体" w:cs="Times New Roman"/>
      <w:sz w:val="32"/>
      <w:lang w:val="en-US" w:eastAsia="zh-CN" w:bidi="ar-SA"/>
    </w:rPr>
  </w:style>
  <w:style w:type="character" w:customStyle="1" w:styleId="309">
    <w:name w:val="副标题 Char"/>
    <w:basedOn w:val="46"/>
    <w:link w:val="31"/>
    <w:qFormat/>
    <w:uiPriority w:val="0"/>
    <w:rPr>
      <w:rFonts w:ascii="Calibri" w:hAnsi="Calibri"/>
      <w:sz w:val="24"/>
    </w:rPr>
  </w:style>
  <w:style w:type="paragraph" w:customStyle="1" w:styleId="310">
    <w:name w:val="目录 71"/>
    <w:next w:val="1"/>
    <w:qFormat/>
    <w:uiPriority w:val="0"/>
    <w:pPr>
      <w:wordWrap w:val="0"/>
      <w:ind w:left="2550"/>
      <w:jc w:val="both"/>
    </w:pPr>
    <w:rPr>
      <w:rFonts w:ascii="Calibri" w:hAnsi="Calibri" w:eastAsia="宋体" w:cs="Times New Roman"/>
      <w:sz w:val="21"/>
      <w:lang w:val="en-US" w:eastAsia="zh-CN" w:bidi="ar-SA"/>
    </w:rPr>
  </w:style>
  <w:style w:type="paragraph" w:customStyle="1" w:styleId="311">
    <w:name w:val="toc 413"/>
    <w:next w:val="1"/>
    <w:qFormat/>
    <w:uiPriority w:val="0"/>
    <w:pPr>
      <w:wordWrap w:val="0"/>
      <w:ind w:left="1275"/>
      <w:jc w:val="both"/>
    </w:pPr>
    <w:rPr>
      <w:rFonts w:ascii="Calibri" w:hAnsi="Calibri" w:eastAsia="宋体" w:cs="Times New Roman"/>
      <w:sz w:val="21"/>
      <w:lang w:val="en-US" w:eastAsia="zh-CN" w:bidi="ar-SA"/>
    </w:rPr>
  </w:style>
  <w:style w:type="paragraph" w:customStyle="1" w:styleId="312">
    <w:name w:val="toc 85"/>
    <w:next w:val="1"/>
    <w:qFormat/>
    <w:uiPriority w:val="0"/>
    <w:pPr>
      <w:wordWrap w:val="0"/>
      <w:ind w:left="2975"/>
      <w:jc w:val="both"/>
    </w:pPr>
    <w:rPr>
      <w:rFonts w:ascii="Calibri" w:hAnsi="Calibri" w:eastAsia="宋体" w:cs="Times New Roman"/>
      <w:sz w:val="21"/>
      <w:lang w:val="en-US" w:eastAsia="zh-CN" w:bidi="ar-SA"/>
    </w:rPr>
  </w:style>
  <w:style w:type="paragraph" w:customStyle="1" w:styleId="313">
    <w:name w:val="列出段落6"/>
    <w:basedOn w:val="1"/>
    <w:next w:val="314"/>
    <w:qFormat/>
    <w:uiPriority w:val="0"/>
    <w:pPr>
      <w:ind w:firstLine="420"/>
    </w:pPr>
    <w:rPr>
      <w:rFonts w:hAnsi="Calibri"/>
      <w:kern w:val="0"/>
      <w:szCs w:val="20"/>
    </w:rPr>
  </w:style>
  <w:style w:type="paragraph" w:customStyle="1" w:styleId="314">
    <w:name w:val="toc 86"/>
    <w:next w:val="1"/>
    <w:qFormat/>
    <w:uiPriority w:val="0"/>
    <w:pPr>
      <w:wordWrap w:val="0"/>
      <w:ind w:left="2975"/>
      <w:jc w:val="both"/>
    </w:pPr>
    <w:rPr>
      <w:rFonts w:ascii="Calibri" w:hAnsi="Calibri" w:eastAsia="宋体" w:cs="Times New Roman"/>
      <w:sz w:val="21"/>
      <w:lang w:val="en-US" w:eastAsia="zh-CN" w:bidi="ar-SA"/>
    </w:rPr>
  </w:style>
  <w:style w:type="paragraph" w:customStyle="1" w:styleId="315">
    <w:name w:val="xl80"/>
    <w:basedOn w:val="1"/>
    <w:next w:val="316"/>
    <w:qFormat/>
    <w:uiPriority w:val="0"/>
    <w:pPr>
      <w:widowControl/>
      <w:shd w:val="clear" w:color="000000" w:fill="FFFFFF"/>
      <w:spacing w:before="280" w:after="280"/>
      <w:jc w:val="center"/>
    </w:pPr>
    <w:rPr>
      <w:rFonts w:ascii="宋体" w:hAnsi="Calibri"/>
      <w:b/>
      <w:kern w:val="0"/>
      <w:sz w:val="20"/>
      <w:szCs w:val="20"/>
    </w:rPr>
  </w:style>
  <w:style w:type="paragraph" w:customStyle="1" w:styleId="316">
    <w:name w:val="toc 49"/>
    <w:next w:val="1"/>
    <w:qFormat/>
    <w:uiPriority w:val="0"/>
    <w:pPr>
      <w:wordWrap w:val="0"/>
      <w:ind w:left="1275"/>
      <w:jc w:val="both"/>
    </w:pPr>
    <w:rPr>
      <w:rFonts w:ascii="Calibri" w:hAnsi="Calibri" w:eastAsia="宋体" w:cs="Times New Roman"/>
      <w:sz w:val="21"/>
      <w:lang w:val="en-US" w:eastAsia="zh-CN" w:bidi="ar-SA"/>
    </w:rPr>
  </w:style>
  <w:style w:type="paragraph" w:customStyle="1" w:styleId="317">
    <w:name w:val="Char Char Char Char1"/>
    <w:basedOn w:val="1"/>
    <w:next w:val="318"/>
    <w:qFormat/>
    <w:uiPriority w:val="0"/>
    <w:pPr>
      <w:widowControl/>
      <w:spacing w:after="160" w:line="240" w:lineRule="exact"/>
    </w:pPr>
    <w:rPr>
      <w:rFonts w:ascii="Verdana" w:hAnsi="Calibri" w:eastAsia="仿宋_GB2312"/>
      <w:kern w:val="0"/>
      <w:sz w:val="24"/>
      <w:szCs w:val="20"/>
    </w:rPr>
  </w:style>
  <w:style w:type="paragraph" w:customStyle="1" w:styleId="318">
    <w:name w:val="toc 713"/>
    <w:next w:val="1"/>
    <w:qFormat/>
    <w:uiPriority w:val="0"/>
    <w:pPr>
      <w:wordWrap w:val="0"/>
      <w:ind w:left="2550"/>
      <w:jc w:val="both"/>
    </w:pPr>
    <w:rPr>
      <w:rFonts w:ascii="Calibri" w:hAnsi="Calibri" w:eastAsia="宋体" w:cs="Times New Roman"/>
      <w:sz w:val="21"/>
      <w:lang w:val="en-US" w:eastAsia="zh-CN" w:bidi="ar-SA"/>
    </w:rPr>
  </w:style>
  <w:style w:type="paragraph" w:customStyle="1" w:styleId="319">
    <w:name w:val="xl102"/>
    <w:basedOn w:val="1"/>
    <w:next w:val="320"/>
    <w:qFormat/>
    <w:uiPriority w:val="0"/>
    <w:pPr>
      <w:widowControl/>
      <w:shd w:val="clear" w:color="000000" w:fill="FFFFFF"/>
      <w:spacing w:before="280" w:after="280"/>
      <w:jc w:val="right"/>
    </w:pPr>
    <w:rPr>
      <w:rFonts w:ascii="宋体" w:hAnsi="Calibri"/>
      <w:kern w:val="0"/>
      <w:sz w:val="20"/>
      <w:szCs w:val="20"/>
    </w:rPr>
  </w:style>
  <w:style w:type="paragraph" w:customStyle="1" w:styleId="320">
    <w:name w:val="toc 17"/>
    <w:next w:val="1"/>
    <w:qFormat/>
    <w:uiPriority w:val="0"/>
    <w:pPr>
      <w:wordWrap w:val="0"/>
      <w:jc w:val="both"/>
    </w:pPr>
    <w:rPr>
      <w:rFonts w:ascii="Calibri" w:hAnsi="Calibri" w:eastAsia="宋体" w:cs="Times New Roman"/>
      <w:sz w:val="21"/>
      <w:lang w:val="en-US" w:eastAsia="zh-CN" w:bidi="ar-SA"/>
    </w:rPr>
  </w:style>
  <w:style w:type="paragraph" w:customStyle="1" w:styleId="321">
    <w:name w:val="toc 46"/>
    <w:next w:val="1"/>
    <w:qFormat/>
    <w:uiPriority w:val="0"/>
    <w:pPr>
      <w:wordWrap w:val="0"/>
      <w:ind w:left="1275"/>
      <w:jc w:val="both"/>
    </w:pPr>
    <w:rPr>
      <w:rFonts w:ascii="Calibri" w:hAnsi="Calibri" w:eastAsia="宋体" w:cs="Times New Roman"/>
      <w:sz w:val="21"/>
      <w:lang w:val="en-US" w:eastAsia="zh-CN" w:bidi="ar-SA"/>
    </w:rPr>
  </w:style>
  <w:style w:type="paragraph" w:customStyle="1" w:styleId="322">
    <w:name w:val="toc 311"/>
    <w:next w:val="1"/>
    <w:qFormat/>
    <w:uiPriority w:val="0"/>
    <w:pPr>
      <w:wordWrap w:val="0"/>
      <w:ind w:left="850"/>
      <w:jc w:val="both"/>
    </w:pPr>
    <w:rPr>
      <w:rFonts w:ascii="Calibri" w:hAnsi="Calibri" w:eastAsia="宋体" w:cs="Times New Roman"/>
      <w:sz w:val="21"/>
      <w:lang w:val="en-US" w:eastAsia="zh-CN" w:bidi="ar-SA"/>
    </w:rPr>
  </w:style>
  <w:style w:type="paragraph" w:customStyle="1" w:styleId="323">
    <w:name w:val="xl65"/>
    <w:basedOn w:val="1"/>
    <w:next w:val="224"/>
    <w:qFormat/>
    <w:uiPriority w:val="0"/>
    <w:pPr>
      <w:widowControl/>
      <w:shd w:val="clear" w:color="000000" w:fill="FFFFFF"/>
      <w:spacing w:before="280" w:after="280"/>
      <w:jc w:val="center"/>
    </w:pPr>
    <w:rPr>
      <w:rFonts w:ascii="宋体" w:hAnsi="Calibri"/>
      <w:kern w:val="0"/>
      <w:sz w:val="20"/>
      <w:szCs w:val="20"/>
    </w:rPr>
  </w:style>
  <w:style w:type="paragraph" w:customStyle="1" w:styleId="324">
    <w:name w:val="toc 94"/>
    <w:next w:val="1"/>
    <w:qFormat/>
    <w:uiPriority w:val="0"/>
    <w:pPr>
      <w:wordWrap w:val="0"/>
      <w:ind w:left="3400"/>
      <w:jc w:val="both"/>
    </w:pPr>
    <w:rPr>
      <w:rFonts w:ascii="Calibri" w:hAnsi="Calibri" w:eastAsia="宋体" w:cs="Times New Roman"/>
      <w:sz w:val="21"/>
      <w:lang w:val="en-US" w:eastAsia="zh-CN" w:bidi="ar-SA"/>
    </w:rPr>
  </w:style>
  <w:style w:type="paragraph" w:customStyle="1" w:styleId="325">
    <w:name w:val="toc 55"/>
    <w:next w:val="1"/>
    <w:qFormat/>
    <w:uiPriority w:val="0"/>
    <w:pPr>
      <w:wordWrap w:val="0"/>
      <w:ind w:left="1700"/>
      <w:jc w:val="both"/>
    </w:pPr>
    <w:rPr>
      <w:rFonts w:ascii="Calibri" w:hAnsi="Calibri" w:eastAsia="宋体" w:cs="Times New Roman"/>
      <w:sz w:val="21"/>
      <w:lang w:val="en-US" w:eastAsia="zh-CN" w:bidi="ar-SA"/>
    </w:rPr>
  </w:style>
  <w:style w:type="paragraph" w:customStyle="1" w:styleId="326">
    <w:name w:val="toc 812"/>
    <w:next w:val="1"/>
    <w:qFormat/>
    <w:uiPriority w:val="0"/>
    <w:pPr>
      <w:wordWrap w:val="0"/>
      <w:ind w:left="2975"/>
      <w:jc w:val="both"/>
    </w:pPr>
    <w:rPr>
      <w:rFonts w:ascii="Calibri" w:hAnsi="Calibri" w:eastAsia="宋体" w:cs="Times New Roman"/>
      <w:sz w:val="21"/>
      <w:lang w:val="en-US" w:eastAsia="zh-CN" w:bidi="ar-SA"/>
    </w:rPr>
  </w:style>
  <w:style w:type="paragraph" w:customStyle="1" w:styleId="327">
    <w:name w:val="xl75"/>
    <w:basedOn w:val="1"/>
    <w:next w:val="328"/>
    <w:qFormat/>
    <w:uiPriority w:val="0"/>
    <w:pPr>
      <w:widowControl/>
      <w:shd w:val="clear" w:color="000000" w:fill="FFFFFF"/>
      <w:spacing w:before="280" w:after="280"/>
    </w:pPr>
    <w:rPr>
      <w:rFonts w:ascii="宋体" w:hAnsi="Calibri"/>
      <w:kern w:val="0"/>
      <w:sz w:val="20"/>
      <w:szCs w:val="20"/>
    </w:rPr>
  </w:style>
  <w:style w:type="paragraph" w:customStyle="1" w:styleId="328">
    <w:name w:val="toc 914"/>
    <w:next w:val="1"/>
    <w:qFormat/>
    <w:uiPriority w:val="0"/>
    <w:pPr>
      <w:wordWrap w:val="0"/>
      <w:ind w:left="3400"/>
      <w:jc w:val="both"/>
    </w:pPr>
    <w:rPr>
      <w:rFonts w:ascii="Calibri" w:hAnsi="Calibri" w:eastAsia="宋体" w:cs="Times New Roman"/>
      <w:sz w:val="21"/>
      <w:lang w:val="en-US" w:eastAsia="zh-CN" w:bidi="ar-SA"/>
    </w:rPr>
  </w:style>
  <w:style w:type="paragraph" w:customStyle="1" w:styleId="329">
    <w:name w:val="toc 19"/>
    <w:next w:val="1"/>
    <w:qFormat/>
    <w:uiPriority w:val="0"/>
    <w:pPr>
      <w:wordWrap w:val="0"/>
      <w:jc w:val="both"/>
    </w:pPr>
    <w:rPr>
      <w:rFonts w:ascii="Calibri" w:hAnsi="Calibri" w:eastAsia="宋体" w:cs="Times New Roman"/>
      <w:sz w:val="21"/>
      <w:lang w:val="en-US" w:eastAsia="zh-CN" w:bidi="ar-SA"/>
    </w:rPr>
  </w:style>
  <w:style w:type="paragraph" w:customStyle="1" w:styleId="330">
    <w:name w:val="TOC Heading6"/>
    <w:next w:val="1"/>
    <w:qFormat/>
    <w:uiPriority w:val="0"/>
    <w:pPr>
      <w:wordWrap w:val="0"/>
    </w:pPr>
    <w:rPr>
      <w:rFonts w:ascii="Calibri" w:hAnsi="Calibri" w:eastAsia="宋体" w:cs="Times New Roman"/>
      <w:sz w:val="32"/>
      <w:lang w:val="en-US" w:eastAsia="zh-CN" w:bidi="ar-SA"/>
    </w:rPr>
  </w:style>
  <w:style w:type="paragraph" w:customStyle="1" w:styleId="331">
    <w:name w:val="toc 52"/>
    <w:next w:val="1"/>
    <w:qFormat/>
    <w:uiPriority w:val="0"/>
    <w:pPr>
      <w:wordWrap w:val="0"/>
      <w:ind w:left="1700"/>
      <w:jc w:val="both"/>
    </w:pPr>
    <w:rPr>
      <w:rFonts w:ascii="Calibri" w:hAnsi="Calibri" w:eastAsia="宋体" w:cs="Times New Roman"/>
      <w:sz w:val="21"/>
      <w:lang w:val="en-US" w:eastAsia="zh-CN" w:bidi="ar-SA"/>
    </w:rPr>
  </w:style>
  <w:style w:type="paragraph" w:customStyle="1" w:styleId="332">
    <w:name w:val="toc 36"/>
    <w:next w:val="1"/>
    <w:qFormat/>
    <w:uiPriority w:val="0"/>
    <w:pPr>
      <w:wordWrap w:val="0"/>
      <w:ind w:left="850"/>
      <w:jc w:val="both"/>
    </w:pPr>
    <w:rPr>
      <w:rFonts w:ascii="Calibri" w:hAnsi="Calibri" w:eastAsia="宋体" w:cs="Times New Roman"/>
      <w:sz w:val="21"/>
      <w:lang w:val="en-US" w:eastAsia="zh-CN" w:bidi="ar-SA"/>
    </w:rPr>
  </w:style>
  <w:style w:type="paragraph" w:customStyle="1" w:styleId="333">
    <w:name w:val="toc 82"/>
    <w:next w:val="1"/>
    <w:qFormat/>
    <w:uiPriority w:val="0"/>
    <w:pPr>
      <w:wordWrap w:val="0"/>
      <w:ind w:left="2975"/>
      <w:jc w:val="both"/>
    </w:pPr>
    <w:rPr>
      <w:rFonts w:ascii="Calibri" w:hAnsi="Calibri" w:eastAsia="宋体" w:cs="Times New Roman"/>
      <w:sz w:val="21"/>
      <w:lang w:val="en-US" w:eastAsia="zh-CN" w:bidi="ar-SA"/>
    </w:rPr>
  </w:style>
  <w:style w:type="paragraph" w:customStyle="1" w:styleId="334">
    <w:name w:val="xl104"/>
    <w:basedOn w:val="1"/>
    <w:next w:val="335"/>
    <w:qFormat/>
    <w:uiPriority w:val="0"/>
    <w:pPr>
      <w:widowControl/>
      <w:shd w:val="clear" w:color="000000" w:fill="FFFFFF"/>
      <w:spacing w:before="280" w:after="280"/>
      <w:jc w:val="center"/>
    </w:pPr>
    <w:rPr>
      <w:rFonts w:ascii="宋体" w:hAnsi="Calibri"/>
      <w:kern w:val="0"/>
      <w:sz w:val="20"/>
      <w:szCs w:val="20"/>
    </w:rPr>
  </w:style>
  <w:style w:type="paragraph" w:customStyle="1" w:styleId="335">
    <w:name w:val="toc 210"/>
    <w:next w:val="1"/>
    <w:qFormat/>
    <w:uiPriority w:val="0"/>
    <w:pPr>
      <w:wordWrap w:val="0"/>
      <w:ind w:left="425"/>
      <w:jc w:val="both"/>
    </w:pPr>
    <w:rPr>
      <w:rFonts w:ascii="Calibri" w:hAnsi="Calibri" w:eastAsia="宋体" w:cs="Times New Roman"/>
      <w:sz w:val="21"/>
      <w:lang w:val="en-US" w:eastAsia="zh-CN" w:bidi="ar-SA"/>
    </w:rPr>
  </w:style>
  <w:style w:type="paragraph" w:customStyle="1" w:styleId="336">
    <w:name w:val="toc 110"/>
    <w:next w:val="1"/>
    <w:qFormat/>
    <w:uiPriority w:val="0"/>
    <w:pPr>
      <w:wordWrap w:val="0"/>
      <w:jc w:val="both"/>
    </w:pPr>
    <w:rPr>
      <w:rFonts w:ascii="Calibri" w:hAnsi="Calibri" w:eastAsia="宋体" w:cs="Times New Roman"/>
      <w:sz w:val="21"/>
      <w:lang w:val="en-US" w:eastAsia="zh-CN" w:bidi="ar-SA"/>
    </w:rPr>
  </w:style>
  <w:style w:type="paragraph" w:customStyle="1" w:styleId="337">
    <w:name w:val="toc 66"/>
    <w:next w:val="1"/>
    <w:qFormat/>
    <w:uiPriority w:val="0"/>
    <w:pPr>
      <w:wordWrap w:val="0"/>
      <w:ind w:left="2125"/>
      <w:jc w:val="both"/>
    </w:pPr>
    <w:rPr>
      <w:rFonts w:ascii="Calibri" w:hAnsi="Calibri" w:eastAsia="宋体" w:cs="Times New Roman"/>
      <w:sz w:val="21"/>
      <w:lang w:val="en-US" w:eastAsia="zh-CN" w:bidi="ar-SA"/>
    </w:rPr>
  </w:style>
  <w:style w:type="paragraph" w:customStyle="1" w:styleId="338">
    <w:name w:val="toc 31"/>
    <w:next w:val="1"/>
    <w:qFormat/>
    <w:uiPriority w:val="0"/>
    <w:pPr>
      <w:wordWrap w:val="0"/>
      <w:ind w:left="850"/>
      <w:jc w:val="both"/>
    </w:pPr>
    <w:rPr>
      <w:rFonts w:ascii="Calibri" w:hAnsi="Calibri" w:eastAsia="宋体" w:cs="Times New Roman"/>
      <w:sz w:val="21"/>
      <w:lang w:val="en-US" w:eastAsia="zh-CN" w:bidi="ar-SA"/>
    </w:rPr>
  </w:style>
  <w:style w:type="paragraph" w:customStyle="1" w:styleId="339">
    <w:name w:val="toc 93"/>
    <w:next w:val="1"/>
    <w:qFormat/>
    <w:uiPriority w:val="0"/>
    <w:pPr>
      <w:wordWrap w:val="0"/>
      <w:ind w:left="3400"/>
      <w:jc w:val="both"/>
    </w:pPr>
    <w:rPr>
      <w:rFonts w:ascii="Calibri" w:hAnsi="Calibri" w:eastAsia="宋体" w:cs="Times New Roman"/>
      <w:sz w:val="21"/>
      <w:lang w:val="en-US" w:eastAsia="zh-CN" w:bidi="ar-SA"/>
    </w:rPr>
  </w:style>
  <w:style w:type="paragraph" w:customStyle="1" w:styleId="340">
    <w:name w:val="toc 614"/>
    <w:next w:val="1"/>
    <w:qFormat/>
    <w:uiPriority w:val="0"/>
    <w:pPr>
      <w:wordWrap w:val="0"/>
      <w:ind w:left="2125"/>
      <w:jc w:val="both"/>
    </w:pPr>
    <w:rPr>
      <w:rFonts w:ascii="Calibri" w:hAnsi="Calibri" w:eastAsia="宋体" w:cs="Times New Roman"/>
      <w:sz w:val="21"/>
      <w:lang w:val="en-US" w:eastAsia="zh-CN" w:bidi="ar-SA"/>
    </w:rPr>
  </w:style>
  <w:style w:type="paragraph" w:customStyle="1" w:styleId="341">
    <w:name w:val="无间隔1"/>
    <w:next w:val="336"/>
    <w:qFormat/>
    <w:uiPriority w:val="0"/>
    <w:pPr>
      <w:widowControl w:val="0"/>
      <w:jc w:val="both"/>
    </w:pPr>
    <w:rPr>
      <w:rFonts w:ascii="Calibri" w:hAnsi="Calibri" w:eastAsia="宋体" w:cs="Times New Roman"/>
      <w:sz w:val="22"/>
      <w:lang w:val="en-US" w:eastAsia="zh-CN" w:bidi="ar-SA"/>
    </w:rPr>
  </w:style>
  <w:style w:type="paragraph" w:customStyle="1" w:styleId="342">
    <w:name w:val="目录 41"/>
    <w:next w:val="1"/>
    <w:qFormat/>
    <w:uiPriority w:val="0"/>
    <w:pPr>
      <w:wordWrap w:val="0"/>
      <w:ind w:left="1275"/>
      <w:jc w:val="both"/>
    </w:pPr>
    <w:rPr>
      <w:rFonts w:ascii="Calibri" w:hAnsi="Calibri" w:eastAsia="宋体" w:cs="Times New Roman"/>
      <w:sz w:val="21"/>
      <w:lang w:val="en-US" w:eastAsia="zh-CN" w:bidi="ar-SA"/>
    </w:rPr>
  </w:style>
  <w:style w:type="paragraph" w:customStyle="1" w:styleId="343">
    <w:name w:val="xl105"/>
    <w:basedOn w:val="1"/>
    <w:next w:val="344"/>
    <w:qFormat/>
    <w:uiPriority w:val="0"/>
    <w:pPr>
      <w:widowControl/>
      <w:shd w:val="clear" w:color="000000" w:fill="FFFFFF"/>
      <w:spacing w:before="280" w:after="280"/>
    </w:pPr>
    <w:rPr>
      <w:rFonts w:ascii="宋体" w:hAnsi="Calibri"/>
      <w:kern w:val="0"/>
      <w:sz w:val="18"/>
      <w:szCs w:val="20"/>
    </w:rPr>
  </w:style>
  <w:style w:type="paragraph" w:customStyle="1" w:styleId="344">
    <w:name w:val="toc 615"/>
    <w:next w:val="1"/>
    <w:qFormat/>
    <w:uiPriority w:val="0"/>
    <w:pPr>
      <w:wordWrap w:val="0"/>
      <w:ind w:left="2125"/>
      <w:jc w:val="both"/>
    </w:pPr>
    <w:rPr>
      <w:rFonts w:ascii="Calibri" w:hAnsi="Calibri" w:eastAsia="宋体" w:cs="Times New Roman"/>
      <w:sz w:val="21"/>
      <w:lang w:val="en-US" w:eastAsia="zh-CN" w:bidi="ar-SA"/>
    </w:rPr>
  </w:style>
  <w:style w:type="paragraph" w:customStyle="1" w:styleId="345">
    <w:name w:val="toc 41"/>
    <w:next w:val="1"/>
    <w:qFormat/>
    <w:uiPriority w:val="0"/>
    <w:pPr>
      <w:wordWrap w:val="0"/>
      <w:ind w:left="1275"/>
      <w:jc w:val="both"/>
    </w:pPr>
    <w:rPr>
      <w:rFonts w:ascii="Calibri" w:hAnsi="Calibri" w:eastAsia="宋体" w:cs="Times New Roman"/>
      <w:sz w:val="21"/>
      <w:lang w:val="en-US" w:eastAsia="zh-CN" w:bidi="ar-SA"/>
    </w:rPr>
  </w:style>
  <w:style w:type="paragraph" w:customStyle="1" w:styleId="346">
    <w:name w:val="toc 81"/>
    <w:next w:val="1"/>
    <w:qFormat/>
    <w:uiPriority w:val="0"/>
    <w:pPr>
      <w:wordWrap w:val="0"/>
      <w:ind w:left="2975"/>
      <w:jc w:val="both"/>
    </w:pPr>
    <w:rPr>
      <w:rFonts w:ascii="Calibri" w:hAnsi="Calibri" w:eastAsia="宋体" w:cs="Times New Roman"/>
      <w:sz w:val="21"/>
      <w:lang w:val="en-US" w:eastAsia="zh-CN" w:bidi="ar-SA"/>
    </w:rPr>
  </w:style>
  <w:style w:type="paragraph" w:customStyle="1" w:styleId="347">
    <w:name w:val="xl111"/>
    <w:basedOn w:val="1"/>
    <w:next w:val="348"/>
    <w:qFormat/>
    <w:uiPriority w:val="0"/>
    <w:pPr>
      <w:widowControl/>
      <w:shd w:val="clear" w:color="000000" w:fill="FFFFFF"/>
      <w:spacing w:before="280" w:after="280"/>
      <w:jc w:val="center"/>
    </w:pPr>
    <w:rPr>
      <w:rFonts w:ascii="宋体" w:hAnsi="Calibri"/>
      <w:b/>
      <w:kern w:val="0"/>
      <w:sz w:val="20"/>
      <w:szCs w:val="20"/>
    </w:rPr>
  </w:style>
  <w:style w:type="paragraph" w:customStyle="1" w:styleId="348">
    <w:name w:val="toc 88"/>
    <w:next w:val="1"/>
    <w:qFormat/>
    <w:uiPriority w:val="0"/>
    <w:pPr>
      <w:wordWrap w:val="0"/>
      <w:ind w:left="2975"/>
      <w:jc w:val="both"/>
    </w:pPr>
    <w:rPr>
      <w:rFonts w:ascii="Calibri" w:hAnsi="Calibri" w:eastAsia="宋体" w:cs="Times New Roman"/>
      <w:sz w:val="21"/>
      <w:lang w:val="en-US" w:eastAsia="zh-CN" w:bidi="ar-SA"/>
    </w:rPr>
  </w:style>
  <w:style w:type="paragraph" w:customStyle="1" w:styleId="349">
    <w:name w:val="toc 84"/>
    <w:next w:val="1"/>
    <w:qFormat/>
    <w:uiPriority w:val="0"/>
    <w:pPr>
      <w:wordWrap w:val="0"/>
      <w:ind w:left="2975"/>
      <w:jc w:val="both"/>
    </w:pPr>
    <w:rPr>
      <w:rFonts w:ascii="Calibri" w:hAnsi="Calibri" w:eastAsia="宋体" w:cs="Times New Roman"/>
      <w:sz w:val="21"/>
      <w:lang w:val="en-US" w:eastAsia="zh-CN" w:bidi="ar-SA"/>
    </w:rPr>
  </w:style>
  <w:style w:type="paragraph" w:customStyle="1" w:styleId="350">
    <w:name w:val="p0"/>
    <w:basedOn w:val="1"/>
    <w:next w:val="351"/>
    <w:qFormat/>
    <w:uiPriority w:val="0"/>
    <w:pPr>
      <w:widowControl/>
      <w:spacing w:before="280" w:after="280"/>
    </w:pPr>
    <w:rPr>
      <w:rFonts w:ascii="宋体" w:hAnsi="Calibri"/>
      <w:kern w:val="0"/>
      <w:sz w:val="24"/>
      <w:szCs w:val="20"/>
    </w:rPr>
  </w:style>
  <w:style w:type="paragraph" w:customStyle="1" w:styleId="351">
    <w:name w:val="toc 69"/>
    <w:next w:val="1"/>
    <w:qFormat/>
    <w:uiPriority w:val="0"/>
    <w:pPr>
      <w:wordWrap w:val="0"/>
      <w:ind w:left="2125"/>
      <w:jc w:val="both"/>
    </w:pPr>
    <w:rPr>
      <w:rFonts w:ascii="Calibri" w:hAnsi="Calibri" w:eastAsia="宋体" w:cs="Times New Roman"/>
      <w:sz w:val="21"/>
      <w:lang w:val="en-US" w:eastAsia="zh-CN" w:bidi="ar-SA"/>
    </w:rPr>
  </w:style>
  <w:style w:type="paragraph" w:customStyle="1" w:styleId="352">
    <w:name w:val="列出段落11"/>
    <w:basedOn w:val="1"/>
    <w:next w:val="353"/>
    <w:qFormat/>
    <w:uiPriority w:val="0"/>
    <w:pPr>
      <w:widowControl/>
      <w:spacing w:line="360" w:lineRule="auto"/>
      <w:ind w:firstLine="420"/>
    </w:pPr>
    <w:rPr>
      <w:rFonts w:hAnsi="Calibri" w:eastAsia="微软雅黑"/>
      <w:kern w:val="0"/>
      <w:sz w:val="24"/>
      <w:szCs w:val="20"/>
    </w:rPr>
  </w:style>
  <w:style w:type="paragraph" w:customStyle="1" w:styleId="353">
    <w:name w:val="toc 214"/>
    <w:next w:val="1"/>
    <w:qFormat/>
    <w:uiPriority w:val="0"/>
    <w:pPr>
      <w:wordWrap w:val="0"/>
      <w:ind w:left="425"/>
      <w:jc w:val="both"/>
    </w:pPr>
    <w:rPr>
      <w:rFonts w:ascii="Calibri" w:hAnsi="Calibri" w:eastAsia="宋体" w:cs="Times New Roman"/>
      <w:sz w:val="21"/>
      <w:lang w:val="en-US" w:eastAsia="zh-CN" w:bidi="ar-SA"/>
    </w:rPr>
  </w:style>
  <w:style w:type="paragraph" w:customStyle="1" w:styleId="354">
    <w:name w:val="toc 63"/>
    <w:next w:val="1"/>
    <w:qFormat/>
    <w:uiPriority w:val="0"/>
    <w:pPr>
      <w:wordWrap w:val="0"/>
      <w:ind w:left="2125"/>
      <w:jc w:val="both"/>
    </w:pPr>
    <w:rPr>
      <w:rFonts w:ascii="Calibri" w:hAnsi="Calibri" w:eastAsia="宋体" w:cs="Times New Roman"/>
      <w:sz w:val="21"/>
      <w:lang w:val="en-US" w:eastAsia="zh-CN" w:bidi="ar-SA"/>
    </w:rPr>
  </w:style>
  <w:style w:type="paragraph" w:customStyle="1" w:styleId="355">
    <w:name w:val="xl91"/>
    <w:basedOn w:val="1"/>
    <w:next w:val="252"/>
    <w:qFormat/>
    <w:uiPriority w:val="0"/>
    <w:pPr>
      <w:widowControl/>
      <w:shd w:val="clear" w:color="000000" w:fill="FFFFFF"/>
      <w:spacing w:before="280" w:after="280"/>
    </w:pPr>
    <w:rPr>
      <w:rFonts w:ascii="宋体" w:hAnsi="Calibri"/>
      <w:kern w:val="0"/>
      <w:sz w:val="20"/>
      <w:szCs w:val="20"/>
    </w:rPr>
  </w:style>
  <w:style w:type="paragraph" w:customStyle="1" w:styleId="356">
    <w:name w:val="toc 316"/>
    <w:next w:val="1"/>
    <w:qFormat/>
    <w:uiPriority w:val="0"/>
    <w:pPr>
      <w:wordWrap w:val="0"/>
      <w:ind w:left="850"/>
      <w:jc w:val="both"/>
    </w:pPr>
    <w:rPr>
      <w:rFonts w:ascii="Calibri" w:hAnsi="Calibri" w:eastAsia="宋体" w:cs="Times New Roman"/>
      <w:sz w:val="21"/>
      <w:lang w:val="en-US" w:eastAsia="zh-CN" w:bidi="ar-SA"/>
    </w:rPr>
  </w:style>
  <w:style w:type="paragraph" w:customStyle="1" w:styleId="357">
    <w:name w:val="_Style 1"/>
    <w:basedOn w:val="1"/>
    <w:next w:val="358"/>
    <w:qFormat/>
    <w:uiPriority w:val="0"/>
    <w:pPr>
      <w:ind w:firstLine="420"/>
    </w:pPr>
    <w:rPr>
      <w:rFonts w:hAnsi="Calibri"/>
      <w:kern w:val="0"/>
      <w:szCs w:val="20"/>
    </w:rPr>
  </w:style>
  <w:style w:type="paragraph" w:customStyle="1" w:styleId="358">
    <w:name w:val="TOC Heading13"/>
    <w:next w:val="1"/>
    <w:qFormat/>
    <w:uiPriority w:val="0"/>
    <w:pPr>
      <w:wordWrap w:val="0"/>
    </w:pPr>
    <w:rPr>
      <w:rFonts w:ascii="Calibri" w:hAnsi="Calibri" w:eastAsia="宋体" w:cs="Times New Roman"/>
      <w:sz w:val="32"/>
      <w:lang w:val="en-US" w:eastAsia="zh-CN" w:bidi="ar-SA"/>
    </w:rPr>
  </w:style>
  <w:style w:type="paragraph" w:customStyle="1" w:styleId="359">
    <w:name w:val="toc 116"/>
    <w:next w:val="1"/>
    <w:qFormat/>
    <w:uiPriority w:val="0"/>
    <w:pPr>
      <w:wordWrap w:val="0"/>
      <w:jc w:val="both"/>
    </w:pPr>
    <w:rPr>
      <w:rFonts w:ascii="Calibri" w:hAnsi="Calibri" w:eastAsia="宋体" w:cs="Times New Roman"/>
      <w:sz w:val="21"/>
      <w:lang w:val="en-US" w:eastAsia="zh-CN" w:bidi="ar-SA"/>
    </w:rPr>
  </w:style>
  <w:style w:type="paragraph" w:customStyle="1" w:styleId="360">
    <w:name w:val="toc 72"/>
    <w:next w:val="1"/>
    <w:qFormat/>
    <w:uiPriority w:val="0"/>
    <w:pPr>
      <w:wordWrap w:val="0"/>
      <w:ind w:left="2550"/>
      <w:jc w:val="both"/>
    </w:pPr>
    <w:rPr>
      <w:rFonts w:ascii="Calibri" w:hAnsi="Calibri" w:eastAsia="宋体" w:cs="Times New Roman"/>
      <w:sz w:val="21"/>
      <w:lang w:val="en-US" w:eastAsia="zh-CN" w:bidi="ar-SA"/>
    </w:rPr>
  </w:style>
  <w:style w:type="paragraph" w:customStyle="1" w:styleId="361">
    <w:name w:val="x_msonormal"/>
    <w:basedOn w:val="1"/>
    <w:next w:val="311"/>
    <w:qFormat/>
    <w:uiPriority w:val="0"/>
    <w:pPr>
      <w:widowControl/>
      <w:spacing w:before="280" w:after="280"/>
    </w:pPr>
    <w:rPr>
      <w:rFonts w:ascii="PMingLiU" w:hAnsi="Calibri" w:eastAsia="PMingLiU"/>
      <w:kern w:val="0"/>
      <w:sz w:val="24"/>
      <w:szCs w:val="20"/>
    </w:rPr>
  </w:style>
  <w:style w:type="paragraph" w:customStyle="1" w:styleId="362">
    <w:name w:val="toc 310"/>
    <w:next w:val="1"/>
    <w:qFormat/>
    <w:uiPriority w:val="0"/>
    <w:pPr>
      <w:wordWrap w:val="0"/>
      <w:ind w:left="850"/>
      <w:jc w:val="both"/>
    </w:pPr>
    <w:rPr>
      <w:rFonts w:ascii="Calibri" w:hAnsi="Calibri" w:eastAsia="宋体" w:cs="Times New Roman"/>
      <w:sz w:val="21"/>
      <w:lang w:val="en-US" w:eastAsia="zh-CN" w:bidi="ar-SA"/>
    </w:rPr>
  </w:style>
  <w:style w:type="paragraph" w:customStyle="1" w:styleId="363">
    <w:name w:val="toc 83"/>
    <w:next w:val="1"/>
    <w:qFormat/>
    <w:uiPriority w:val="0"/>
    <w:pPr>
      <w:wordWrap w:val="0"/>
      <w:ind w:left="2975"/>
      <w:jc w:val="both"/>
    </w:pPr>
    <w:rPr>
      <w:rFonts w:ascii="Calibri" w:hAnsi="Calibri" w:eastAsia="宋体" w:cs="Times New Roman"/>
      <w:sz w:val="21"/>
      <w:lang w:val="en-US" w:eastAsia="zh-CN" w:bidi="ar-SA"/>
    </w:rPr>
  </w:style>
  <w:style w:type="paragraph" w:customStyle="1" w:styleId="364">
    <w:name w:val="TOC Heading17"/>
    <w:next w:val="1"/>
    <w:qFormat/>
    <w:uiPriority w:val="0"/>
    <w:pPr>
      <w:wordWrap w:val="0"/>
    </w:pPr>
    <w:rPr>
      <w:rFonts w:ascii="Calibri" w:hAnsi="Calibri" w:eastAsia="宋体" w:cs="Times New Roman"/>
      <w:sz w:val="32"/>
      <w:lang w:val="en-US" w:eastAsia="zh-CN" w:bidi="ar-SA"/>
    </w:rPr>
  </w:style>
  <w:style w:type="paragraph" w:customStyle="1" w:styleId="365">
    <w:name w:val="toc 911"/>
    <w:next w:val="1"/>
    <w:qFormat/>
    <w:uiPriority w:val="0"/>
    <w:pPr>
      <w:wordWrap w:val="0"/>
      <w:ind w:left="3400"/>
      <w:jc w:val="both"/>
    </w:pPr>
    <w:rPr>
      <w:rFonts w:ascii="Calibri" w:hAnsi="Calibri" w:eastAsia="宋体" w:cs="Times New Roman"/>
      <w:sz w:val="21"/>
      <w:lang w:val="en-US" w:eastAsia="zh-CN" w:bidi="ar-SA"/>
    </w:rPr>
  </w:style>
  <w:style w:type="paragraph" w:customStyle="1" w:styleId="366">
    <w:name w:val="toc 811"/>
    <w:next w:val="1"/>
    <w:qFormat/>
    <w:uiPriority w:val="0"/>
    <w:pPr>
      <w:wordWrap w:val="0"/>
      <w:ind w:left="2975"/>
      <w:jc w:val="both"/>
    </w:pPr>
    <w:rPr>
      <w:rFonts w:ascii="Calibri" w:hAnsi="Calibri" w:eastAsia="宋体" w:cs="Times New Roman"/>
      <w:sz w:val="21"/>
      <w:lang w:val="en-US" w:eastAsia="zh-CN" w:bidi="ar-SA"/>
    </w:rPr>
  </w:style>
  <w:style w:type="paragraph" w:customStyle="1" w:styleId="367">
    <w:name w:val="目录 31"/>
    <w:next w:val="1"/>
    <w:qFormat/>
    <w:uiPriority w:val="0"/>
    <w:pPr>
      <w:wordWrap w:val="0"/>
      <w:ind w:left="850"/>
      <w:jc w:val="both"/>
    </w:pPr>
    <w:rPr>
      <w:rFonts w:ascii="Calibri" w:hAnsi="Calibri" w:eastAsia="宋体" w:cs="Times New Roman"/>
      <w:sz w:val="21"/>
      <w:lang w:val="en-US" w:eastAsia="zh-CN" w:bidi="ar-SA"/>
    </w:rPr>
  </w:style>
  <w:style w:type="paragraph" w:customStyle="1" w:styleId="368">
    <w:name w:val="xl118"/>
    <w:basedOn w:val="1"/>
    <w:next w:val="242"/>
    <w:qFormat/>
    <w:uiPriority w:val="0"/>
    <w:pPr>
      <w:widowControl/>
      <w:shd w:val="clear" w:color="000000" w:fill="FFFFFF"/>
      <w:spacing w:before="280" w:after="280"/>
      <w:jc w:val="center"/>
    </w:pPr>
    <w:rPr>
      <w:rFonts w:ascii="宋体" w:hAnsi="Calibri"/>
      <w:b/>
      <w:kern w:val="0"/>
      <w:sz w:val="20"/>
      <w:szCs w:val="20"/>
    </w:rPr>
  </w:style>
  <w:style w:type="paragraph" w:customStyle="1" w:styleId="369">
    <w:name w:val="xl83"/>
    <w:basedOn w:val="1"/>
    <w:next w:val="297"/>
    <w:qFormat/>
    <w:uiPriority w:val="0"/>
    <w:pPr>
      <w:widowControl/>
      <w:shd w:val="clear" w:color="000000" w:fill="FFFFFF"/>
      <w:spacing w:before="280" w:after="280"/>
    </w:pPr>
    <w:rPr>
      <w:rFonts w:ascii="宋体" w:hAnsi="Calibri"/>
      <w:kern w:val="0"/>
      <w:sz w:val="20"/>
      <w:szCs w:val="20"/>
    </w:rPr>
  </w:style>
  <w:style w:type="paragraph" w:customStyle="1" w:styleId="370">
    <w:name w:val="xl103"/>
    <w:basedOn w:val="1"/>
    <w:next w:val="371"/>
    <w:qFormat/>
    <w:uiPriority w:val="0"/>
    <w:pPr>
      <w:widowControl/>
      <w:shd w:val="clear" w:color="000000" w:fill="FFFFFF"/>
      <w:spacing w:before="280" w:after="280"/>
    </w:pPr>
    <w:rPr>
      <w:rFonts w:ascii="宋体" w:hAnsi="Calibri"/>
      <w:kern w:val="0"/>
      <w:sz w:val="20"/>
      <w:szCs w:val="20"/>
    </w:rPr>
  </w:style>
  <w:style w:type="paragraph" w:customStyle="1" w:styleId="371">
    <w:name w:val="toc 111"/>
    <w:next w:val="1"/>
    <w:qFormat/>
    <w:uiPriority w:val="0"/>
    <w:pPr>
      <w:wordWrap w:val="0"/>
      <w:jc w:val="both"/>
    </w:pPr>
    <w:rPr>
      <w:rFonts w:ascii="Calibri" w:hAnsi="Calibri" w:eastAsia="宋体" w:cs="Times New Roman"/>
      <w:sz w:val="21"/>
      <w:lang w:val="en-US" w:eastAsia="zh-CN" w:bidi="ar-SA"/>
    </w:rPr>
  </w:style>
  <w:style w:type="paragraph" w:customStyle="1" w:styleId="372">
    <w:name w:val="xl68"/>
    <w:basedOn w:val="1"/>
    <w:next w:val="373"/>
    <w:qFormat/>
    <w:uiPriority w:val="0"/>
    <w:pPr>
      <w:widowControl/>
      <w:shd w:val="clear" w:color="000000" w:fill="FFFFFF"/>
      <w:spacing w:before="280" w:after="280"/>
    </w:pPr>
    <w:rPr>
      <w:rFonts w:ascii="宋体" w:hAnsi="Calibri"/>
      <w:b/>
      <w:kern w:val="0"/>
      <w:sz w:val="20"/>
      <w:szCs w:val="20"/>
    </w:rPr>
  </w:style>
  <w:style w:type="paragraph" w:customStyle="1" w:styleId="373">
    <w:name w:val="TOC Heading16"/>
    <w:next w:val="1"/>
    <w:qFormat/>
    <w:uiPriority w:val="0"/>
    <w:pPr>
      <w:wordWrap w:val="0"/>
    </w:pPr>
    <w:rPr>
      <w:rFonts w:ascii="Calibri" w:hAnsi="Calibri" w:eastAsia="宋体" w:cs="Times New Roman"/>
      <w:sz w:val="32"/>
      <w:lang w:val="en-US" w:eastAsia="zh-CN" w:bidi="ar-SA"/>
    </w:rPr>
  </w:style>
  <w:style w:type="paragraph" w:customStyle="1" w:styleId="374">
    <w:name w:val="toc 113"/>
    <w:next w:val="1"/>
    <w:qFormat/>
    <w:uiPriority w:val="0"/>
    <w:pPr>
      <w:wordWrap w:val="0"/>
      <w:jc w:val="both"/>
    </w:pPr>
    <w:rPr>
      <w:rFonts w:ascii="Calibri" w:hAnsi="Calibri" w:eastAsia="宋体" w:cs="Times New Roman"/>
      <w:sz w:val="21"/>
      <w:lang w:val="en-US" w:eastAsia="zh-CN" w:bidi="ar-SA"/>
    </w:rPr>
  </w:style>
  <w:style w:type="paragraph" w:customStyle="1" w:styleId="375">
    <w:name w:val="xl94"/>
    <w:basedOn w:val="1"/>
    <w:next w:val="266"/>
    <w:qFormat/>
    <w:uiPriority w:val="0"/>
    <w:pPr>
      <w:widowControl/>
      <w:shd w:val="clear" w:color="000000" w:fill="FFFFFF"/>
      <w:spacing w:before="280" w:after="280"/>
      <w:jc w:val="center"/>
    </w:pPr>
    <w:rPr>
      <w:rFonts w:ascii="宋体" w:hAnsi="Calibri"/>
      <w:kern w:val="0"/>
      <w:sz w:val="20"/>
      <w:szCs w:val="20"/>
    </w:rPr>
  </w:style>
  <w:style w:type="paragraph" w:customStyle="1" w:styleId="376">
    <w:name w:val="toc 53"/>
    <w:next w:val="1"/>
    <w:qFormat/>
    <w:uiPriority w:val="0"/>
    <w:pPr>
      <w:wordWrap w:val="0"/>
      <w:ind w:left="1700"/>
      <w:jc w:val="both"/>
    </w:pPr>
    <w:rPr>
      <w:rFonts w:ascii="Calibri" w:hAnsi="Calibri" w:eastAsia="宋体" w:cs="Times New Roman"/>
      <w:sz w:val="21"/>
      <w:lang w:val="en-US" w:eastAsia="zh-CN" w:bidi="ar-SA"/>
    </w:rPr>
  </w:style>
  <w:style w:type="paragraph" w:customStyle="1" w:styleId="377">
    <w:name w:val="xl92"/>
    <w:basedOn w:val="1"/>
    <w:next w:val="378"/>
    <w:qFormat/>
    <w:uiPriority w:val="0"/>
    <w:pPr>
      <w:widowControl/>
      <w:shd w:val="clear" w:color="000000" w:fill="FFFFFF"/>
      <w:spacing w:before="280" w:after="280"/>
    </w:pPr>
    <w:rPr>
      <w:rFonts w:ascii="宋体" w:hAnsi="Calibri"/>
      <w:kern w:val="0"/>
      <w:sz w:val="20"/>
      <w:szCs w:val="20"/>
    </w:rPr>
  </w:style>
  <w:style w:type="paragraph" w:customStyle="1" w:styleId="378">
    <w:name w:val="toc 913"/>
    <w:next w:val="1"/>
    <w:qFormat/>
    <w:uiPriority w:val="0"/>
    <w:pPr>
      <w:wordWrap w:val="0"/>
      <w:ind w:left="3400"/>
      <w:jc w:val="both"/>
    </w:pPr>
    <w:rPr>
      <w:rFonts w:ascii="Calibri" w:hAnsi="Calibri" w:eastAsia="宋体" w:cs="Times New Roman"/>
      <w:sz w:val="21"/>
      <w:lang w:val="en-US" w:eastAsia="zh-CN" w:bidi="ar-SA"/>
    </w:rPr>
  </w:style>
  <w:style w:type="paragraph" w:customStyle="1" w:styleId="379">
    <w:name w:val="toc 512"/>
    <w:next w:val="1"/>
    <w:qFormat/>
    <w:uiPriority w:val="0"/>
    <w:pPr>
      <w:wordWrap w:val="0"/>
      <w:ind w:left="1700"/>
      <w:jc w:val="both"/>
    </w:pPr>
    <w:rPr>
      <w:rFonts w:ascii="Calibri" w:hAnsi="Calibri" w:eastAsia="宋体" w:cs="Times New Roman"/>
      <w:sz w:val="21"/>
      <w:lang w:val="en-US" w:eastAsia="zh-CN" w:bidi="ar-SA"/>
    </w:rPr>
  </w:style>
  <w:style w:type="paragraph" w:customStyle="1" w:styleId="380">
    <w:name w:val="目录 81"/>
    <w:next w:val="1"/>
    <w:qFormat/>
    <w:uiPriority w:val="0"/>
    <w:pPr>
      <w:wordWrap w:val="0"/>
      <w:ind w:left="2975"/>
      <w:jc w:val="both"/>
    </w:pPr>
    <w:rPr>
      <w:rFonts w:ascii="Calibri" w:hAnsi="Calibri" w:eastAsia="宋体" w:cs="Times New Roman"/>
      <w:sz w:val="21"/>
      <w:lang w:val="en-US" w:eastAsia="zh-CN" w:bidi="ar-SA"/>
    </w:rPr>
  </w:style>
  <w:style w:type="paragraph" w:customStyle="1" w:styleId="381">
    <w:name w:val="正文表标题"/>
    <w:next w:val="1"/>
    <w:qFormat/>
    <w:uiPriority w:val="0"/>
    <w:pPr>
      <w:ind w:left="630"/>
      <w:jc w:val="center"/>
    </w:pPr>
    <w:rPr>
      <w:rFonts w:ascii="黑体" w:hAnsi="Calibri" w:eastAsia="黑体" w:cs="Times New Roman"/>
      <w:sz w:val="21"/>
      <w:lang w:val="en-US" w:eastAsia="zh-CN" w:bidi="ar-SA"/>
    </w:rPr>
  </w:style>
  <w:style w:type="paragraph" w:customStyle="1" w:styleId="382">
    <w:name w:val="toc 28"/>
    <w:next w:val="1"/>
    <w:qFormat/>
    <w:uiPriority w:val="0"/>
    <w:pPr>
      <w:wordWrap w:val="0"/>
      <w:ind w:left="425"/>
      <w:jc w:val="both"/>
    </w:pPr>
    <w:rPr>
      <w:rFonts w:ascii="Calibri" w:hAnsi="Calibri" w:eastAsia="宋体" w:cs="Times New Roman"/>
      <w:sz w:val="21"/>
      <w:lang w:val="en-US" w:eastAsia="zh-CN" w:bidi="ar-SA"/>
    </w:rPr>
  </w:style>
  <w:style w:type="paragraph" w:customStyle="1" w:styleId="383">
    <w:name w:val="toc 79"/>
    <w:next w:val="1"/>
    <w:qFormat/>
    <w:uiPriority w:val="0"/>
    <w:pPr>
      <w:wordWrap w:val="0"/>
      <w:ind w:left="2550"/>
      <w:jc w:val="both"/>
    </w:pPr>
    <w:rPr>
      <w:rFonts w:ascii="Calibri" w:hAnsi="Calibri" w:eastAsia="宋体" w:cs="Times New Roman"/>
      <w:sz w:val="21"/>
      <w:lang w:val="en-US" w:eastAsia="zh-CN" w:bidi="ar-SA"/>
    </w:rPr>
  </w:style>
  <w:style w:type="paragraph" w:customStyle="1" w:styleId="384">
    <w:name w:val="xl110"/>
    <w:basedOn w:val="1"/>
    <w:next w:val="340"/>
    <w:qFormat/>
    <w:uiPriority w:val="0"/>
    <w:pPr>
      <w:widowControl/>
      <w:shd w:val="clear" w:color="000000" w:fill="FFFFFF"/>
      <w:spacing w:before="280" w:after="280"/>
      <w:jc w:val="center"/>
    </w:pPr>
    <w:rPr>
      <w:rFonts w:ascii="宋体" w:hAnsi="Calibri"/>
      <w:kern w:val="0"/>
      <w:sz w:val="20"/>
      <w:szCs w:val="20"/>
    </w:rPr>
  </w:style>
  <w:style w:type="paragraph" w:customStyle="1" w:styleId="385">
    <w:name w:val="toc 511"/>
    <w:next w:val="1"/>
    <w:qFormat/>
    <w:uiPriority w:val="0"/>
    <w:pPr>
      <w:wordWrap w:val="0"/>
      <w:ind w:left="1700"/>
      <w:jc w:val="both"/>
    </w:pPr>
    <w:rPr>
      <w:rFonts w:ascii="Calibri" w:hAnsi="Calibri" w:eastAsia="宋体" w:cs="Times New Roman"/>
      <w:sz w:val="21"/>
      <w:lang w:val="en-US" w:eastAsia="zh-CN" w:bidi="ar-SA"/>
    </w:rPr>
  </w:style>
  <w:style w:type="paragraph" w:customStyle="1" w:styleId="386">
    <w:name w:val="toc 416"/>
    <w:next w:val="1"/>
    <w:qFormat/>
    <w:uiPriority w:val="0"/>
    <w:pPr>
      <w:wordWrap w:val="0"/>
      <w:ind w:left="1275"/>
      <w:jc w:val="both"/>
    </w:pPr>
    <w:rPr>
      <w:rFonts w:ascii="Calibri" w:hAnsi="Calibri" w:eastAsia="宋体" w:cs="Times New Roman"/>
      <w:sz w:val="21"/>
      <w:lang w:val="en-US" w:eastAsia="zh-CN" w:bidi="ar-SA"/>
    </w:rPr>
  </w:style>
  <w:style w:type="paragraph" w:customStyle="1" w:styleId="387">
    <w:name w:val="xl85"/>
    <w:basedOn w:val="1"/>
    <w:next w:val="388"/>
    <w:qFormat/>
    <w:uiPriority w:val="0"/>
    <w:pPr>
      <w:widowControl/>
      <w:shd w:val="clear" w:color="000000" w:fill="FFFFFF"/>
      <w:spacing w:before="280" w:after="280"/>
      <w:jc w:val="center"/>
    </w:pPr>
    <w:rPr>
      <w:rFonts w:ascii="宋体" w:hAnsi="Calibri"/>
      <w:kern w:val="0"/>
      <w:sz w:val="20"/>
      <w:szCs w:val="20"/>
    </w:rPr>
  </w:style>
  <w:style w:type="paragraph" w:customStyle="1" w:styleId="388">
    <w:name w:val="toc 76"/>
    <w:next w:val="1"/>
    <w:qFormat/>
    <w:uiPriority w:val="0"/>
    <w:pPr>
      <w:wordWrap w:val="0"/>
      <w:ind w:left="2550"/>
      <w:jc w:val="both"/>
    </w:pPr>
    <w:rPr>
      <w:rFonts w:ascii="Calibri" w:hAnsi="Calibri" w:eastAsia="宋体" w:cs="Times New Roman"/>
      <w:sz w:val="21"/>
      <w:lang w:val="en-US" w:eastAsia="zh-CN" w:bidi="ar-SA"/>
    </w:rPr>
  </w:style>
  <w:style w:type="paragraph" w:customStyle="1" w:styleId="389">
    <w:name w:val="toc 27"/>
    <w:next w:val="1"/>
    <w:qFormat/>
    <w:uiPriority w:val="0"/>
    <w:pPr>
      <w:wordWrap w:val="0"/>
      <w:ind w:left="425"/>
      <w:jc w:val="both"/>
    </w:pPr>
    <w:rPr>
      <w:rFonts w:ascii="Calibri" w:hAnsi="Calibri" w:eastAsia="宋体" w:cs="Times New Roman"/>
      <w:sz w:val="21"/>
      <w:lang w:val="en-US" w:eastAsia="zh-CN" w:bidi="ar-SA"/>
    </w:rPr>
  </w:style>
  <w:style w:type="paragraph" w:customStyle="1" w:styleId="390">
    <w:name w:val="toc 916"/>
    <w:next w:val="1"/>
    <w:qFormat/>
    <w:uiPriority w:val="0"/>
    <w:pPr>
      <w:wordWrap w:val="0"/>
      <w:ind w:left="3400"/>
      <w:jc w:val="both"/>
    </w:pPr>
    <w:rPr>
      <w:rFonts w:ascii="Calibri" w:hAnsi="Calibri" w:eastAsia="宋体" w:cs="Times New Roman"/>
      <w:sz w:val="21"/>
      <w:lang w:val="en-US" w:eastAsia="zh-CN" w:bidi="ar-SA"/>
    </w:rPr>
  </w:style>
  <w:style w:type="paragraph" w:customStyle="1" w:styleId="391">
    <w:name w:val="toc 77"/>
    <w:next w:val="1"/>
    <w:qFormat/>
    <w:uiPriority w:val="0"/>
    <w:pPr>
      <w:wordWrap w:val="0"/>
      <w:ind w:left="2550"/>
      <w:jc w:val="both"/>
    </w:pPr>
    <w:rPr>
      <w:rFonts w:ascii="Calibri" w:hAnsi="Calibri" w:eastAsia="宋体" w:cs="Times New Roman"/>
      <w:sz w:val="21"/>
      <w:lang w:val="en-US" w:eastAsia="zh-CN" w:bidi="ar-SA"/>
    </w:rPr>
  </w:style>
  <w:style w:type="paragraph" w:customStyle="1" w:styleId="392">
    <w:name w:val="toc 211"/>
    <w:next w:val="1"/>
    <w:qFormat/>
    <w:uiPriority w:val="0"/>
    <w:pPr>
      <w:wordWrap w:val="0"/>
      <w:ind w:left="425"/>
      <w:jc w:val="both"/>
    </w:pPr>
    <w:rPr>
      <w:rFonts w:ascii="Calibri" w:hAnsi="Calibri" w:eastAsia="宋体" w:cs="Times New Roman"/>
      <w:sz w:val="21"/>
      <w:lang w:val="en-US" w:eastAsia="zh-CN" w:bidi="ar-SA"/>
    </w:rPr>
  </w:style>
  <w:style w:type="paragraph" w:customStyle="1" w:styleId="393">
    <w:name w:val="toc 815"/>
    <w:next w:val="1"/>
    <w:qFormat/>
    <w:uiPriority w:val="0"/>
    <w:pPr>
      <w:wordWrap w:val="0"/>
      <w:ind w:left="2975"/>
      <w:jc w:val="both"/>
    </w:pPr>
    <w:rPr>
      <w:rFonts w:ascii="Calibri" w:hAnsi="Calibri" w:eastAsia="宋体" w:cs="Times New Roman"/>
      <w:sz w:val="21"/>
      <w:lang w:val="en-US" w:eastAsia="zh-CN" w:bidi="ar-SA"/>
    </w:rPr>
  </w:style>
  <w:style w:type="paragraph" w:customStyle="1" w:styleId="394">
    <w:name w:val="xl99"/>
    <w:basedOn w:val="1"/>
    <w:next w:val="379"/>
    <w:qFormat/>
    <w:uiPriority w:val="0"/>
    <w:pPr>
      <w:widowControl/>
      <w:shd w:val="clear" w:color="000000" w:fill="FFFFFF"/>
      <w:spacing w:before="280" w:after="280"/>
    </w:pPr>
    <w:rPr>
      <w:rFonts w:ascii="宋体" w:hAnsi="Calibri"/>
      <w:kern w:val="0"/>
      <w:sz w:val="18"/>
      <w:szCs w:val="20"/>
    </w:rPr>
  </w:style>
  <w:style w:type="paragraph" w:customStyle="1" w:styleId="395">
    <w:name w:val="xl97"/>
    <w:basedOn w:val="1"/>
    <w:next w:val="267"/>
    <w:qFormat/>
    <w:uiPriority w:val="0"/>
    <w:pPr>
      <w:widowControl/>
      <w:shd w:val="clear" w:color="000000" w:fill="FFFFFF"/>
      <w:spacing w:before="280" w:after="280"/>
      <w:jc w:val="center"/>
    </w:pPr>
    <w:rPr>
      <w:rFonts w:ascii="宋体" w:hAnsi="Calibri"/>
      <w:kern w:val="0"/>
      <w:sz w:val="20"/>
      <w:szCs w:val="20"/>
    </w:rPr>
  </w:style>
  <w:style w:type="paragraph" w:customStyle="1" w:styleId="396">
    <w:name w:val="toc 612"/>
    <w:next w:val="1"/>
    <w:qFormat/>
    <w:uiPriority w:val="0"/>
    <w:pPr>
      <w:wordWrap w:val="0"/>
      <w:ind w:left="2125"/>
      <w:jc w:val="both"/>
    </w:pPr>
    <w:rPr>
      <w:rFonts w:ascii="Calibri" w:hAnsi="Calibri" w:eastAsia="宋体" w:cs="Times New Roman"/>
      <w:sz w:val="21"/>
      <w:lang w:val="en-US" w:eastAsia="zh-CN" w:bidi="ar-SA"/>
    </w:rPr>
  </w:style>
  <w:style w:type="paragraph" w:customStyle="1" w:styleId="397">
    <w:name w:val="toc 315"/>
    <w:next w:val="1"/>
    <w:qFormat/>
    <w:uiPriority w:val="0"/>
    <w:pPr>
      <w:wordWrap w:val="0"/>
      <w:ind w:left="850"/>
      <w:jc w:val="both"/>
    </w:pPr>
    <w:rPr>
      <w:rFonts w:ascii="Calibri" w:hAnsi="Calibri" w:eastAsia="宋体" w:cs="Times New Roman"/>
      <w:sz w:val="21"/>
      <w:lang w:val="en-US" w:eastAsia="zh-CN" w:bidi="ar-SA"/>
    </w:rPr>
  </w:style>
  <w:style w:type="paragraph" w:customStyle="1" w:styleId="398">
    <w:name w:val="TOC Heading15"/>
    <w:next w:val="1"/>
    <w:qFormat/>
    <w:uiPriority w:val="0"/>
    <w:pPr>
      <w:wordWrap w:val="0"/>
    </w:pPr>
    <w:rPr>
      <w:rFonts w:ascii="Calibri" w:hAnsi="Calibri" w:eastAsia="宋体" w:cs="Times New Roman"/>
      <w:sz w:val="32"/>
      <w:lang w:val="en-US" w:eastAsia="zh-CN" w:bidi="ar-SA"/>
    </w:rPr>
  </w:style>
  <w:style w:type="paragraph" w:customStyle="1" w:styleId="399">
    <w:name w:val="toc 915"/>
    <w:next w:val="1"/>
    <w:qFormat/>
    <w:uiPriority w:val="0"/>
    <w:pPr>
      <w:wordWrap w:val="0"/>
      <w:ind w:left="3400"/>
      <w:jc w:val="both"/>
    </w:pPr>
    <w:rPr>
      <w:rFonts w:ascii="Calibri" w:hAnsi="Calibri" w:eastAsia="宋体" w:cs="Times New Roman"/>
      <w:sz w:val="21"/>
      <w:lang w:val="en-US" w:eastAsia="zh-CN" w:bidi="ar-SA"/>
    </w:rPr>
  </w:style>
  <w:style w:type="paragraph" w:customStyle="1" w:styleId="400">
    <w:name w:val="toc 39"/>
    <w:next w:val="1"/>
    <w:qFormat/>
    <w:uiPriority w:val="0"/>
    <w:pPr>
      <w:wordWrap w:val="0"/>
      <w:ind w:left="850"/>
      <w:jc w:val="both"/>
    </w:pPr>
    <w:rPr>
      <w:rFonts w:ascii="Calibri" w:hAnsi="Calibri" w:eastAsia="宋体" w:cs="Times New Roman"/>
      <w:sz w:val="21"/>
      <w:lang w:val="en-US" w:eastAsia="zh-CN" w:bidi="ar-SA"/>
    </w:rPr>
  </w:style>
  <w:style w:type="paragraph" w:customStyle="1" w:styleId="401">
    <w:name w:val="toc 710"/>
    <w:next w:val="1"/>
    <w:qFormat/>
    <w:uiPriority w:val="0"/>
    <w:pPr>
      <w:wordWrap w:val="0"/>
      <w:ind w:left="2550"/>
      <w:jc w:val="both"/>
    </w:pPr>
    <w:rPr>
      <w:rFonts w:ascii="Calibri" w:hAnsi="Calibri" w:eastAsia="宋体" w:cs="Times New Roman"/>
      <w:sz w:val="21"/>
      <w:lang w:val="en-US" w:eastAsia="zh-CN" w:bidi="ar-SA"/>
    </w:rPr>
  </w:style>
  <w:style w:type="paragraph" w:customStyle="1" w:styleId="402">
    <w:name w:val="toc 12"/>
    <w:next w:val="1"/>
    <w:qFormat/>
    <w:uiPriority w:val="0"/>
    <w:pPr>
      <w:wordWrap w:val="0"/>
      <w:jc w:val="both"/>
    </w:pPr>
    <w:rPr>
      <w:rFonts w:ascii="Calibri" w:hAnsi="Calibri" w:eastAsia="宋体" w:cs="Times New Roman"/>
      <w:sz w:val="21"/>
      <w:lang w:val="en-US" w:eastAsia="zh-CN" w:bidi="ar-SA"/>
    </w:rPr>
  </w:style>
  <w:style w:type="paragraph" w:customStyle="1" w:styleId="403">
    <w:name w:val="xl95"/>
    <w:basedOn w:val="1"/>
    <w:next w:val="404"/>
    <w:qFormat/>
    <w:uiPriority w:val="0"/>
    <w:pPr>
      <w:widowControl/>
      <w:shd w:val="clear" w:color="000000" w:fill="FFFFFF"/>
      <w:spacing w:before="280" w:after="280"/>
    </w:pPr>
    <w:rPr>
      <w:rFonts w:ascii="宋体" w:hAnsi="Calibri"/>
      <w:kern w:val="0"/>
      <w:sz w:val="20"/>
      <w:szCs w:val="20"/>
    </w:rPr>
  </w:style>
  <w:style w:type="paragraph" w:customStyle="1" w:styleId="404">
    <w:name w:val="toc 415"/>
    <w:next w:val="1"/>
    <w:qFormat/>
    <w:uiPriority w:val="0"/>
    <w:pPr>
      <w:wordWrap w:val="0"/>
      <w:ind w:left="1275"/>
      <w:jc w:val="both"/>
    </w:pPr>
    <w:rPr>
      <w:rFonts w:ascii="Calibri" w:hAnsi="Calibri" w:eastAsia="宋体" w:cs="Times New Roman"/>
      <w:sz w:val="21"/>
      <w:lang w:val="en-US" w:eastAsia="zh-CN" w:bidi="ar-SA"/>
    </w:rPr>
  </w:style>
  <w:style w:type="paragraph" w:customStyle="1" w:styleId="405">
    <w:name w:val="toc 29"/>
    <w:next w:val="1"/>
    <w:qFormat/>
    <w:uiPriority w:val="0"/>
    <w:pPr>
      <w:wordWrap w:val="0"/>
      <w:ind w:left="425"/>
      <w:jc w:val="both"/>
    </w:pPr>
    <w:rPr>
      <w:rFonts w:ascii="Calibri" w:hAnsi="Calibri" w:eastAsia="宋体" w:cs="Times New Roman"/>
      <w:sz w:val="21"/>
      <w:lang w:val="en-US" w:eastAsia="zh-CN" w:bidi="ar-SA"/>
    </w:rPr>
  </w:style>
  <w:style w:type="paragraph" w:customStyle="1" w:styleId="406">
    <w:name w:val="xl67"/>
    <w:basedOn w:val="1"/>
    <w:next w:val="407"/>
    <w:qFormat/>
    <w:uiPriority w:val="0"/>
    <w:pPr>
      <w:widowControl/>
      <w:shd w:val="clear" w:color="000000" w:fill="FFFFFF"/>
      <w:spacing w:before="280" w:after="280"/>
      <w:jc w:val="center"/>
    </w:pPr>
    <w:rPr>
      <w:rFonts w:ascii="宋体" w:hAnsi="Calibri"/>
      <w:b/>
      <w:kern w:val="0"/>
      <w:sz w:val="20"/>
      <w:szCs w:val="20"/>
    </w:rPr>
  </w:style>
  <w:style w:type="paragraph" w:customStyle="1" w:styleId="407">
    <w:name w:val="toc 714"/>
    <w:next w:val="1"/>
    <w:qFormat/>
    <w:uiPriority w:val="0"/>
    <w:pPr>
      <w:wordWrap w:val="0"/>
      <w:ind w:left="2550"/>
      <w:jc w:val="both"/>
    </w:pPr>
    <w:rPr>
      <w:rFonts w:ascii="Calibri" w:hAnsi="Calibri" w:eastAsia="宋体" w:cs="Times New Roman"/>
      <w:sz w:val="21"/>
      <w:lang w:val="en-US" w:eastAsia="zh-CN" w:bidi="ar-SA"/>
    </w:rPr>
  </w:style>
  <w:style w:type="paragraph" w:customStyle="1" w:styleId="408">
    <w:name w:val="toc 21"/>
    <w:next w:val="1"/>
    <w:qFormat/>
    <w:uiPriority w:val="0"/>
    <w:pPr>
      <w:wordWrap w:val="0"/>
      <w:ind w:left="425"/>
      <w:jc w:val="both"/>
    </w:pPr>
    <w:rPr>
      <w:rFonts w:ascii="Calibri" w:hAnsi="Calibri" w:eastAsia="宋体" w:cs="Times New Roman"/>
      <w:sz w:val="21"/>
      <w:lang w:val="en-US" w:eastAsia="zh-CN" w:bidi="ar-SA"/>
    </w:rPr>
  </w:style>
  <w:style w:type="paragraph" w:customStyle="1" w:styleId="409">
    <w:name w:val="正文 A"/>
    <w:next w:val="326"/>
    <w:qFormat/>
    <w:uiPriority w:val="0"/>
    <w:rPr>
      <w:rFonts w:ascii="Arial" w:hAnsi="Calibri" w:eastAsia="Arial Unicode MS" w:cs="Times New Roman"/>
      <w:color w:val="000000"/>
      <w:sz w:val="21"/>
      <w:lang w:val="en-US" w:eastAsia="zh-CN" w:bidi="ar-SA"/>
    </w:rPr>
  </w:style>
  <w:style w:type="paragraph" w:customStyle="1" w:styleId="410">
    <w:name w:val="toc 68"/>
    <w:next w:val="1"/>
    <w:qFormat/>
    <w:uiPriority w:val="0"/>
    <w:pPr>
      <w:wordWrap w:val="0"/>
      <w:ind w:left="2125"/>
      <w:jc w:val="both"/>
    </w:pPr>
    <w:rPr>
      <w:rFonts w:ascii="Calibri" w:hAnsi="Calibri" w:eastAsia="宋体" w:cs="Times New Roman"/>
      <w:sz w:val="21"/>
      <w:lang w:val="en-US" w:eastAsia="zh-CN" w:bidi="ar-SA"/>
    </w:rPr>
  </w:style>
  <w:style w:type="paragraph" w:customStyle="1" w:styleId="411">
    <w:name w:val="toc 58"/>
    <w:next w:val="1"/>
    <w:qFormat/>
    <w:uiPriority w:val="0"/>
    <w:pPr>
      <w:wordWrap w:val="0"/>
      <w:ind w:left="1700"/>
      <w:jc w:val="both"/>
    </w:pPr>
    <w:rPr>
      <w:rFonts w:ascii="Calibri" w:hAnsi="Calibri" w:eastAsia="宋体" w:cs="Times New Roman"/>
      <w:sz w:val="21"/>
      <w:lang w:val="en-US" w:eastAsia="zh-CN" w:bidi="ar-SA"/>
    </w:rPr>
  </w:style>
  <w:style w:type="paragraph" w:customStyle="1" w:styleId="412">
    <w:name w:val="xl88"/>
    <w:basedOn w:val="1"/>
    <w:next w:val="398"/>
    <w:qFormat/>
    <w:uiPriority w:val="0"/>
    <w:pPr>
      <w:widowControl/>
      <w:shd w:val="clear" w:color="000000" w:fill="FFFFFF"/>
      <w:spacing w:before="280" w:after="280"/>
      <w:jc w:val="center"/>
    </w:pPr>
    <w:rPr>
      <w:rFonts w:ascii="宋体" w:hAnsi="Calibri"/>
      <w:kern w:val="0"/>
      <w:sz w:val="20"/>
      <w:szCs w:val="20"/>
    </w:rPr>
  </w:style>
  <w:style w:type="paragraph" w:customStyle="1" w:styleId="413">
    <w:name w:val="toc 71"/>
    <w:next w:val="1"/>
    <w:qFormat/>
    <w:uiPriority w:val="0"/>
    <w:pPr>
      <w:wordWrap w:val="0"/>
      <w:ind w:left="2550"/>
      <w:jc w:val="both"/>
    </w:pPr>
    <w:rPr>
      <w:rFonts w:ascii="Calibri" w:hAnsi="Calibri" w:eastAsia="宋体" w:cs="Times New Roman"/>
      <w:sz w:val="21"/>
      <w:lang w:val="en-US" w:eastAsia="zh-CN" w:bidi="ar-SA"/>
    </w:rPr>
  </w:style>
  <w:style w:type="paragraph" w:customStyle="1" w:styleId="414">
    <w:name w:val="xl100"/>
    <w:basedOn w:val="1"/>
    <w:next w:val="415"/>
    <w:qFormat/>
    <w:uiPriority w:val="0"/>
    <w:pPr>
      <w:widowControl/>
      <w:shd w:val="clear" w:color="000000" w:fill="FFFFFF"/>
      <w:spacing w:before="280" w:after="280"/>
    </w:pPr>
    <w:rPr>
      <w:rFonts w:ascii="宋体" w:hAnsi="Calibri"/>
      <w:kern w:val="0"/>
      <w:sz w:val="20"/>
      <w:szCs w:val="20"/>
    </w:rPr>
  </w:style>
  <w:style w:type="paragraph" w:customStyle="1" w:styleId="415">
    <w:name w:val="toc 510"/>
    <w:next w:val="1"/>
    <w:qFormat/>
    <w:uiPriority w:val="0"/>
    <w:pPr>
      <w:wordWrap w:val="0"/>
      <w:ind w:left="1700"/>
      <w:jc w:val="both"/>
    </w:pPr>
    <w:rPr>
      <w:rFonts w:ascii="Calibri" w:hAnsi="Calibri" w:eastAsia="宋体" w:cs="Times New Roman"/>
      <w:sz w:val="21"/>
      <w:lang w:val="en-US" w:eastAsia="zh-CN" w:bidi="ar-SA"/>
    </w:rPr>
  </w:style>
  <w:style w:type="paragraph" w:customStyle="1" w:styleId="416">
    <w:name w:val="toc 314"/>
    <w:next w:val="1"/>
    <w:qFormat/>
    <w:uiPriority w:val="0"/>
    <w:pPr>
      <w:wordWrap w:val="0"/>
      <w:ind w:left="850"/>
      <w:jc w:val="both"/>
    </w:pPr>
    <w:rPr>
      <w:rFonts w:ascii="Calibri" w:hAnsi="Calibri" w:eastAsia="宋体" w:cs="Times New Roman"/>
      <w:sz w:val="21"/>
      <w:lang w:val="en-US" w:eastAsia="zh-CN" w:bidi="ar-SA"/>
    </w:rPr>
  </w:style>
  <w:style w:type="paragraph" w:customStyle="1" w:styleId="417">
    <w:name w:val="xl114"/>
    <w:basedOn w:val="1"/>
    <w:next w:val="269"/>
    <w:qFormat/>
    <w:uiPriority w:val="0"/>
    <w:pPr>
      <w:widowControl/>
      <w:shd w:val="clear" w:color="000000" w:fill="FFFFFF"/>
      <w:spacing w:before="280" w:after="280"/>
      <w:jc w:val="center"/>
    </w:pPr>
    <w:rPr>
      <w:rFonts w:ascii="宋体" w:hAnsi="Calibri"/>
      <w:b/>
      <w:kern w:val="0"/>
      <w:sz w:val="20"/>
      <w:szCs w:val="20"/>
    </w:rPr>
  </w:style>
  <w:style w:type="paragraph" w:customStyle="1" w:styleId="418">
    <w:name w:val="xl107"/>
    <w:basedOn w:val="1"/>
    <w:next w:val="419"/>
    <w:qFormat/>
    <w:uiPriority w:val="0"/>
    <w:pPr>
      <w:widowControl/>
      <w:shd w:val="clear" w:color="000000" w:fill="FFFFFF"/>
      <w:spacing w:before="280" w:after="280"/>
    </w:pPr>
    <w:rPr>
      <w:rFonts w:ascii="宋体" w:hAnsi="Calibri"/>
      <w:kern w:val="0"/>
      <w:sz w:val="20"/>
      <w:szCs w:val="20"/>
    </w:rPr>
  </w:style>
  <w:style w:type="paragraph" w:customStyle="1" w:styleId="419">
    <w:name w:val="toc 610"/>
    <w:next w:val="1"/>
    <w:qFormat/>
    <w:uiPriority w:val="0"/>
    <w:pPr>
      <w:wordWrap w:val="0"/>
      <w:ind w:left="2125"/>
      <w:jc w:val="both"/>
    </w:pPr>
    <w:rPr>
      <w:rFonts w:ascii="Calibri" w:hAnsi="Calibri" w:eastAsia="宋体" w:cs="Times New Roman"/>
      <w:sz w:val="21"/>
      <w:lang w:val="en-US" w:eastAsia="zh-CN" w:bidi="ar-SA"/>
    </w:rPr>
  </w:style>
  <w:style w:type="paragraph" w:customStyle="1" w:styleId="420">
    <w:name w:val="toc 22"/>
    <w:next w:val="1"/>
    <w:qFormat/>
    <w:uiPriority w:val="0"/>
    <w:pPr>
      <w:wordWrap w:val="0"/>
      <w:ind w:left="425"/>
      <w:jc w:val="both"/>
    </w:pPr>
    <w:rPr>
      <w:rFonts w:ascii="Calibri" w:hAnsi="Calibri" w:eastAsia="宋体" w:cs="Times New Roman"/>
      <w:sz w:val="21"/>
      <w:lang w:val="en-US" w:eastAsia="zh-CN" w:bidi="ar-SA"/>
    </w:rPr>
  </w:style>
  <w:style w:type="paragraph" w:customStyle="1" w:styleId="421">
    <w:name w:val="xl90"/>
    <w:basedOn w:val="1"/>
    <w:next w:val="223"/>
    <w:qFormat/>
    <w:uiPriority w:val="0"/>
    <w:pPr>
      <w:widowControl/>
      <w:shd w:val="clear" w:color="000000" w:fill="FFFFFF"/>
      <w:spacing w:before="280" w:after="280"/>
    </w:pPr>
    <w:rPr>
      <w:rFonts w:ascii="宋体" w:hAnsi="Calibri"/>
      <w:kern w:val="0"/>
      <w:sz w:val="18"/>
      <w:szCs w:val="20"/>
    </w:rPr>
  </w:style>
  <w:style w:type="paragraph" w:customStyle="1" w:styleId="422">
    <w:name w:val="toc 616"/>
    <w:next w:val="1"/>
    <w:qFormat/>
    <w:uiPriority w:val="0"/>
    <w:pPr>
      <w:wordWrap w:val="0"/>
      <w:ind w:left="2125"/>
      <w:jc w:val="both"/>
    </w:pPr>
    <w:rPr>
      <w:rFonts w:ascii="Calibri" w:hAnsi="Calibri" w:eastAsia="宋体" w:cs="Times New Roman"/>
      <w:sz w:val="21"/>
      <w:lang w:val="en-US" w:eastAsia="zh-CN" w:bidi="ar-SA"/>
    </w:rPr>
  </w:style>
  <w:style w:type="paragraph" w:customStyle="1" w:styleId="423">
    <w:name w:val="toc 96"/>
    <w:next w:val="1"/>
    <w:qFormat/>
    <w:uiPriority w:val="0"/>
    <w:pPr>
      <w:wordWrap w:val="0"/>
      <w:ind w:left="3400"/>
      <w:jc w:val="both"/>
    </w:pPr>
    <w:rPr>
      <w:rFonts w:ascii="Calibri" w:hAnsi="Calibri" w:eastAsia="宋体" w:cs="Times New Roman"/>
      <w:sz w:val="21"/>
      <w:lang w:val="en-US" w:eastAsia="zh-CN" w:bidi="ar-SA"/>
    </w:rPr>
  </w:style>
  <w:style w:type="paragraph" w:customStyle="1" w:styleId="424">
    <w:name w:val="toc 42"/>
    <w:next w:val="1"/>
    <w:qFormat/>
    <w:uiPriority w:val="0"/>
    <w:pPr>
      <w:wordWrap w:val="0"/>
      <w:ind w:left="1275"/>
      <w:jc w:val="both"/>
    </w:pPr>
    <w:rPr>
      <w:rFonts w:ascii="Calibri" w:hAnsi="Calibri" w:eastAsia="宋体" w:cs="Times New Roman"/>
      <w:sz w:val="21"/>
      <w:lang w:val="en-US" w:eastAsia="zh-CN" w:bidi="ar-SA"/>
    </w:rPr>
  </w:style>
  <w:style w:type="paragraph" w:customStyle="1" w:styleId="425">
    <w:name w:val="xl117"/>
    <w:basedOn w:val="1"/>
    <w:next w:val="322"/>
    <w:qFormat/>
    <w:uiPriority w:val="0"/>
    <w:pPr>
      <w:widowControl/>
      <w:shd w:val="clear" w:color="000000" w:fill="FFFFFF"/>
      <w:spacing w:before="280" w:after="280"/>
      <w:jc w:val="center"/>
    </w:pPr>
    <w:rPr>
      <w:rFonts w:ascii="Arial Narrow" w:hAnsi="Calibri"/>
      <w:kern w:val="0"/>
      <w:sz w:val="24"/>
      <w:szCs w:val="20"/>
    </w:rPr>
  </w:style>
  <w:style w:type="paragraph" w:customStyle="1" w:styleId="426">
    <w:name w:val="p15"/>
    <w:basedOn w:val="1"/>
    <w:next w:val="247"/>
    <w:qFormat/>
    <w:uiPriority w:val="0"/>
    <w:pPr>
      <w:widowControl/>
      <w:ind w:firstLine="420"/>
    </w:pPr>
    <w:rPr>
      <w:rFonts w:hAnsi="Calibri"/>
      <w:kern w:val="0"/>
      <w:szCs w:val="20"/>
    </w:rPr>
  </w:style>
  <w:style w:type="paragraph" w:customStyle="1" w:styleId="427">
    <w:name w:val="xl87"/>
    <w:basedOn w:val="1"/>
    <w:next w:val="428"/>
    <w:qFormat/>
    <w:uiPriority w:val="0"/>
    <w:pPr>
      <w:widowControl/>
      <w:shd w:val="clear" w:color="000000" w:fill="FFFFFF"/>
      <w:spacing w:before="280" w:after="280"/>
    </w:pPr>
    <w:rPr>
      <w:rFonts w:ascii="Arial" w:hAnsi="Calibri"/>
      <w:kern w:val="0"/>
      <w:sz w:val="18"/>
      <w:szCs w:val="20"/>
    </w:rPr>
  </w:style>
  <w:style w:type="paragraph" w:customStyle="1" w:styleId="428">
    <w:name w:val="toc 98"/>
    <w:next w:val="1"/>
    <w:qFormat/>
    <w:uiPriority w:val="0"/>
    <w:pPr>
      <w:wordWrap w:val="0"/>
      <w:ind w:left="3400"/>
      <w:jc w:val="both"/>
    </w:pPr>
    <w:rPr>
      <w:rFonts w:ascii="Calibri" w:hAnsi="Calibri" w:eastAsia="宋体" w:cs="Times New Roman"/>
      <w:sz w:val="21"/>
      <w:lang w:val="en-US" w:eastAsia="zh-CN" w:bidi="ar-SA"/>
    </w:rPr>
  </w:style>
  <w:style w:type="paragraph" w:customStyle="1" w:styleId="429">
    <w:name w:val="列出段落7"/>
    <w:basedOn w:val="1"/>
    <w:next w:val="411"/>
    <w:qFormat/>
    <w:uiPriority w:val="0"/>
    <w:pPr>
      <w:ind w:firstLine="420"/>
    </w:pPr>
    <w:rPr>
      <w:rFonts w:hAnsi="Calibri"/>
      <w:kern w:val="0"/>
      <w:szCs w:val="20"/>
    </w:rPr>
  </w:style>
  <w:style w:type="paragraph" w:customStyle="1" w:styleId="430">
    <w:name w:val="xl78"/>
    <w:basedOn w:val="1"/>
    <w:next w:val="401"/>
    <w:qFormat/>
    <w:uiPriority w:val="0"/>
    <w:pPr>
      <w:widowControl/>
      <w:shd w:val="clear" w:color="000000" w:fill="FFFFFF"/>
      <w:spacing w:before="280" w:after="280"/>
    </w:pPr>
    <w:rPr>
      <w:rFonts w:ascii="宋体" w:hAnsi="Calibri"/>
      <w:b/>
      <w:kern w:val="0"/>
      <w:sz w:val="20"/>
      <w:szCs w:val="20"/>
    </w:rPr>
  </w:style>
  <w:style w:type="paragraph" w:customStyle="1" w:styleId="431">
    <w:name w:val="toc 516"/>
    <w:next w:val="1"/>
    <w:qFormat/>
    <w:uiPriority w:val="0"/>
    <w:pPr>
      <w:wordWrap w:val="0"/>
      <w:ind w:left="1700"/>
      <w:jc w:val="both"/>
    </w:pPr>
    <w:rPr>
      <w:rFonts w:ascii="Calibri" w:hAnsi="Calibri" w:eastAsia="宋体" w:cs="Times New Roman"/>
      <w:sz w:val="21"/>
      <w:lang w:val="en-US" w:eastAsia="zh-CN" w:bidi="ar-SA"/>
    </w:rPr>
  </w:style>
  <w:style w:type="paragraph" w:customStyle="1" w:styleId="432">
    <w:name w:val="xl89"/>
    <w:basedOn w:val="1"/>
    <w:next w:val="366"/>
    <w:qFormat/>
    <w:uiPriority w:val="0"/>
    <w:pPr>
      <w:widowControl/>
      <w:shd w:val="clear" w:color="000000" w:fill="FFFFFF"/>
      <w:spacing w:before="280" w:after="280"/>
    </w:pPr>
    <w:rPr>
      <w:rFonts w:ascii="宋体" w:hAnsi="Calibri"/>
      <w:kern w:val="0"/>
      <w:sz w:val="20"/>
      <w:szCs w:val="20"/>
    </w:rPr>
  </w:style>
  <w:style w:type="paragraph" w:customStyle="1" w:styleId="433">
    <w:name w:val="toc 910"/>
    <w:next w:val="1"/>
    <w:qFormat/>
    <w:uiPriority w:val="0"/>
    <w:pPr>
      <w:wordWrap w:val="0"/>
      <w:ind w:left="3400"/>
      <w:jc w:val="both"/>
    </w:pPr>
    <w:rPr>
      <w:rFonts w:ascii="Calibri" w:hAnsi="Calibri" w:eastAsia="宋体" w:cs="Times New Roman"/>
      <w:sz w:val="21"/>
      <w:lang w:val="en-US" w:eastAsia="zh-CN" w:bidi="ar-SA"/>
    </w:rPr>
  </w:style>
  <w:style w:type="paragraph" w:customStyle="1" w:styleId="434">
    <w:name w:val="toc 34"/>
    <w:next w:val="1"/>
    <w:qFormat/>
    <w:uiPriority w:val="0"/>
    <w:pPr>
      <w:wordWrap w:val="0"/>
      <w:ind w:left="850"/>
      <w:jc w:val="both"/>
    </w:pPr>
    <w:rPr>
      <w:rFonts w:ascii="Calibri" w:hAnsi="Calibri" w:eastAsia="宋体" w:cs="Times New Roman"/>
      <w:sz w:val="21"/>
      <w:lang w:val="en-US" w:eastAsia="zh-CN" w:bidi="ar-SA"/>
    </w:rPr>
  </w:style>
  <w:style w:type="paragraph" w:customStyle="1" w:styleId="435">
    <w:name w:val="toc 816"/>
    <w:next w:val="1"/>
    <w:qFormat/>
    <w:uiPriority w:val="0"/>
    <w:pPr>
      <w:wordWrap w:val="0"/>
      <w:ind w:left="2975"/>
      <w:jc w:val="both"/>
    </w:pPr>
    <w:rPr>
      <w:rFonts w:ascii="Calibri" w:hAnsi="Calibri" w:eastAsia="宋体" w:cs="Times New Roman"/>
      <w:sz w:val="21"/>
      <w:lang w:val="en-US" w:eastAsia="zh-CN" w:bidi="ar-SA"/>
    </w:rPr>
  </w:style>
  <w:style w:type="paragraph" w:customStyle="1" w:styleId="436">
    <w:name w:val="toc 43"/>
    <w:next w:val="1"/>
    <w:qFormat/>
    <w:uiPriority w:val="0"/>
    <w:pPr>
      <w:wordWrap w:val="0"/>
      <w:ind w:left="1275"/>
      <w:jc w:val="both"/>
    </w:pPr>
    <w:rPr>
      <w:rFonts w:ascii="Calibri" w:hAnsi="Calibri" w:eastAsia="宋体" w:cs="Times New Roman"/>
      <w:sz w:val="21"/>
      <w:lang w:val="en-US" w:eastAsia="zh-CN" w:bidi="ar-SA"/>
    </w:rPr>
  </w:style>
  <w:style w:type="paragraph" w:customStyle="1" w:styleId="437">
    <w:name w:val="toc 16"/>
    <w:next w:val="1"/>
    <w:qFormat/>
    <w:uiPriority w:val="0"/>
    <w:pPr>
      <w:wordWrap w:val="0"/>
      <w:jc w:val="both"/>
    </w:pPr>
    <w:rPr>
      <w:rFonts w:ascii="Calibri" w:hAnsi="Calibri" w:eastAsia="宋体" w:cs="Times New Roman"/>
      <w:sz w:val="21"/>
      <w:lang w:val="en-US" w:eastAsia="zh-CN" w:bidi="ar-SA"/>
    </w:rPr>
  </w:style>
  <w:style w:type="paragraph" w:styleId="438">
    <w:name w:val="Quote"/>
    <w:next w:val="1"/>
    <w:link w:val="439"/>
    <w:qFormat/>
    <w:uiPriority w:val="0"/>
    <w:pPr>
      <w:wordWrap w:val="0"/>
      <w:spacing w:before="200" w:after="160"/>
      <w:ind w:left="864" w:right="864"/>
      <w:jc w:val="center"/>
    </w:pPr>
    <w:rPr>
      <w:rFonts w:ascii="Calibri" w:hAnsi="Calibri" w:eastAsia="宋体" w:cs="Times New Roman"/>
      <w:i/>
      <w:sz w:val="21"/>
      <w:lang w:val="en-US" w:eastAsia="zh-CN" w:bidi="ar-SA"/>
    </w:rPr>
  </w:style>
  <w:style w:type="character" w:customStyle="1" w:styleId="439">
    <w:name w:val="引用 Char"/>
    <w:basedOn w:val="46"/>
    <w:link w:val="438"/>
    <w:qFormat/>
    <w:uiPriority w:val="0"/>
    <w:rPr>
      <w:rFonts w:ascii="Calibri" w:hAnsi="Calibri"/>
      <w:i/>
      <w:sz w:val="21"/>
    </w:rPr>
  </w:style>
  <w:style w:type="paragraph" w:customStyle="1" w:styleId="440">
    <w:name w:val="toc 114"/>
    <w:next w:val="1"/>
    <w:qFormat/>
    <w:uiPriority w:val="0"/>
    <w:pPr>
      <w:wordWrap w:val="0"/>
      <w:jc w:val="both"/>
    </w:pPr>
    <w:rPr>
      <w:rFonts w:ascii="Calibri" w:hAnsi="Calibri" w:eastAsia="宋体" w:cs="Times New Roman"/>
      <w:sz w:val="21"/>
      <w:lang w:val="en-US" w:eastAsia="zh-CN" w:bidi="ar-SA"/>
    </w:rPr>
  </w:style>
  <w:style w:type="paragraph" w:customStyle="1" w:styleId="441">
    <w:name w:val="xl119"/>
    <w:basedOn w:val="1"/>
    <w:next w:val="416"/>
    <w:qFormat/>
    <w:uiPriority w:val="0"/>
    <w:pPr>
      <w:widowControl/>
      <w:shd w:val="clear" w:color="000000" w:fill="FFFFFF"/>
      <w:spacing w:before="280" w:after="280"/>
      <w:jc w:val="center"/>
    </w:pPr>
    <w:rPr>
      <w:rFonts w:ascii="宋体" w:hAnsi="Calibri"/>
      <w:b/>
      <w:kern w:val="0"/>
      <w:sz w:val="20"/>
      <w:szCs w:val="20"/>
    </w:rPr>
  </w:style>
  <w:style w:type="paragraph" w:customStyle="1" w:styleId="442">
    <w:name w:val="toc 37"/>
    <w:next w:val="1"/>
    <w:qFormat/>
    <w:uiPriority w:val="0"/>
    <w:pPr>
      <w:wordWrap w:val="0"/>
      <w:ind w:left="850"/>
      <w:jc w:val="both"/>
    </w:pPr>
    <w:rPr>
      <w:rFonts w:ascii="Calibri" w:hAnsi="Calibri" w:eastAsia="宋体" w:cs="Times New Roman"/>
      <w:sz w:val="21"/>
      <w:lang w:val="en-US" w:eastAsia="zh-CN" w:bidi="ar-SA"/>
    </w:rPr>
  </w:style>
  <w:style w:type="paragraph" w:customStyle="1" w:styleId="443">
    <w:name w:val="xl109"/>
    <w:basedOn w:val="1"/>
    <w:next w:val="389"/>
    <w:qFormat/>
    <w:uiPriority w:val="0"/>
    <w:pPr>
      <w:widowControl/>
      <w:shd w:val="clear" w:color="000000" w:fill="FFFFFF"/>
      <w:spacing w:before="280" w:after="280"/>
    </w:pPr>
    <w:rPr>
      <w:rFonts w:ascii="宋体" w:hAnsi="Calibri"/>
      <w:kern w:val="0"/>
      <w:sz w:val="20"/>
      <w:szCs w:val="20"/>
    </w:rPr>
  </w:style>
  <w:style w:type="paragraph" w:customStyle="1" w:styleId="444">
    <w:name w:val="toc 215"/>
    <w:next w:val="1"/>
    <w:qFormat/>
    <w:uiPriority w:val="0"/>
    <w:pPr>
      <w:wordWrap w:val="0"/>
      <w:ind w:left="425"/>
      <w:jc w:val="both"/>
    </w:pPr>
    <w:rPr>
      <w:rFonts w:ascii="Calibri" w:hAnsi="Calibri" w:eastAsia="宋体" w:cs="Times New Roman"/>
      <w:sz w:val="21"/>
      <w:lang w:val="en-US" w:eastAsia="zh-CN" w:bidi="ar-SA"/>
    </w:rPr>
  </w:style>
  <w:style w:type="paragraph" w:customStyle="1" w:styleId="445">
    <w:name w:val="xl76"/>
    <w:basedOn w:val="1"/>
    <w:next w:val="397"/>
    <w:qFormat/>
    <w:uiPriority w:val="0"/>
    <w:pPr>
      <w:widowControl/>
      <w:shd w:val="clear" w:color="000000" w:fill="FFFFFF"/>
      <w:spacing w:before="280" w:after="280"/>
      <w:jc w:val="center"/>
    </w:pPr>
    <w:rPr>
      <w:rFonts w:ascii="宋体" w:hAnsi="Calibri"/>
      <w:b/>
      <w:kern w:val="0"/>
      <w:sz w:val="20"/>
      <w:szCs w:val="20"/>
    </w:rPr>
  </w:style>
  <w:style w:type="paragraph" w:customStyle="1" w:styleId="446">
    <w:name w:val="toc 92"/>
    <w:next w:val="1"/>
    <w:qFormat/>
    <w:uiPriority w:val="0"/>
    <w:pPr>
      <w:wordWrap w:val="0"/>
      <w:ind w:left="3400"/>
      <w:jc w:val="both"/>
    </w:pPr>
    <w:rPr>
      <w:rFonts w:ascii="Calibri" w:hAnsi="Calibri" w:eastAsia="宋体" w:cs="Times New Roman"/>
      <w:sz w:val="21"/>
      <w:lang w:val="en-US" w:eastAsia="zh-CN" w:bidi="ar-SA"/>
    </w:rPr>
  </w:style>
  <w:style w:type="paragraph" w:customStyle="1" w:styleId="447">
    <w:name w:val="toc 216"/>
    <w:next w:val="1"/>
    <w:qFormat/>
    <w:uiPriority w:val="0"/>
    <w:pPr>
      <w:wordWrap w:val="0"/>
      <w:ind w:left="425"/>
      <w:jc w:val="both"/>
    </w:pPr>
    <w:rPr>
      <w:rFonts w:ascii="Calibri" w:hAnsi="Calibri" w:eastAsia="宋体" w:cs="Times New Roman"/>
      <w:sz w:val="21"/>
      <w:lang w:val="en-US" w:eastAsia="zh-CN" w:bidi="ar-SA"/>
    </w:rPr>
  </w:style>
  <w:style w:type="paragraph" w:customStyle="1" w:styleId="448">
    <w:name w:val="xl70"/>
    <w:basedOn w:val="1"/>
    <w:next w:val="374"/>
    <w:qFormat/>
    <w:uiPriority w:val="0"/>
    <w:pPr>
      <w:widowControl/>
      <w:shd w:val="clear" w:color="000000" w:fill="FFFFFF"/>
      <w:spacing w:before="280" w:after="280"/>
    </w:pPr>
    <w:rPr>
      <w:rFonts w:ascii="宋体" w:hAnsi="Calibri"/>
      <w:kern w:val="0"/>
      <w:sz w:val="20"/>
      <w:szCs w:val="20"/>
    </w:rPr>
  </w:style>
  <w:style w:type="paragraph" w:customStyle="1" w:styleId="449">
    <w:name w:val="toc 33"/>
    <w:next w:val="1"/>
    <w:qFormat/>
    <w:uiPriority w:val="0"/>
    <w:pPr>
      <w:wordWrap w:val="0"/>
      <w:ind w:left="850"/>
      <w:jc w:val="both"/>
    </w:pPr>
    <w:rPr>
      <w:rFonts w:ascii="Calibri" w:hAnsi="Calibri" w:eastAsia="宋体" w:cs="Times New Roman"/>
      <w:sz w:val="21"/>
      <w:lang w:val="en-US" w:eastAsia="zh-CN" w:bidi="ar-SA"/>
    </w:rPr>
  </w:style>
  <w:style w:type="paragraph" w:customStyle="1" w:styleId="450">
    <w:name w:val="toc 61"/>
    <w:next w:val="1"/>
    <w:qFormat/>
    <w:uiPriority w:val="0"/>
    <w:pPr>
      <w:wordWrap w:val="0"/>
      <w:ind w:left="2125"/>
      <w:jc w:val="both"/>
    </w:pPr>
    <w:rPr>
      <w:rFonts w:ascii="Calibri" w:hAnsi="Calibri" w:eastAsia="宋体" w:cs="Times New Roman"/>
      <w:sz w:val="21"/>
      <w:lang w:val="en-US" w:eastAsia="zh-CN" w:bidi="ar-SA"/>
    </w:rPr>
  </w:style>
  <w:style w:type="paragraph" w:customStyle="1" w:styleId="451">
    <w:name w:val="xl98"/>
    <w:basedOn w:val="1"/>
    <w:next w:val="392"/>
    <w:qFormat/>
    <w:uiPriority w:val="0"/>
    <w:pPr>
      <w:widowControl/>
      <w:shd w:val="clear" w:color="000000" w:fill="FFFFFF"/>
      <w:spacing w:before="280" w:after="280"/>
      <w:jc w:val="center"/>
    </w:pPr>
    <w:rPr>
      <w:rFonts w:ascii="宋体" w:hAnsi="Calibri"/>
      <w:kern w:val="0"/>
      <w:sz w:val="20"/>
      <w:szCs w:val="20"/>
    </w:rPr>
  </w:style>
  <w:style w:type="paragraph" w:customStyle="1" w:styleId="452">
    <w:name w:val="toc 26"/>
    <w:next w:val="1"/>
    <w:qFormat/>
    <w:uiPriority w:val="0"/>
    <w:pPr>
      <w:wordWrap w:val="0"/>
      <w:ind w:left="425"/>
      <w:jc w:val="both"/>
    </w:pPr>
    <w:rPr>
      <w:rFonts w:ascii="Calibri" w:hAnsi="Calibri" w:eastAsia="宋体" w:cs="Times New Roman"/>
      <w:sz w:val="21"/>
      <w:lang w:val="en-US" w:eastAsia="zh-CN" w:bidi="ar-SA"/>
    </w:rPr>
  </w:style>
  <w:style w:type="paragraph" w:customStyle="1" w:styleId="453">
    <w:name w:val="toc 13"/>
    <w:next w:val="1"/>
    <w:qFormat/>
    <w:uiPriority w:val="0"/>
    <w:pPr>
      <w:wordWrap w:val="0"/>
      <w:jc w:val="both"/>
    </w:pPr>
    <w:rPr>
      <w:rFonts w:ascii="Calibri" w:hAnsi="Calibri" w:eastAsia="宋体" w:cs="Times New Roman"/>
      <w:sz w:val="21"/>
      <w:lang w:val="en-US" w:eastAsia="zh-CN" w:bidi="ar-SA"/>
    </w:rPr>
  </w:style>
  <w:style w:type="paragraph" w:customStyle="1" w:styleId="454">
    <w:name w:val="目录 51"/>
    <w:next w:val="1"/>
    <w:qFormat/>
    <w:uiPriority w:val="0"/>
    <w:pPr>
      <w:wordWrap w:val="0"/>
      <w:ind w:left="1700"/>
      <w:jc w:val="both"/>
    </w:pPr>
    <w:rPr>
      <w:rFonts w:ascii="Calibri" w:hAnsi="Calibri" w:eastAsia="宋体" w:cs="Times New Roman"/>
      <w:sz w:val="21"/>
      <w:lang w:val="en-US" w:eastAsia="zh-CN" w:bidi="ar-SA"/>
    </w:rPr>
  </w:style>
  <w:style w:type="paragraph" w:customStyle="1" w:styleId="455">
    <w:name w:val="xl101"/>
    <w:basedOn w:val="1"/>
    <w:next w:val="423"/>
    <w:qFormat/>
    <w:uiPriority w:val="0"/>
    <w:pPr>
      <w:widowControl/>
      <w:spacing w:before="280" w:after="280"/>
    </w:pPr>
    <w:rPr>
      <w:rFonts w:ascii="宋体" w:hAnsi="Calibri"/>
      <w:kern w:val="0"/>
      <w:sz w:val="20"/>
      <w:szCs w:val="20"/>
    </w:rPr>
  </w:style>
  <w:style w:type="paragraph" w:customStyle="1" w:styleId="456">
    <w:name w:val="toc 75"/>
    <w:next w:val="1"/>
    <w:qFormat/>
    <w:uiPriority w:val="0"/>
    <w:pPr>
      <w:wordWrap w:val="0"/>
      <w:ind w:left="2550"/>
      <w:jc w:val="both"/>
    </w:pPr>
    <w:rPr>
      <w:rFonts w:ascii="Calibri" w:hAnsi="Calibri" w:eastAsia="宋体" w:cs="Times New Roman"/>
      <w:sz w:val="21"/>
      <w:lang w:val="en-US" w:eastAsia="zh-CN" w:bidi="ar-SA"/>
    </w:rPr>
  </w:style>
  <w:style w:type="paragraph" w:customStyle="1" w:styleId="457">
    <w:name w:val="toc 715"/>
    <w:next w:val="1"/>
    <w:qFormat/>
    <w:uiPriority w:val="0"/>
    <w:pPr>
      <w:wordWrap w:val="0"/>
      <w:ind w:left="2550"/>
      <w:jc w:val="both"/>
    </w:pPr>
    <w:rPr>
      <w:rFonts w:ascii="Calibri" w:hAnsi="Calibri" w:eastAsia="宋体" w:cs="Times New Roman"/>
      <w:sz w:val="21"/>
      <w:lang w:val="en-US" w:eastAsia="zh-CN" w:bidi="ar-SA"/>
    </w:rPr>
  </w:style>
  <w:style w:type="paragraph" w:styleId="458">
    <w:name w:val="Intense Quote"/>
    <w:next w:val="1"/>
    <w:link w:val="459"/>
    <w:qFormat/>
    <w:uiPriority w:val="0"/>
    <w:pPr>
      <w:wordWrap w:val="0"/>
      <w:spacing w:before="360" w:after="360"/>
      <w:ind w:left="950" w:right="950"/>
      <w:jc w:val="center"/>
    </w:pPr>
    <w:rPr>
      <w:rFonts w:ascii="Calibri" w:hAnsi="Calibri" w:eastAsia="宋体" w:cs="Times New Roman"/>
      <w:i/>
      <w:sz w:val="21"/>
      <w:lang w:val="en-US" w:eastAsia="zh-CN" w:bidi="ar-SA"/>
    </w:rPr>
  </w:style>
  <w:style w:type="character" w:customStyle="1" w:styleId="459">
    <w:name w:val="明显引用 Char"/>
    <w:basedOn w:val="46"/>
    <w:link w:val="458"/>
    <w:qFormat/>
    <w:uiPriority w:val="0"/>
    <w:rPr>
      <w:rFonts w:ascii="Calibri" w:hAnsi="Calibri"/>
      <w:i/>
      <w:sz w:val="21"/>
    </w:rPr>
  </w:style>
  <w:style w:type="paragraph" w:customStyle="1" w:styleId="460">
    <w:name w:val="Char Char Char Char Char Char Char"/>
    <w:basedOn w:val="1"/>
    <w:next w:val="444"/>
    <w:qFormat/>
    <w:uiPriority w:val="0"/>
    <w:pPr>
      <w:widowControl/>
      <w:spacing w:after="160" w:line="240" w:lineRule="exact"/>
    </w:pPr>
    <w:rPr>
      <w:rFonts w:hAnsi="Calibri"/>
      <w:kern w:val="0"/>
      <w:szCs w:val="20"/>
    </w:rPr>
  </w:style>
  <w:style w:type="paragraph" w:customStyle="1" w:styleId="461">
    <w:name w:val="toc 23"/>
    <w:next w:val="1"/>
    <w:qFormat/>
    <w:uiPriority w:val="0"/>
    <w:pPr>
      <w:wordWrap w:val="0"/>
      <w:ind w:left="425"/>
      <w:jc w:val="both"/>
    </w:pPr>
    <w:rPr>
      <w:rFonts w:ascii="Calibri" w:hAnsi="Calibri" w:eastAsia="宋体" w:cs="Times New Roman"/>
      <w:sz w:val="21"/>
      <w:lang w:val="en-US" w:eastAsia="zh-CN" w:bidi="ar-SA"/>
    </w:rPr>
  </w:style>
  <w:style w:type="paragraph" w:customStyle="1" w:styleId="462">
    <w:name w:val="目录 61"/>
    <w:next w:val="1"/>
    <w:qFormat/>
    <w:uiPriority w:val="0"/>
    <w:pPr>
      <w:wordWrap w:val="0"/>
      <w:ind w:left="2125"/>
      <w:jc w:val="both"/>
    </w:pPr>
    <w:rPr>
      <w:rFonts w:ascii="Calibri" w:hAnsi="Calibri" w:eastAsia="宋体" w:cs="Times New Roman"/>
      <w:sz w:val="21"/>
      <w:lang w:val="en-US" w:eastAsia="zh-CN" w:bidi="ar-SA"/>
    </w:rPr>
  </w:style>
  <w:style w:type="paragraph" w:customStyle="1" w:styleId="463">
    <w:name w:val="toc 97"/>
    <w:next w:val="1"/>
    <w:qFormat/>
    <w:uiPriority w:val="0"/>
    <w:pPr>
      <w:wordWrap w:val="0"/>
      <w:ind w:left="3400"/>
      <w:jc w:val="both"/>
    </w:pPr>
    <w:rPr>
      <w:rFonts w:ascii="Calibri" w:hAnsi="Calibri" w:eastAsia="宋体" w:cs="Times New Roman"/>
      <w:sz w:val="21"/>
      <w:lang w:val="en-US" w:eastAsia="zh-CN" w:bidi="ar-SA"/>
    </w:rPr>
  </w:style>
  <w:style w:type="paragraph" w:customStyle="1" w:styleId="464">
    <w:name w:val="toc 74"/>
    <w:next w:val="1"/>
    <w:qFormat/>
    <w:uiPriority w:val="0"/>
    <w:pPr>
      <w:wordWrap w:val="0"/>
      <w:ind w:left="2550"/>
      <w:jc w:val="both"/>
    </w:pPr>
    <w:rPr>
      <w:rFonts w:ascii="Calibri" w:hAnsi="Calibri" w:eastAsia="宋体" w:cs="Times New Roman"/>
      <w:sz w:val="21"/>
      <w:lang w:val="en-US" w:eastAsia="zh-CN" w:bidi="ar-SA"/>
    </w:rPr>
  </w:style>
  <w:style w:type="paragraph" w:customStyle="1" w:styleId="465">
    <w:name w:val="xl64"/>
    <w:basedOn w:val="1"/>
    <w:next w:val="440"/>
    <w:qFormat/>
    <w:uiPriority w:val="0"/>
    <w:pPr>
      <w:widowControl/>
      <w:shd w:val="clear" w:color="000000" w:fill="FFFFFF"/>
      <w:spacing w:before="280" w:after="280"/>
    </w:pPr>
    <w:rPr>
      <w:rFonts w:ascii="宋体" w:hAnsi="Calibri"/>
      <w:kern w:val="0"/>
      <w:sz w:val="20"/>
      <w:szCs w:val="20"/>
    </w:rPr>
  </w:style>
  <w:style w:type="paragraph" w:customStyle="1" w:styleId="466">
    <w:name w:val="xl82"/>
    <w:basedOn w:val="1"/>
    <w:next w:val="285"/>
    <w:qFormat/>
    <w:uiPriority w:val="0"/>
    <w:pPr>
      <w:widowControl/>
      <w:shd w:val="clear" w:color="000000" w:fill="FFFFFF"/>
      <w:spacing w:before="280" w:after="280"/>
    </w:pPr>
    <w:rPr>
      <w:rFonts w:ascii="宋体" w:hAnsi="Calibri"/>
      <w:kern w:val="0"/>
      <w:sz w:val="20"/>
      <w:szCs w:val="20"/>
    </w:rPr>
  </w:style>
  <w:style w:type="paragraph" w:customStyle="1" w:styleId="467">
    <w:name w:val="toc 32"/>
    <w:next w:val="1"/>
    <w:qFormat/>
    <w:uiPriority w:val="0"/>
    <w:pPr>
      <w:wordWrap w:val="0"/>
      <w:ind w:left="850"/>
      <w:jc w:val="both"/>
    </w:pPr>
    <w:rPr>
      <w:rFonts w:ascii="Calibri" w:hAnsi="Calibri" w:eastAsia="宋体" w:cs="Times New Roman"/>
      <w:sz w:val="21"/>
      <w:lang w:val="en-US" w:eastAsia="zh-CN" w:bidi="ar-SA"/>
    </w:rPr>
  </w:style>
  <w:style w:type="paragraph" w:customStyle="1" w:styleId="468">
    <w:name w:val="xl77"/>
    <w:basedOn w:val="1"/>
    <w:next w:val="433"/>
    <w:qFormat/>
    <w:uiPriority w:val="0"/>
    <w:pPr>
      <w:widowControl/>
      <w:shd w:val="clear" w:color="000000" w:fill="FFFFFF"/>
      <w:spacing w:before="280" w:after="280"/>
      <w:jc w:val="center"/>
    </w:pPr>
    <w:rPr>
      <w:rFonts w:ascii="宋体" w:hAnsi="Calibri"/>
      <w:kern w:val="0"/>
      <w:sz w:val="20"/>
      <w:szCs w:val="20"/>
    </w:rPr>
  </w:style>
  <w:style w:type="table" w:customStyle="1" w:styleId="469">
    <w:name w:val="Table Grid1"/>
    <w:basedOn w:val="43"/>
    <w:qFormat/>
    <w:uiPriority w:val="0"/>
    <w:pPr>
      <w:widowControl w:val="0"/>
      <w:jc w:val="both"/>
    </w:pPr>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70">
    <w:name w:val="正文缩进 Char1"/>
    <w:qFormat/>
    <w:uiPriority w:val="0"/>
    <w:rPr>
      <w:rFonts w:eastAsia="宋体"/>
      <w:kern w:val="2"/>
      <w:sz w:val="21"/>
      <w:lang w:val="en-US" w:eastAsia="zh-CN" w:bidi="ar-SA"/>
    </w:rPr>
  </w:style>
  <w:style w:type="character" w:customStyle="1" w:styleId="471">
    <w:name w:val="fielderror"/>
    <w:basedOn w:val="46"/>
    <w:qFormat/>
    <w:uiPriority w:val="0"/>
    <w:rPr>
      <w:color w:val="800000"/>
    </w:rPr>
  </w:style>
  <w:style w:type="character" w:customStyle="1" w:styleId="472">
    <w:name w:val="hilite6"/>
    <w:basedOn w:val="46"/>
    <w:qFormat/>
    <w:uiPriority w:val="0"/>
    <w:rPr>
      <w:color w:val="000000"/>
    </w:rPr>
  </w:style>
  <w:style w:type="character" w:customStyle="1" w:styleId="473">
    <w:name w:val="active6"/>
    <w:basedOn w:val="46"/>
    <w:qFormat/>
    <w:uiPriority w:val="0"/>
    <w:rPr>
      <w:color w:val="FFFFFF"/>
    </w:rPr>
  </w:style>
  <w:style w:type="character" w:customStyle="1" w:styleId="474">
    <w:name w:val="inline-help"/>
    <w:basedOn w:val="46"/>
    <w:qFormat/>
    <w:uiPriority w:val="0"/>
  </w:style>
  <w:style w:type="character" w:customStyle="1" w:styleId="475">
    <w:name w:val="active"/>
    <w:basedOn w:val="46"/>
    <w:qFormat/>
    <w:uiPriority w:val="0"/>
    <w:rPr>
      <w:color w:val="FFFFFF"/>
    </w:rPr>
  </w:style>
  <w:style w:type="character" w:customStyle="1" w:styleId="476">
    <w:name w:val="批注文字 Char3"/>
    <w:basedOn w:val="46"/>
    <w:semiHidden/>
    <w:qFormat/>
    <w:uiPriority w:val="0"/>
    <w:rPr>
      <w:rFonts w:ascii="宋体"/>
      <w:sz w:val="34"/>
    </w:rPr>
  </w:style>
  <w:style w:type="character" w:customStyle="1" w:styleId="477">
    <w:name w:val="active5"/>
    <w:basedOn w:val="46"/>
    <w:qFormat/>
    <w:uiPriority w:val="0"/>
    <w:rPr>
      <w:color w:val="FFFFFF"/>
    </w:rPr>
  </w:style>
  <w:style w:type="character" w:customStyle="1" w:styleId="478">
    <w:name w:val="hilite"/>
    <w:basedOn w:val="46"/>
    <w:qFormat/>
    <w:uiPriority w:val="0"/>
    <w:rPr>
      <w:color w:val="00000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3ACE35-E8F3-43D5-9124-2A809BB95BD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39771</Words>
  <Characters>4598</Characters>
  <Lines>38</Lines>
  <Paragraphs>88</Paragraphs>
  <TotalTime>5</TotalTime>
  <ScaleCrop>false</ScaleCrop>
  <LinksUpToDate>false</LinksUpToDate>
  <CharactersWithSpaces>44281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2021-09-17T06:07:00Z</dcterms:created>
  <dc:creator>thsware</dc:creator>
  <cp:lastModifiedBy>罗忠琴</cp:lastModifiedBy>
  <cp:lastPrinted>2018-11-06T09:21:00Z</cp:lastPrinted>
  <dcterms:modified xsi:type="dcterms:W3CDTF">2021-11-01T09:03:31Z</dcterms:modified>
  <dc:title>招  标　文　件</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09ED75957B7148EAA712C0B87E4B3B43</vt:lpwstr>
  </property>
</Properties>
</file>