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pPr>
        <w:pStyle w:val="NormalWeb"/>
        <w:spacing w:before="454" w:beforeAutospacing="0" w:after="454" w:afterAutospacing="0"/>
        <w:ind w:right="454"/>
        <w:jc w:val="center"/>
        <w:rPr>
          <w:rFonts w:eastAsia="宋体" w:hint="eastAsia"/>
          <w:b/>
          <w:bCs/>
          <w:sz w:val="40"/>
          <w:szCs w:val="40"/>
          <w:lang w:eastAsia="zh-CN"/>
        </w:rPr>
      </w:pPr>
      <w:bookmarkStart w:id="0" w:name="_Hlk71456902"/>
      <w:r>
        <w:rPr>
          <w:rFonts w:eastAsia="宋体" w:hint="eastAsia"/>
          <w:b/>
          <w:bCs/>
          <w:sz w:val="44"/>
          <w:szCs w:val="44"/>
          <w:lang w:eastAsia="zh-CN"/>
        </w:rPr>
        <w:t>药品调配系统（全自动智能发药系统和常嘱处方调配系统）</w:t>
      </w:r>
    </w:p>
    <w:p>
      <w:pPr>
        <w:pStyle w:val="NormalWeb"/>
        <w:jc w:val="center"/>
        <w:outlineLvl w:val="1"/>
        <w:rPr>
          <w:rFonts w:ascii="黑体" w:eastAsia="黑体" w:hAnsi="宋体" w:cs="黑体"/>
          <w:sz w:val="40"/>
          <w:szCs w:val="40"/>
        </w:rPr>
      </w:pPr>
      <w:r>
        <w:rPr>
          <w:rFonts w:ascii="黑体" w:eastAsia="黑体" w:hAnsi="宋体" w:cs="黑体" w:hint="eastAsia"/>
          <w:sz w:val="40"/>
          <w:szCs w:val="40"/>
        </w:rPr>
        <w:t>招标文件信息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项目编号：</w:t>
            </w:r>
          </w:p>
        </w:tc>
        <w:tc>
          <w:tcPr>
            <w:tcW w:w="5220" w:type="dxa"/>
            <w:vAlign w:val="center"/>
          </w:tcPr>
          <w:p>
            <w:pPr>
              <w:rPr>
                <w:rFonts w:eastAsia="宋体"/>
                <w:color w:val="FF0000"/>
                <w:sz w:val="30"/>
                <w:szCs w:val="30"/>
                <w:u w:val="single"/>
              </w:rPr>
            </w:pPr>
            <w:bookmarkStart w:id="1" w:name="_GoBack"/>
            <w:r>
              <w:rPr>
                <w:rFonts w:eastAsia="宋体" w:hint="eastAsia"/>
                <w:color w:val="auto"/>
                <w:sz w:val="30"/>
                <w:szCs w:val="30"/>
                <w:u w:val="none"/>
              </w:rPr>
              <w:t>SZDL2022001277</w:t>
            </w:r>
            <w:bookmarkEnd w:id="1"/>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项目名称：</w:t>
            </w:r>
          </w:p>
        </w:tc>
        <w:tc>
          <w:tcPr>
            <w:tcW w:w="5220" w:type="dxa"/>
            <w:vAlign w:val="center"/>
          </w:tcPr>
          <w:p>
            <w:pPr>
              <w:rPr>
                <w:rFonts w:eastAsia="宋体" w:hint="eastAsia"/>
                <w:sz w:val="30"/>
                <w:szCs w:val="30"/>
                <w:lang w:eastAsia="zh-CN"/>
              </w:rPr>
            </w:pPr>
            <w:r>
              <w:rPr>
                <w:rFonts w:eastAsia="宋体" w:hint="eastAsia"/>
                <w:sz w:val="30"/>
                <w:szCs w:val="30"/>
                <w:lang w:eastAsia="zh-CN"/>
              </w:rPr>
              <w:t>药品调配系统（全自动智能发药系统和常嘱处方调配系统）</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包 号：</w:t>
            </w:r>
          </w:p>
        </w:tc>
        <w:tc>
          <w:tcPr>
            <w:tcW w:w="5220" w:type="dxa"/>
            <w:vAlign w:val="center"/>
          </w:tcPr>
          <w:p>
            <w:pPr>
              <w:rPr>
                <w:sz w:val="30"/>
                <w:szCs w:val="30"/>
              </w:rPr>
            </w:pPr>
            <w:r>
              <w:rPr>
                <w:rFonts w:ascii="宋体" w:hAnsi="宋体" w:cs="宋体"/>
                <w:sz w:val="30"/>
                <w:szCs w:val="30"/>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项目类型：</w:t>
            </w:r>
          </w:p>
        </w:tc>
        <w:tc>
          <w:tcPr>
            <w:tcW w:w="5220" w:type="dxa"/>
            <w:vAlign w:val="center"/>
          </w:tcPr>
          <w:p>
            <w:pPr>
              <w:rPr>
                <w:sz w:val="30"/>
                <w:szCs w:val="30"/>
              </w:rPr>
            </w:pPr>
            <w:r>
              <w:rPr>
                <w:rFonts w:ascii="宋体" w:hAnsi="宋体" w:cs="宋体"/>
                <w:sz w:val="30"/>
                <w:szCs w:val="30"/>
              </w:rPr>
              <w:t>货物类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采购方式：</w:t>
            </w:r>
          </w:p>
        </w:tc>
        <w:tc>
          <w:tcPr>
            <w:tcW w:w="5220" w:type="dxa"/>
            <w:vAlign w:val="center"/>
          </w:tcPr>
          <w:p>
            <w:pPr>
              <w:rPr>
                <w:sz w:val="30"/>
                <w:szCs w:val="30"/>
              </w:rPr>
            </w:pPr>
            <w:r>
              <w:rPr>
                <w:rFonts w:ascii="宋体" w:hAnsi="宋体" w:cs="宋体"/>
                <w:sz w:val="30"/>
                <w:szCs w:val="30"/>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货币类型：</w:t>
            </w:r>
          </w:p>
        </w:tc>
        <w:tc>
          <w:tcPr>
            <w:tcW w:w="5220" w:type="dxa"/>
            <w:vAlign w:val="center"/>
          </w:tcPr>
          <w:p>
            <w:pPr>
              <w:rPr>
                <w:sz w:val="30"/>
                <w:szCs w:val="30"/>
              </w:rPr>
            </w:pPr>
            <w:r>
              <w:rPr>
                <w:rFonts w:ascii="宋体" w:hAnsi="宋体" w:cs="宋体"/>
                <w:sz w:val="30"/>
                <w:szCs w:val="30"/>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vAlign w:val="center"/>
          </w:tcPr>
          <w:p>
            <w:pPr>
              <w:jc w:val="right"/>
              <w:rPr>
                <w:sz w:val="30"/>
                <w:szCs w:val="30"/>
              </w:rPr>
            </w:pPr>
            <w:r>
              <w:rPr>
                <w:rFonts w:ascii="宋体" w:hAnsi="宋体" w:cs="宋体"/>
                <w:sz w:val="30"/>
                <w:szCs w:val="30"/>
              </w:rPr>
              <w:t>评标方法：</w:t>
            </w:r>
          </w:p>
        </w:tc>
        <w:tc>
          <w:tcPr>
            <w:tcW w:w="5220" w:type="dxa"/>
            <w:vAlign w:val="center"/>
          </w:tcPr>
          <w:p>
            <w:pPr>
              <w:rPr>
                <w:sz w:val="30"/>
                <w:szCs w:val="30"/>
              </w:rPr>
            </w:pPr>
            <w:r>
              <w:rPr>
                <w:rFonts w:ascii="宋体" w:hAnsi="宋体" w:cs="宋体"/>
                <w:sz w:val="30"/>
                <w:szCs w:val="30"/>
              </w:rPr>
              <w:t>综合评分法</w:t>
            </w:r>
          </w:p>
        </w:tc>
      </w:tr>
    </w:tbl>
    <w:p>
      <w:pPr>
        <w:pStyle w:val="NormalWeb"/>
        <w:jc w:val="center"/>
        <w:outlineLvl w:val="1"/>
        <w:rPr>
          <w:rFonts w:ascii="黑体" w:eastAsia="黑体" w:hAnsi="宋体" w:cs="黑体"/>
          <w:sz w:val="40"/>
          <w:szCs w:val="40"/>
        </w:rPr>
      </w:pPr>
      <w:bookmarkEnd w:id="0"/>
      <w:r>
        <w:rPr>
          <w:rFonts w:ascii="黑体" w:eastAsia="黑体" w:hAnsi="宋体" w:cs="黑体" w:hint="eastAsia"/>
          <w:sz w:val="40"/>
          <w:szCs w:val="40"/>
        </w:rPr>
        <w:t>资格性审查表</w:t>
      </w:r>
    </w:p>
    <w:tbl>
      <w:tblPr>
        <w:tblStyle w:val="TableNormal"/>
        <w:tblW w:w="852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518"/>
        <w:gridCol w:w="8004"/>
      </w:tblGrid>
      <w:tr>
        <w:tblPrEx>
          <w:tblW w:w="852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51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sz w:val="28"/>
                <w:szCs w:val="28"/>
              </w:rPr>
            </w:pPr>
            <w:r>
              <w:rPr>
                <w:rFonts w:ascii="宋体" w:hAnsi="宋体" w:cs="宋体"/>
                <w:sz w:val="28"/>
                <w:szCs w:val="28"/>
              </w:rPr>
              <w:t>序号</w:t>
            </w:r>
          </w:p>
        </w:tc>
        <w:tc>
          <w:tcPr>
            <w:tcW w:w="800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sz w:val="28"/>
                <w:szCs w:val="28"/>
              </w:rPr>
            </w:pPr>
            <w:r>
              <w:rPr>
                <w:rFonts w:ascii="宋体" w:hAnsi="宋体" w:cs="宋体"/>
                <w:sz w:val="28"/>
                <w:szCs w:val="28"/>
              </w:rPr>
              <w:t>内容</w:t>
            </w:r>
          </w:p>
        </w:tc>
      </w:tr>
      <w:tr>
        <w:tblPrEx>
          <w:tblW w:w="8522" w:type="dxa"/>
          <w:jc w:val="center"/>
          <w:tblLayout w:type="fixed"/>
          <w:tblCellMar>
            <w:top w:w="20" w:type="dxa"/>
            <w:left w:w="108" w:type="dxa"/>
            <w:bottom w:w="20" w:type="dxa"/>
            <w:right w:w="108" w:type="dxa"/>
          </w:tblCellMar>
        </w:tblPrEx>
        <w:trPr>
          <w:jc w:val="center"/>
        </w:trPr>
        <w:tc>
          <w:tcPr>
            <w:tcW w:w="518" w:type="dxa"/>
            <w:tcBorders>
              <w:top w:val="single" w:sz="8" w:space="0" w:color="000000"/>
              <w:left w:val="single" w:sz="8" w:space="0" w:color="000000"/>
              <w:bottom w:val="single" w:sz="8" w:space="0" w:color="000000"/>
              <w:right w:val="single" w:sz="8" w:space="0" w:color="000000"/>
            </w:tcBorders>
          </w:tcPr>
          <w:p>
            <w:pPr>
              <w:jc w:val="center"/>
              <w:textAlignment w:val="top"/>
              <w:rPr>
                <w:szCs w:val="21"/>
              </w:rPr>
            </w:pPr>
            <w:r>
              <w:rPr>
                <w:rFonts w:ascii="宋体" w:hAnsi="宋体" w:cs="宋体"/>
                <w:szCs w:val="21"/>
              </w:rPr>
              <w:t>1</w:t>
            </w:r>
          </w:p>
        </w:tc>
        <w:tc>
          <w:tcPr>
            <w:tcW w:w="8004"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ascii="宋体" w:hAnsi="宋体" w:cs="宋体"/>
                <w:szCs w:val="21"/>
              </w:rPr>
              <w:t>投标人不</w:t>
            </w:r>
            <w:r>
              <w:rPr>
                <w:rFonts w:ascii="宋体" w:hAnsi="宋体" w:cs="宋体" w:hint="eastAsia"/>
                <w:szCs w:val="21"/>
              </w:rPr>
              <w:t>符合</w:t>
            </w:r>
            <w:r>
              <w:rPr>
                <w:rFonts w:ascii="宋体" w:hAnsi="宋体" w:cs="宋体"/>
                <w:szCs w:val="21"/>
              </w:rPr>
              <w:t>资格要求，或未提交相应的资格证明资料（详见招标公告</w:t>
            </w:r>
            <w:r>
              <w:rPr>
                <w:rFonts w:ascii="宋体" w:hAnsi="宋体" w:hint="eastAsia"/>
                <w:szCs w:val="21"/>
              </w:rPr>
              <w:t>投标人资格要求，即申请人的资格要求</w:t>
            </w:r>
            <w:r>
              <w:rPr>
                <w:rFonts w:ascii="宋体" w:hAnsi="宋体" w:cs="宋体"/>
                <w:szCs w:val="21"/>
              </w:rPr>
              <w:t>）</w:t>
            </w:r>
          </w:p>
        </w:tc>
      </w:tr>
    </w:tbl>
    <w:p>
      <w:pPr>
        <w:pStyle w:val="NormalWeb"/>
        <w:spacing w:before="280" w:beforeAutospacing="0"/>
        <w:jc w:val="center"/>
        <w:outlineLvl w:val="1"/>
        <w:rPr>
          <w:rFonts w:ascii="黑体" w:eastAsia="黑体" w:hAnsi="宋体" w:cs="黑体"/>
          <w:sz w:val="40"/>
          <w:szCs w:val="40"/>
        </w:rPr>
      </w:pPr>
      <w:r>
        <w:rPr>
          <w:rFonts w:ascii="黑体" w:eastAsia="黑体" w:hAnsi="宋体" w:cs="黑体" w:hint="eastAsia"/>
          <w:sz w:val="40"/>
          <w:szCs w:val="40"/>
        </w:rPr>
        <w:t>符合性审查表</w:t>
      </w:r>
    </w:p>
    <w:tbl>
      <w:tblPr>
        <w:tblStyle w:val="TableNormal"/>
        <w:tblW w:w="852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496"/>
        <w:gridCol w:w="8026"/>
      </w:tblGrid>
      <w:tr>
        <w:tblPrEx>
          <w:tblW w:w="852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sz w:val="28"/>
                <w:szCs w:val="28"/>
              </w:rPr>
            </w:pPr>
            <w:r>
              <w:rPr>
                <w:rFonts w:ascii="宋体" w:hAnsi="宋体" w:cs="宋体"/>
                <w:sz w:val="28"/>
                <w:szCs w:val="28"/>
              </w:rPr>
              <w:t>序号</w:t>
            </w:r>
          </w:p>
        </w:tc>
        <w:tc>
          <w:tcPr>
            <w:tcW w:w="8026"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sz w:val="28"/>
                <w:szCs w:val="28"/>
              </w:rPr>
            </w:pPr>
            <w:r>
              <w:rPr>
                <w:rFonts w:ascii="宋体" w:hAnsi="宋体" w:cs="宋体"/>
                <w:sz w:val="28"/>
                <w:szCs w:val="28"/>
              </w:rPr>
              <w:t>内容</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szCs w:val="21"/>
              </w:rPr>
            </w:pPr>
            <w:r>
              <w:rPr>
                <w:rFonts w:ascii="宋体" w:hAnsi="宋体" w:cs="宋体"/>
                <w:szCs w:val="21"/>
              </w:rPr>
              <w:t>1</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将一个包或一个标段的内容拆开投标；</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szCs w:val="21"/>
              </w:rPr>
            </w:pPr>
            <w:r>
              <w:rPr>
                <w:rFonts w:ascii="宋体" w:hAnsi="宋体" w:cs="宋体"/>
                <w:szCs w:val="21"/>
              </w:rPr>
              <w:t>2</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对同一项目投标时，提供两套以上的投标方案（招标文件另有规定的除外）；</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szCs w:val="21"/>
              </w:rPr>
            </w:pPr>
            <w:r>
              <w:rPr>
                <w:rFonts w:ascii="宋体" w:hAnsi="宋体" w:cs="宋体"/>
                <w:szCs w:val="21"/>
              </w:rPr>
              <w:t>3</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分项报价或投标总价高于</w:t>
            </w:r>
            <w:bookmarkStart w:id="2" w:name="_Hlk71832186"/>
            <w:r>
              <w:rPr>
                <w:rFonts w:hint="eastAsia"/>
              </w:rPr>
              <w:t>相应财政预算金额（或设定的财政预算金额下的最高限价）</w:t>
            </w:r>
            <w:bookmarkEnd w:id="2"/>
            <w:r>
              <w:rPr>
                <w:rFonts w:hint="eastAsia"/>
              </w:rPr>
              <w:t>；</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szCs w:val="21"/>
              </w:rPr>
            </w:pPr>
            <w:r>
              <w:rPr>
                <w:rFonts w:ascii="宋体" w:hAnsi="宋体" w:cs="宋体"/>
                <w:szCs w:val="21"/>
              </w:rPr>
              <w:t>4</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szCs w:val="21"/>
              </w:rPr>
            </w:pPr>
            <w:r>
              <w:rPr>
                <w:rFonts w:ascii="宋体" w:hAnsi="宋体" w:cs="宋体"/>
                <w:szCs w:val="21"/>
              </w:rPr>
              <w:t>5</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所投货物、服务在技术、商务等方面没有实质性满足招标文件要求的（是否实质性满足招标文件要求，由评审委员会根据《实质性条款响应情况表》做出评判）；</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szCs w:val="21"/>
              </w:rPr>
            </w:pPr>
            <w:r>
              <w:rPr>
                <w:rFonts w:ascii="宋体" w:hAnsi="宋体" w:cs="宋体"/>
                <w:szCs w:val="21"/>
              </w:rPr>
              <w:t>6</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未按招标文件所提供的样式填写《投标函》；</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szCs w:val="21"/>
              </w:rPr>
            </w:pPr>
            <w:r>
              <w:rPr>
                <w:rFonts w:ascii="宋体" w:eastAsia="宋体" w:hAnsi="宋体" w:cs="宋体" w:hint="eastAsia"/>
                <w:szCs w:val="21"/>
              </w:rPr>
              <w:t>7</w:t>
            </w:r>
          </w:p>
        </w:tc>
        <w:tc>
          <w:tcPr>
            <w:tcW w:w="8026" w:type="dxa"/>
            <w:tcBorders>
              <w:top w:val="single" w:sz="8" w:space="0" w:color="000000"/>
              <w:left w:val="single" w:sz="8" w:space="0" w:color="000000"/>
              <w:bottom w:val="single" w:sz="8" w:space="0" w:color="000000"/>
              <w:right w:val="single" w:sz="8" w:space="0" w:color="000000"/>
            </w:tcBorders>
          </w:tcPr>
          <w:p>
            <w:pPr>
              <w:textAlignment w:val="top"/>
            </w:pPr>
            <w:r>
              <w:rPr>
                <w:rFonts w:hint="eastAsia"/>
              </w:rPr>
              <w:t>未按招标文件所提供的《政府采购投标及履约承诺函》进行承诺；未按招标文件对投标文件组成的要求提供投标文件；</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rFonts w:eastAsia="宋体"/>
                <w:szCs w:val="21"/>
              </w:rPr>
            </w:pPr>
            <w:r>
              <w:rPr>
                <w:rFonts w:ascii="宋体" w:eastAsia="宋体" w:hAnsi="宋体" w:cs="宋体" w:hint="eastAsia"/>
                <w:szCs w:val="21"/>
              </w:rPr>
              <w:t>8</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投标报价有缺漏项目,或者对招标文件规定的项目需求内容或者需求数量进行修改</w:t>
            </w:r>
            <w:r>
              <w:rPr>
                <w:rFonts w:hint="eastAsia"/>
                <w:szCs w:val="21"/>
              </w:rPr>
              <w:t>，评审委员会判定投标响应不满足采购需求</w:t>
            </w:r>
            <w:r>
              <w:rPr>
                <w:rFonts w:hint="eastAsia"/>
              </w:rPr>
              <w:t>；</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rFonts w:eastAsia="宋体"/>
                <w:szCs w:val="21"/>
              </w:rPr>
            </w:pPr>
            <w:r>
              <w:rPr>
                <w:rFonts w:ascii="宋体" w:eastAsia="宋体" w:hAnsi="宋体" w:cs="宋体" w:hint="eastAsia"/>
                <w:szCs w:val="21"/>
              </w:rPr>
              <w:t>9</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投标文件存在列放位置错误，导致属于信息公开情形的没有被公开；</w:t>
            </w:r>
          </w:p>
        </w:tc>
      </w:tr>
      <w:tr>
        <w:tblPrEx>
          <w:tblW w:w="8522" w:type="dxa"/>
          <w:jc w:val="center"/>
          <w:tblLayout w:type="fixed"/>
          <w:tblCellMar>
            <w:top w:w="20" w:type="dxa"/>
            <w:left w:w="108" w:type="dxa"/>
            <w:bottom w:w="20" w:type="dxa"/>
            <w:right w:w="108" w:type="dxa"/>
          </w:tblCellMar>
        </w:tblPrEx>
        <w:trPr>
          <w:trHeight w:val="293"/>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rFonts w:eastAsia="宋体"/>
                <w:szCs w:val="21"/>
              </w:rPr>
            </w:pPr>
            <w:r>
              <w:rPr>
                <w:rFonts w:ascii="宋体" w:eastAsia="宋体" w:hAnsi="宋体" w:cs="宋体" w:hint="eastAsia"/>
                <w:szCs w:val="21"/>
              </w:rPr>
              <w:t>10</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投标文件电子文档带病毒；</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rFonts w:eastAsia="宋体"/>
                <w:szCs w:val="21"/>
              </w:rPr>
            </w:pPr>
            <w:r>
              <w:rPr>
                <w:rFonts w:ascii="宋体" w:eastAsia="宋体" w:hAnsi="宋体" w:cs="宋体" w:hint="eastAsia"/>
                <w:szCs w:val="21"/>
              </w:rPr>
              <w:t>11</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投标文件用不属于本公司的电子密钥进行加密的；</w:t>
            </w:r>
          </w:p>
        </w:tc>
      </w:tr>
      <w:tr>
        <w:tblPrEx>
          <w:tblW w:w="8522" w:type="dxa"/>
          <w:jc w:val="center"/>
          <w:tblLayout w:type="fixed"/>
          <w:tblCellMar>
            <w:top w:w="20" w:type="dxa"/>
            <w:left w:w="108" w:type="dxa"/>
            <w:bottom w:w="20" w:type="dxa"/>
            <w:right w:w="108" w:type="dxa"/>
          </w:tblCellMar>
        </w:tblPrEx>
        <w:trPr>
          <w:jc w:val="center"/>
        </w:trPr>
        <w:tc>
          <w:tcPr>
            <w:tcW w:w="496" w:type="dxa"/>
            <w:tcBorders>
              <w:top w:val="single" w:sz="8" w:space="0" w:color="000000"/>
              <w:left w:val="single" w:sz="8" w:space="0" w:color="000000"/>
              <w:bottom w:val="single" w:sz="8" w:space="0" w:color="000000"/>
              <w:right w:val="single" w:sz="8" w:space="0" w:color="000000"/>
            </w:tcBorders>
          </w:tcPr>
          <w:p>
            <w:pPr>
              <w:jc w:val="center"/>
              <w:textAlignment w:val="top"/>
              <w:rPr>
                <w:rFonts w:eastAsia="宋体"/>
                <w:szCs w:val="21"/>
              </w:rPr>
            </w:pPr>
            <w:r>
              <w:rPr>
                <w:rFonts w:ascii="宋体" w:hAnsi="宋体" w:cs="宋体"/>
                <w:szCs w:val="21"/>
              </w:rPr>
              <w:t>1</w:t>
            </w:r>
            <w:r>
              <w:rPr>
                <w:rFonts w:ascii="宋体" w:eastAsia="宋体" w:hAnsi="宋体" w:cs="宋体" w:hint="eastAsia"/>
                <w:szCs w:val="21"/>
              </w:rPr>
              <w:t>2</w:t>
            </w:r>
          </w:p>
        </w:tc>
        <w:tc>
          <w:tcPr>
            <w:tcW w:w="8026" w:type="dxa"/>
            <w:tcBorders>
              <w:top w:val="single" w:sz="8" w:space="0" w:color="000000"/>
              <w:left w:val="single" w:sz="8" w:space="0" w:color="000000"/>
              <w:bottom w:val="single" w:sz="8" w:space="0" w:color="000000"/>
              <w:right w:val="single" w:sz="8" w:space="0" w:color="000000"/>
            </w:tcBorders>
          </w:tcPr>
          <w:p>
            <w:pPr>
              <w:textAlignment w:val="top"/>
              <w:rPr>
                <w:szCs w:val="21"/>
              </w:rPr>
            </w:pPr>
            <w:r>
              <w:rPr>
                <w:rFonts w:hint="eastAsia"/>
              </w:rPr>
              <w:t>法律、法规、规章、规范性文件规定的其他情形。</w:t>
            </w:r>
          </w:p>
        </w:tc>
      </w:tr>
    </w:tbl>
    <w:p/>
    <w:p>
      <w:pPr>
        <w:pStyle w:val="Default"/>
      </w:pPr>
    </w:p>
    <w:p>
      <w:pPr>
        <w:pStyle w:val="Default"/>
      </w:pPr>
    </w:p>
    <w:p>
      <w:pPr>
        <w:pStyle w:val="NormalWeb"/>
        <w:jc w:val="center"/>
        <w:outlineLvl w:val="1"/>
        <w:rPr>
          <w:rFonts w:ascii="黑体" w:eastAsia="黑体" w:hAnsi="宋体" w:cs="黑体"/>
          <w:sz w:val="40"/>
          <w:szCs w:val="40"/>
        </w:rPr>
      </w:pPr>
      <w:r>
        <w:rPr>
          <w:rFonts w:ascii="黑体" w:eastAsia="黑体" w:hAnsi="宋体" w:cs="黑体" w:hint="eastAsia"/>
          <w:sz w:val="40"/>
          <w:szCs w:val="40"/>
        </w:rPr>
        <w:t>评标信息</w:t>
      </w:r>
    </w:p>
    <w:tbl>
      <w:tblPr>
        <w:tblStyle w:val="TableNormal"/>
        <w:tblW w:w="8396" w:type="dxa"/>
        <w:jc w:val="center"/>
        <w:tblCellSpacing w:w="0" w:type="dxa"/>
        <w:tblLayout w:type="fixed"/>
        <w:tblCellMar>
          <w:top w:w="45" w:type="dxa"/>
          <w:left w:w="45" w:type="dxa"/>
          <w:bottom w:w="45" w:type="dxa"/>
          <w:right w:w="45" w:type="dxa"/>
        </w:tblCellMar>
      </w:tblPr>
      <w:tblGrid>
        <w:gridCol w:w="8250"/>
        <w:gridCol w:w="146"/>
      </w:tblGrid>
      <w:tr>
        <w:tblPrEx>
          <w:tblW w:w="8396" w:type="dxa"/>
          <w:jc w:val="center"/>
          <w:tblCellSpacing w:w="0" w:type="dxa"/>
          <w:tblLayout w:type="fixed"/>
          <w:tblCellMar>
            <w:top w:w="45" w:type="dxa"/>
            <w:left w:w="45" w:type="dxa"/>
            <w:bottom w:w="45" w:type="dxa"/>
            <w:right w:w="45" w:type="dxa"/>
          </w:tblCellMar>
        </w:tblPrEx>
        <w:trPr>
          <w:tblCellSpacing w:w="0" w:type="dxa"/>
          <w:jc w:val="center"/>
        </w:trPr>
        <w:tc>
          <w:tcPr>
            <w:tcW w:w="8250" w:type="dxa"/>
            <w:vAlign w:val="center"/>
          </w:tcPr>
          <w:p>
            <w:pPr>
              <w:rPr>
                <w:b/>
                <w:bCs/>
              </w:rPr>
            </w:pPr>
            <w:r>
              <w:rPr>
                <w:b/>
                <w:bCs/>
              </w:rPr>
              <w:t>评标方法：</w:t>
            </w:r>
            <w:r>
              <w:rPr>
                <w:rFonts w:hint="eastAsia"/>
                <w:b/>
                <w:bCs/>
              </w:rPr>
              <w:t>最低价法/</w:t>
            </w:r>
            <w:r>
              <w:rPr>
                <w:b/>
                <w:bCs/>
              </w:rPr>
              <w:t>综合评分法（新价格分算法）</w:t>
            </w:r>
          </w:p>
        </w:tc>
        <w:tc>
          <w:tcPr>
            <w:tcW w:w="146" w:type="dxa"/>
            <w:vAlign w:val="center"/>
          </w:tcPr>
          <w:p>
            <w:pPr>
              <w:jc w:val="right"/>
              <w:rPr>
                <w:rFonts w:ascii="宋体"/>
                <w:b/>
                <w:bCs/>
              </w:rPr>
            </w:pPr>
          </w:p>
        </w:tc>
      </w:tr>
      <w:tr>
        <w:tblPrEx>
          <w:tblW w:w="8396" w:type="dxa"/>
          <w:jc w:val="center"/>
          <w:tblCellSpacing w:w="0" w:type="dxa"/>
          <w:tblLayout w:type="fixed"/>
          <w:tblCellMar>
            <w:top w:w="45" w:type="dxa"/>
            <w:left w:w="45" w:type="dxa"/>
            <w:bottom w:w="45" w:type="dxa"/>
            <w:right w:w="45" w:type="dxa"/>
          </w:tblCellMar>
        </w:tblPrEx>
        <w:trPr>
          <w:tblCellSpacing w:w="0" w:type="dxa"/>
          <w:jc w:val="center"/>
        </w:trPr>
        <w:tc>
          <w:tcPr>
            <w:tcW w:w="8396" w:type="dxa"/>
            <w:gridSpan w:val="2"/>
            <w:vAlign w:val="center"/>
          </w:tcPr>
          <w:p>
            <w:pPr>
              <w:spacing w:line="324" w:lineRule="auto"/>
              <w:ind w:firstLine="420"/>
              <w:rPr>
                <w:szCs w:val="21"/>
              </w:rPr>
            </w:pPr>
            <w:r>
              <w:rPr>
                <w:szCs w:val="21"/>
              </w:rPr>
              <w:t xml:space="preserve">综合评分法，是指投标文件满足招标文件全部实质性要求，且按照评审因素的量化指标评审得分最高的投标人为中标候选人的评标方法。 </w:t>
            </w:r>
          </w:p>
          <w:p>
            <w:pPr>
              <w:ind w:firstLine="420"/>
              <w:rPr>
                <w:szCs w:val="21"/>
              </w:rPr>
            </w:pPr>
            <w:r>
              <w:rPr>
                <w:szCs w:val="21"/>
              </w:rPr>
              <w:t>价格分计算方法：</w:t>
            </w:r>
          </w:p>
          <w:p>
            <w:pPr>
              <w:pStyle w:val="NormalWeb"/>
              <w:spacing w:line="324" w:lineRule="auto"/>
              <w:ind w:left="420"/>
              <w:rPr>
                <w:rFonts w:eastAsia="宋体"/>
                <w:kern w:val="2"/>
                <w:sz w:val="21"/>
                <w:szCs w:val="21"/>
              </w:rPr>
            </w:pPr>
            <w:r>
              <w:rPr>
                <w:kern w:val="2"/>
                <w:sz w:val="21"/>
                <w:szCs w:val="21"/>
              </w:rPr>
              <w:t xml:space="preserve">采用低价优先法计算，即满足招标文件要求且投标价格最低的投标报价为评标基准价，其价格分为满分。其他投标人的价格分统一按照下列公式计算： </w:t>
            </w:r>
          </w:p>
          <w:p>
            <w:pPr>
              <w:pStyle w:val="NormalWeb"/>
              <w:spacing w:line="324" w:lineRule="auto"/>
              <w:ind w:left="420"/>
              <w:rPr>
                <w:rFonts w:eastAsia="宋体"/>
                <w:kern w:val="2"/>
                <w:sz w:val="21"/>
                <w:szCs w:val="21"/>
              </w:rPr>
            </w:pPr>
            <w:r>
              <w:rPr>
                <w:kern w:val="2"/>
                <w:sz w:val="21"/>
                <w:szCs w:val="21"/>
              </w:rPr>
              <w:t>投标报价得分=(评标基准价／投标报价)×100 ×</w:t>
            </w:r>
            <w:r>
              <w:rPr>
                <w:rFonts w:eastAsia="宋体" w:hint="eastAsia"/>
                <w:kern w:val="2"/>
                <w:sz w:val="21"/>
                <w:szCs w:val="21"/>
              </w:rPr>
              <w:t>权重</w:t>
            </w:r>
          </w:p>
          <w:p>
            <w:pPr>
              <w:pStyle w:val="NormalWeb"/>
              <w:spacing w:line="324" w:lineRule="auto"/>
              <w:ind w:left="420"/>
              <w:rPr>
                <w:rFonts w:eastAsia="宋体"/>
                <w:kern w:val="2"/>
                <w:sz w:val="21"/>
                <w:szCs w:val="21"/>
              </w:rPr>
            </w:pPr>
            <w:r>
              <w:rPr>
                <w:kern w:val="2"/>
                <w:sz w:val="21"/>
                <w:szCs w:val="21"/>
              </w:rPr>
              <w:t xml:space="preserve">评标总得分＝F1×A1＋F2×A2＋……＋Fn×An </w:t>
            </w:r>
          </w:p>
          <w:p>
            <w:pPr>
              <w:pStyle w:val="NormalWeb"/>
              <w:spacing w:line="324" w:lineRule="auto"/>
              <w:ind w:left="420"/>
              <w:rPr>
                <w:rFonts w:eastAsia="宋体"/>
                <w:kern w:val="2"/>
                <w:sz w:val="21"/>
                <w:szCs w:val="21"/>
              </w:rPr>
            </w:pPr>
            <w:r>
              <w:rPr>
                <w:kern w:val="2"/>
                <w:sz w:val="21"/>
                <w:szCs w:val="21"/>
              </w:rPr>
              <w:t xml:space="preserve">F1、F2……Fn分别为各项评审因素的得分； </w:t>
            </w:r>
          </w:p>
          <w:p>
            <w:pPr>
              <w:pStyle w:val="NormalWeb"/>
              <w:spacing w:line="324" w:lineRule="auto"/>
              <w:ind w:left="420"/>
              <w:rPr>
                <w:rFonts w:eastAsia="宋体"/>
                <w:kern w:val="2"/>
                <w:sz w:val="21"/>
                <w:szCs w:val="21"/>
              </w:rPr>
            </w:pPr>
            <w:r>
              <w:rPr>
                <w:kern w:val="2"/>
                <w:sz w:val="21"/>
                <w:szCs w:val="21"/>
              </w:rPr>
              <w:t xml:space="preserve">A1、A2、……An 分别为各项评审因素所占的权重(A1＋A2＋……＋An＝1)。 </w:t>
            </w:r>
          </w:p>
          <w:p>
            <w:pPr>
              <w:pStyle w:val="NormalWeb"/>
              <w:spacing w:line="324" w:lineRule="auto"/>
              <w:ind w:left="420"/>
              <w:rPr>
                <w:rFonts w:eastAsia="宋体"/>
                <w:kern w:val="2"/>
                <w:sz w:val="21"/>
                <w:szCs w:val="21"/>
              </w:rPr>
            </w:pPr>
            <w:r>
              <w:rPr>
                <w:kern w:val="2"/>
                <w:sz w:val="21"/>
                <w:szCs w:val="21"/>
              </w:rPr>
              <w:t xml:space="preserve">评标过程中，不得去掉报价中的最高报价和最低报价。 </w:t>
            </w:r>
          </w:p>
          <w:p>
            <w:pPr>
              <w:pStyle w:val="NormalWeb"/>
              <w:spacing w:line="324" w:lineRule="auto"/>
              <w:ind w:left="420"/>
              <w:rPr>
                <w:sz w:val="21"/>
                <w:szCs w:val="21"/>
              </w:rPr>
            </w:pPr>
            <w:r>
              <w:rPr>
                <w:kern w:val="2"/>
                <w:sz w:val="21"/>
                <w:szCs w:val="21"/>
              </w:rPr>
              <w:t>此方法适用于货物类、服务类、工程类项目。</w:t>
            </w:r>
          </w:p>
        </w:tc>
      </w:tr>
    </w:tbl>
    <w:p>
      <w:pPr>
        <w:rPr>
          <w:vanish/>
        </w:rPr>
      </w:pPr>
    </w:p>
    <w:tbl>
      <w:tblPr>
        <w:tblStyle w:val="TableNormal"/>
        <w:tblW w:w="88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627"/>
        <w:gridCol w:w="633"/>
        <w:gridCol w:w="17"/>
        <w:gridCol w:w="1542"/>
        <w:gridCol w:w="17"/>
        <w:gridCol w:w="709"/>
        <w:gridCol w:w="5295"/>
      </w:tblGrid>
      <w:tr>
        <w:tblPrEx>
          <w:tblW w:w="88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627"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b/>
                <w:bCs/>
              </w:rPr>
            </w:pPr>
            <w:r>
              <w:rPr>
                <w:rFonts w:ascii="宋体" w:hAnsi="宋体" w:cs="宋体"/>
                <w:b/>
                <w:bCs/>
              </w:rPr>
              <w:t>序号</w:t>
            </w:r>
          </w:p>
        </w:tc>
        <w:tc>
          <w:tcPr>
            <w:tcW w:w="2918" w:type="dxa"/>
            <w:gridSpan w:val="5"/>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b/>
                <w:bCs/>
              </w:rPr>
            </w:pPr>
            <w:r>
              <w:rPr>
                <w:rFonts w:ascii="宋体" w:hAnsi="宋体" w:cs="宋体"/>
                <w:b/>
                <w:bCs/>
              </w:rPr>
              <w:t>评分项</w:t>
            </w:r>
          </w:p>
        </w:tc>
        <w:tc>
          <w:tcPr>
            <w:tcW w:w="5295"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hAnsi="宋体" w:cs="宋体"/>
                <w:b/>
                <w:bCs/>
                <w:color w:val="0000FF"/>
              </w:rPr>
            </w:pPr>
            <w:r>
              <w:rPr>
                <w:rFonts w:ascii="宋体" w:hAnsi="宋体" w:cs="宋体"/>
                <w:b/>
                <w:bCs/>
              </w:rPr>
              <w:t>权重(%)</w:t>
            </w:r>
          </w:p>
        </w:tc>
      </w:tr>
      <w:tr>
        <w:tblPrEx>
          <w:tblW w:w="8840" w:type="dxa"/>
          <w:jc w:val="center"/>
          <w:tblLayout w:type="fixed"/>
          <w:tblCellMar>
            <w:top w:w="20" w:type="dxa"/>
            <w:left w:w="108" w:type="dxa"/>
            <w:bottom w:w="20" w:type="dxa"/>
            <w:right w:w="108" w:type="dxa"/>
          </w:tblCellMar>
        </w:tblPrEx>
        <w:trPr>
          <w:jc w:val="center"/>
        </w:trPr>
        <w:tc>
          <w:tcPr>
            <w:tcW w:w="627"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b/>
                <w:bCs/>
                <w:color w:val="0000FF"/>
              </w:rPr>
            </w:pPr>
            <w:r>
              <w:rPr>
                <w:rFonts w:ascii="宋体" w:hAnsi="宋体" w:cs="宋体"/>
                <w:b/>
                <w:bCs/>
                <w:color w:val="0000FF"/>
              </w:rPr>
              <w:t>1</w:t>
            </w:r>
          </w:p>
        </w:tc>
        <w:tc>
          <w:tcPr>
            <w:tcW w:w="2918" w:type="dxa"/>
            <w:gridSpan w:val="5"/>
            <w:tcBorders>
              <w:top w:val="single" w:sz="8" w:space="0" w:color="000000"/>
              <w:left w:val="single" w:sz="8" w:space="0" w:color="000000"/>
              <w:bottom w:val="single" w:sz="8" w:space="0" w:color="000000"/>
              <w:right w:val="single" w:sz="8" w:space="0" w:color="000000"/>
            </w:tcBorders>
            <w:vAlign w:val="center"/>
          </w:tcPr>
          <w:p>
            <w:pPr>
              <w:wordWrap w:val="0"/>
              <w:jc w:val="center"/>
              <w:rPr>
                <w:b/>
                <w:bCs/>
                <w:color w:val="0000FF"/>
              </w:rPr>
            </w:pPr>
            <w:r>
              <w:rPr>
                <w:rFonts w:ascii="宋体" w:hAnsi="宋体" w:cs="宋体"/>
                <w:b/>
                <w:bCs/>
                <w:color w:val="0000FF"/>
              </w:rPr>
              <w:t>价格</w:t>
            </w:r>
          </w:p>
        </w:tc>
        <w:tc>
          <w:tcPr>
            <w:tcW w:w="529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hAnsi="宋体" w:cs="宋体"/>
                <w:b/>
                <w:bCs/>
                <w:color w:val="0000FF"/>
              </w:rPr>
            </w:pPr>
            <w:r>
              <w:rPr>
                <w:rFonts w:ascii="宋体" w:hAnsi="宋体" w:cs="宋体"/>
                <w:b/>
                <w:bCs/>
                <w:color w:val="0000FF"/>
              </w:rPr>
              <w:t>30</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8213" w:type="dxa"/>
            <w:gridSpan w:val="6"/>
            <w:tcBorders>
              <w:top w:val="single" w:sz="8" w:space="0" w:color="000000"/>
              <w:left w:val="single" w:sz="8" w:space="0" w:color="000000"/>
              <w:bottom w:val="single" w:sz="8" w:space="0" w:color="000000"/>
              <w:right w:val="single" w:sz="8" w:space="0" w:color="000000"/>
            </w:tcBorders>
          </w:tcPr>
          <w:p>
            <w:pPr>
              <w:rPr>
                <w:rFonts w:ascii="宋体"/>
                <w:szCs w:val="21"/>
              </w:rPr>
            </w:pPr>
          </w:p>
        </w:tc>
      </w:tr>
      <w:tr>
        <w:tblPrEx>
          <w:tblW w:w="8840" w:type="dxa"/>
          <w:jc w:val="center"/>
          <w:tblLayout w:type="fixed"/>
          <w:tblCellMar>
            <w:top w:w="20" w:type="dxa"/>
            <w:left w:w="108" w:type="dxa"/>
            <w:bottom w:w="20" w:type="dxa"/>
            <w:right w:w="108" w:type="dxa"/>
          </w:tblCellMar>
        </w:tblPrEx>
        <w:trPr>
          <w:jc w:val="center"/>
        </w:trPr>
        <w:tc>
          <w:tcPr>
            <w:tcW w:w="627"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b/>
                <w:bCs/>
                <w:color w:val="0000FF"/>
              </w:rPr>
            </w:pPr>
            <w:r>
              <w:rPr>
                <w:rFonts w:ascii="宋体" w:hAnsi="宋体" w:cs="宋体"/>
                <w:b/>
                <w:bCs/>
                <w:color w:val="0000FF"/>
              </w:rPr>
              <w:t>2</w:t>
            </w:r>
          </w:p>
        </w:tc>
        <w:tc>
          <w:tcPr>
            <w:tcW w:w="2918" w:type="dxa"/>
            <w:gridSpan w:val="5"/>
            <w:tcBorders>
              <w:top w:val="single" w:sz="8" w:space="0" w:color="000000"/>
              <w:left w:val="single" w:sz="8" w:space="0" w:color="000000"/>
              <w:bottom w:val="single" w:sz="8" w:space="0" w:color="000000"/>
              <w:right w:val="single" w:sz="8" w:space="0" w:color="000000"/>
            </w:tcBorders>
            <w:vAlign w:val="center"/>
          </w:tcPr>
          <w:p>
            <w:pPr>
              <w:wordWrap w:val="0"/>
              <w:jc w:val="center"/>
              <w:rPr>
                <w:b/>
                <w:bCs/>
                <w:color w:val="0000FF"/>
              </w:rPr>
            </w:pPr>
            <w:r>
              <w:rPr>
                <w:rFonts w:ascii="宋体" w:hAnsi="宋体" w:cs="宋体"/>
                <w:b/>
                <w:bCs/>
                <w:color w:val="0000FF"/>
              </w:rPr>
              <w:t>技术部分</w:t>
            </w:r>
          </w:p>
        </w:tc>
        <w:tc>
          <w:tcPr>
            <w:tcW w:w="529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eastAsia="宋体" w:hint="default"/>
                <w:b/>
                <w:bCs/>
                <w:color w:val="0000FF"/>
                <w:lang w:val="en-US" w:eastAsia="zh-CN"/>
              </w:rPr>
            </w:pPr>
            <w:r>
              <w:rPr>
                <w:rFonts w:ascii="宋体" w:hAnsi="宋体" w:cs="宋体" w:hint="eastAsia"/>
                <w:b/>
                <w:bCs/>
                <w:color w:val="0000FF"/>
                <w:lang w:val="en-US" w:eastAsia="zh-CN"/>
              </w:rPr>
              <w:t>57</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8213" w:type="dxa"/>
            <w:gridSpan w:val="6"/>
            <w:tcBorders>
              <w:top w:val="single" w:sz="8" w:space="0" w:color="000000"/>
              <w:left w:val="single" w:sz="8" w:space="0" w:color="000000"/>
              <w:bottom w:val="single" w:sz="8" w:space="0" w:color="000000"/>
              <w:right w:val="single" w:sz="8" w:space="0" w:color="000000"/>
            </w:tcBorders>
          </w:tcPr>
          <w:p>
            <w:pPr>
              <w:rPr>
                <w:rFonts w:ascii="宋体"/>
                <w:szCs w:val="21"/>
              </w:rPr>
            </w:pP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b/>
                <w:bCs/>
                <w:color w:val="0000FF"/>
              </w:rPr>
            </w:pPr>
          </w:p>
        </w:tc>
        <w:tc>
          <w:tcPr>
            <w:tcW w:w="650"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序号</w:t>
            </w:r>
          </w:p>
        </w:tc>
        <w:tc>
          <w:tcPr>
            <w:tcW w:w="1559"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评分因素</w:t>
            </w:r>
          </w:p>
        </w:tc>
        <w:tc>
          <w:tcPr>
            <w:tcW w:w="70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权重(%)</w:t>
            </w:r>
          </w:p>
        </w:tc>
        <w:tc>
          <w:tcPr>
            <w:tcW w:w="5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评分准则</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650" w:type="dxa"/>
            <w:gridSpan w:val="2"/>
            <w:tcBorders>
              <w:top w:val="single" w:sz="8" w:space="0" w:color="000000"/>
              <w:left w:val="single" w:sz="8" w:space="0" w:color="000000"/>
              <w:bottom w:val="single" w:sz="8" w:space="0" w:color="000000"/>
              <w:right w:val="single" w:sz="8" w:space="0" w:color="000000"/>
            </w:tcBorders>
            <w:vAlign w:val="center"/>
          </w:tcPr>
          <w:p>
            <w:pPr>
              <w:jc w:val="center"/>
            </w:pPr>
            <w:r>
              <w:rPr>
                <w:rFonts w:hint="eastAsia"/>
              </w:rPr>
              <w:t>1</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rPr>
            </w:pPr>
            <w:r>
              <w:rPr>
                <w:rFonts w:ascii="宋体" w:eastAsia="宋体" w:hAnsi="宋体" w:cs="宋体" w:hint="eastAsia"/>
              </w:rPr>
              <w:t>技术保障措施</w:t>
            </w:r>
          </w:p>
        </w:tc>
        <w:tc>
          <w:tcPr>
            <w:tcW w:w="709"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default"/>
                <w:color w:val="auto"/>
                <w:lang w:val="en-US" w:eastAsia="zh-CN"/>
              </w:rPr>
            </w:pPr>
            <w:r>
              <w:rPr>
                <w:rFonts w:ascii="宋体" w:eastAsia="宋体" w:hAnsi="宋体" w:hint="eastAsia"/>
                <w:color w:val="auto"/>
                <w:lang w:val="en-US" w:eastAsia="zh-CN"/>
              </w:rPr>
              <w:t>18</w:t>
            </w:r>
          </w:p>
        </w:tc>
        <w:tc>
          <w:tcPr>
            <w:tcW w:w="5295" w:type="dxa"/>
            <w:tcBorders>
              <w:top w:val="single" w:sz="8" w:space="0" w:color="000000"/>
              <w:left w:val="single" w:sz="8" w:space="0" w:color="000000"/>
              <w:bottom w:val="single" w:sz="8" w:space="0" w:color="000000"/>
              <w:right w:val="single" w:sz="8" w:space="0" w:color="000000"/>
            </w:tcBorders>
            <w:vAlign w:val="center"/>
          </w:tcPr>
          <w:p>
            <w:pPr>
              <w:rPr>
                <w:rFonts w:eastAsia="宋体"/>
                <w:b/>
                <w:bCs/>
                <w:color w:val="auto"/>
              </w:rPr>
            </w:pPr>
            <w:r>
              <w:rPr>
                <w:rFonts w:eastAsia="宋体" w:hint="eastAsia"/>
                <w:b/>
                <w:bCs/>
                <w:color w:val="auto"/>
              </w:rPr>
              <w:t>（一）评审内容：</w:t>
            </w:r>
          </w:p>
          <w:p>
            <w:pPr>
              <w:rPr>
                <w:rFonts w:eastAsia="宋体" w:hint="eastAsia"/>
                <w:color w:val="auto"/>
              </w:rPr>
            </w:pPr>
            <w:r>
              <w:rPr>
                <w:rFonts w:eastAsia="宋体" w:hint="eastAsia"/>
                <w:color w:val="auto"/>
              </w:rPr>
              <w:t>投标人需充分说明技术保障措施，包括但不限于：</w:t>
            </w:r>
          </w:p>
          <w:p>
            <w:pPr>
              <w:rPr>
                <w:rFonts w:eastAsia="宋体" w:hint="eastAsia"/>
                <w:color w:val="auto"/>
              </w:rPr>
            </w:pPr>
            <w:r>
              <w:rPr>
                <w:rFonts w:eastAsia="宋体" w:hint="eastAsia"/>
                <w:color w:val="auto"/>
              </w:rPr>
              <w:t>①项目组织管理方案；</w:t>
            </w:r>
          </w:p>
          <w:p>
            <w:pPr>
              <w:rPr>
                <w:rFonts w:eastAsia="宋体" w:hint="eastAsia"/>
                <w:color w:val="auto"/>
              </w:rPr>
            </w:pPr>
            <w:r>
              <w:rPr>
                <w:rFonts w:eastAsia="宋体" w:hint="eastAsia"/>
                <w:color w:val="auto"/>
              </w:rPr>
              <w:t>②项目进度计划；</w:t>
            </w:r>
          </w:p>
          <w:p>
            <w:pPr>
              <w:rPr>
                <w:rFonts w:eastAsia="宋体" w:hint="eastAsia"/>
                <w:color w:val="auto"/>
              </w:rPr>
            </w:pPr>
            <w:r>
              <w:rPr>
                <w:rFonts w:eastAsia="宋体" w:hint="eastAsia"/>
                <w:color w:val="auto"/>
              </w:rPr>
              <w:t>③项目质量控制措施；</w:t>
            </w:r>
          </w:p>
          <w:p>
            <w:pPr>
              <w:rPr>
                <w:rFonts w:eastAsia="宋体" w:hint="eastAsia"/>
                <w:color w:val="auto"/>
              </w:rPr>
            </w:pPr>
            <w:r>
              <w:rPr>
                <w:rFonts w:eastAsia="宋体" w:hint="eastAsia"/>
                <w:color w:val="auto"/>
              </w:rPr>
              <w:t>④项目进度控制措施；</w:t>
            </w:r>
          </w:p>
          <w:p>
            <w:pPr>
              <w:rPr>
                <w:rFonts w:eastAsia="宋体" w:hint="eastAsia"/>
                <w:color w:val="auto"/>
              </w:rPr>
            </w:pPr>
            <w:r>
              <w:rPr>
                <w:rFonts w:eastAsia="宋体" w:hint="eastAsia"/>
                <w:color w:val="auto"/>
              </w:rPr>
              <w:t>⑤项目技术实力</w:t>
            </w:r>
          </w:p>
          <w:p>
            <w:pPr>
              <w:rPr>
                <w:rFonts w:eastAsia="宋体" w:hint="eastAsia"/>
                <w:color w:val="auto"/>
              </w:rPr>
            </w:pPr>
            <w:r>
              <w:rPr>
                <w:rFonts w:eastAsia="宋体" w:hint="eastAsia"/>
                <w:color w:val="auto"/>
              </w:rPr>
              <w:t>一、投标人提供上述5项内容得50分；</w:t>
            </w:r>
          </w:p>
          <w:p>
            <w:pPr>
              <w:rPr>
                <w:rFonts w:eastAsia="宋体" w:hint="eastAsia"/>
                <w:color w:val="auto"/>
              </w:rPr>
            </w:pPr>
            <w:r>
              <w:rPr>
                <w:rFonts w:eastAsia="宋体" w:hint="eastAsia"/>
                <w:color w:val="auto"/>
              </w:rPr>
              <w:t>提供上述任意3-4项内容得20分；</w:t>
            </w:r>
          </w:p>
          <w:p>
            <w:pPr>
              <w:rPr>
                <w:rFonts w:eastAsia="宋体" w:hint="eastAsia"/>
                <w:color w:val="auto"/>
              </w:rPr>
            </w:pPr>
            <w:r>
              <w:rPr>
                <w:rFonts w:eastAsia="宋体" w:hint="eastAsia"/>
                <w:color w:val="auto"/>
              </w:rPr>
              <w:t>提供上述小于3项内容不得分；不提供不得分。</w:t>
            </w:r>
          </w:p>
          <w:p>
            <w:pPr>
              <w:rPr>
                <w:rFonts w:eastAsia="宋体" w:hint="eastAsia"/>
                <w:color w:val="auto"/>
              </w:rPr>
            </w:pPr>
            <w:r>
              <w:rPr>
                <w:rFonts w:eastAsia="宋体" w:hint="eastAsia"/>
                <w:color w:val="auto"/>
              </w:rPr>
              <w:t>二、在此基础上，根据投标人的提供的内容按照量化的评审因素指标进一步横向评审：</w:t>
            </w:r>
          </w:p>
          <w:p>
            <w:pPr>
              <w:rPr>
                <w:rFonts w:eastAsia="宋体" w:hint="eastAsia"/>
                <w:color w:val="auto"/>
              </w:rPr>
            </w:pPr>
            <w:r>
              <w:rPr>
                <w:rFonts w:eastAsia="宋体" w:hint="eastAsia"/>
                <w:color w:val="auto"/>
              </w:rPr>
              <w:t>优评分标准：内容合理性强：得50分；</w:t>
            </w:r>
          </w:p>
          <w:p>
            <w:pPr>
              <w:rPr>
                <w:rFonts w:eastAsia="宋体" w:hint="eastAsia"/>
                <w:color w:val="auto"/>
              </w:rPr>
            </w:pPr>
            <w:r>
              <w:rPr>
                <w:rFonts w:eastAsia="宋体" w:hint="eastAsia"/>
                <w:color w:val="auto"/>
              </w:rPr>
              <w:t>良评分标准：内容合理性较强：得30分；</w:t>
            </w:r>
          </w:p>
          <w:p>
            <w:pPr>
              <w:rPr>
                <w:rFonts w:eastAsia="宋体" w:hint="eastAsia"/>
                <w:color w:val="auto"/>
              </w:rPr>
            </w:pPr>
            <w:r>
              <w:rPr>
                <w:rFonts w:eastAsia="宋体" w:hint="eastAsia"/>
                <w:color w:val="auto"/>
              </w:rPr>
              <w:t>中评分标准：内容合理性一般：得20分；</w:t>
            </w:r>
          </w:p>
          <w:p>
            <w:pPr>
              <w:rPr>
                <w:rFonts w:eastAsia="宋体" w:hint="eastAsia"/>
                <w:color w:val="auto"/>
              </w:rPr>
            </w:pPr>
            <w:r>
              <w:rPr>
                <w:rFonts w:eastAsia="宋体" w:hint="eastAsia"/>
                <w:color w:val="auto"/>
              </w:rPr>
              <w:t>差评分标准：内容合理性较差：不得分；</w:t>
            </w:r>
          </w:p>
          <w:p>
            <w:pPr>
              <w:rPr>
                <w:color w:val="auto"/>
              </w:rPr>
            </w:pPr>
            <w:r>
              <w:rPr>
                <w:rFonts w:eastAsia="宋体" w:hint="eastAsia"/>
                <w:color w:val="auto"/>
              </w:rPr>
              <w:t>备注：不提供不得分。</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650"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default"/>
                <w:szCs w:val="21"/>
                <w:lang w:val="en-US" w:eastAsia="zh-CN"/>
              </w:rPr>
            </w:pPr>
            <w:r>
              <w:rPr>
                <w:rFonts w:ascii="宋体" w:eastAsia="宋体" w:hAnsi="宋体" w:cs="宋体" w:hint="eastAsia"/>
                <w:szCs w:val="21"/>
                <w:lang w:val="en-US" w:eastAsia="zh-CN"/>
              </w:rPr>
              <w:t>2</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jc w:val="center"/>
              <w:rPr>
                <w:rFonts w:ascii="宋体" w:eastAsia="宋体" w:hAnsi="宋体" w:cs="宋体" w:hint="eastAsia"/>
              </w:rPr>
            </w:pPr>
            <w:r>
              <w:rPr>
                <w:rFonts w:ascii="宋体" w:eastAsia="宋体" w:hAnsi="宋体" w:cs="宋体" w:hint="eastAsia"/>
              </w:rPr>
              <w:t>售后服务方案</w:t>
            </w:r>
          </w:p>
        </w:tc>
        <w:tc>
          <w:tcPr>
            <w:tcW w:w="709"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jc w:val="center"/>
              <w:rPr>
                <w:rFonts w:ascii="宋体" w:eastAsia="宋体" w:hAnsi="宋体" w:cs="宋体" w:hint="default"/>
                <w:szCs w:val="21"/>
                <w:lang w:val="en-US" w:eastAsia="zh-CN"/>
              </w:rPr>
            </w:pPr>
            <w:r>
              <w:rPr>
                <w:rFonts w:ascii="宋体" w:eastAsia="宋体" w:hAnsi="宋体" w:cs="宋体" w:hint="eastAsia"/>
                <w:szCs w:val="21"/>
                <w:lang w:val="en-US" w:eastAsia="zh-CN"/>
              </w:rPr>
              <w:t>5</w:t>
            </w:r>
          </w:p>
        </w:tc>
        <w:tc>
          <w:tcPr>
            <w:tcW w:w="5295"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rPr>
                <w:rFonts w:ascii="宋体" w:eastAsia="Times New Roman" w:hAnsi="宋体" w:cs="宋体" w:hint="eastAsia"/>
                <w:sz w:val="24"/>
                <w:szCs w:val="20"/>
                <w:lang w:val="en-US" w:eastAsia="zh-CN" w:bidi="ar-SA"/>
              </w:rPr>
            </w:pPr>
            <w:r>
              <w:rPr>
                <w:rFonts w:eastAsia="宋体" w:hint="eastAsia"/>
                <w:b/>
                <w:bCs/>
              </w:rPr>
              <w:t>（一）评审内容</w:t>
            </w:r>
            <w:r>
              <w:rPr>
                <w:rFonts w:hint="eastAsia"/>
                <w:b/>
                <w:bCs/>
              </w:rPr>
              <w:t>：</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投标人需提供售后服务方案，包括但不限于：</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①售后服务机构及维护人员配置；</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②免费保修期内的保修方案；</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③免费保修期外的维保方案（须提供配件价格、耗材价格、优惠政策等）；</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一、投标人提供上述3项内容得50分；</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提供上述任意1-2项内容得20分；不提供不得分。</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二、在此基础上，根据投标人的提供的内容按照量化的评审因素指标进一步横向评审：</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优评分标准：内容合理性强：得50分；</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良评分标准：内容合理性较强：得30分；</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中评分标准：内容合理性一般：得20分；</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差评分标准：内容合理性较差：不得分；</w:t>
            </w:r>
          </w:p>
          <w:p>
            <w:pPr>
              <w:pStyle w:val="NormalIndent"/>
              <w:spacing w:line="240" w:lineRule="auto"/>
              <w:ind w:firstLine="0"/>
              <w:jc w:val="both"/>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备注：不提供不得分。</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650"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eastAsia="宋体" w:hint="eastAsia"/>
                <w:szCs w:val="21"/>
                <w:lang w:eastAsia="zh-CN"/>
              </w:rPr>
            </w:pPr>
            <w:r>
              <w:rPr>
                <w:rFonts w:ascii="宋体" w:eastAsia="宋体" w:hAnsi="宋体" w:cs="宋体" w:hint="eastAsia"/>
                <w:szCs w:val="21"/>
                <w:lang w:val="en-US" w:eastAsia="zh-CN"/>
              </w:rPr>
              <w:t>3</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jc w:val="center"/>
              <w:rPr>
                <w:rFonts w:ascii="宋体" w:eastAsia="宋体" w:hAnsi="宋体" w:cs="宋体"/>
                <w:szCs w:val="21"/>
              </w:rPr>
            </w:pPr>
            <w:r>
              <w:rPr>
                <w:rFonts w:ascii="宋体" w:eastAsia="宋体" w:hAnsi="宋体" w:cs="宋体" w:hint="eastAsia"/>
              </w:rPr>
              <w:t>技术要求偏离情况</w:t>
            </w:r>
          </w:p>
        </w:tc>
        <w:tc>
          <w:tcPr>
            <w:tcW w:w="709"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jc w:val="center"/>
              <w:rPr>
                <w:rFonts w:ascii="宋体" w:eastAsia="宋体" w:hAnsi="宋体" w:cs="宋体" w:hint="default"/>
                <w:szCs w:val="21"/>
                <w:lang w:val="en-US" w:eastAsia="zh-CN"/>
              </w:rPr>
            </w:pPr>
            <w:r>
              <w:rPr>
                <w:rFonts w:ascii="宋体" w:eastAsia="宋体" w:hAnsi="宋体" w:cs="宋体" w:hint="eastAsia"/>
                <w:szCs w:val="21"/>
                <w:lang w:val="en-US" w:eastAsia="zh-CN"/>
              </w:rPr>
              <w:t>34</w:t>
            </w:r>
          </w:p>
        </w:tc>
        <w:tc>
          <w:tcPr>
            <w:tcW w:w="5295"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rPr>
                <w:b/>
                <w:bCs/>
              </w:rPr>
            </w:pPr>
            <w:r>
              <w:rPr>
                <w:rFonts w:eastAsia="宋体" w:hint="eastAsia"/>
                <w:b/>
                <w:bCs/>
              </w:rPr>
              <w:t>（一）评审内容</w:t>
            </w:r>
            <w:r>
              <w:rPr>
                <w:rFonts w:hint="eastAsia"/>
                <w:b/>
                <w:bCs/>
              </w:rPr>
              <w:t>：</w:t>
            </w:r>
          </w:p>
          <w:p>
            <w:pPr>
              <w:spacing w:line="240" w:lineRule="auto"/>
              <w:rPr>
                <w:rFonts w:ascii="宋体" w:eastAsia="Times New Roman" w:hAnsi="宋体" w:cs="宋体" w:hint="eastAsia"/>
                <w:sz w:val="24"/>
                <w:szCs w:val="20"/>
                <w:lang w:val="en-US" w:eastAsia="zh-CN" w:bidi="ar-SA"/>
              </w:rPr>
            </w:pPr>
            <w:r>
              <w:rPr>
                <w:rFonts w:ascii="宋体" w:eastAsia="Times New Roman" w:hAnsi="宋体" w:cs="宋体" w:hint="eastAsia"/>
                <w:sz w:val="24"/>
                <w:szCs w:val="20"/>
                <w:lang w:val="en-US" w:eastAsia="zh-CN" w:bidi="ar-SA"/>
              </w:rPr>
              <w:t>投标人应如实填写《技术要求偏离表》，评审委员会根据技术需求参数响应情况进行打分，各项技术参数指标及要求全部满足的得100分，带▲</w:t>
            </w:r>
          </w:p>
          <w:p>
            <w:pPr>
              <w:pStyle w:val="NormalIndent"/>
              <w:spacing w:line="240" w:lineRule="auto"/>
              <w:ind w:firstLine="0"/>
              <w:jc w:val="both"/>
            </w:pPr>
            <w:r>
              <w:rPr>
                <w:rFonts w:ascii="宋体" w:eastAsia="Times New Roman" w:hAnsi="宋体" w:cs="宋体" w:hint="eastAsia"/>
                <w:sz w:val="24"/>
                <w:szCs w:val="20"/>
                <w:lang w:val="en-US" w:eastAsia="zh-CN" w:bidi="ar-SA"/>
              </w:rPr>
              <w:t>参数为重点参数，每负偏离一项扣10分；其他一般参数每偏离一项扣5分，扣完为止；正偏离不加分。</w:t>
            </w:r>
          </w:p>
        </w:tc>
      </w:tr>
      <w:tr>
        <w:tblPrEx>
          <w:tblW w:w="8840" w:type="dxa"/>
          <w:jc w:val="center"/>
          <w:tblLayout w:type="fixed"/>
          <w:tblCellMar>
            <w:top w:w="20" w:type="dxa"/>
            <w:left w:w="108" w:type="dxa"/>
            <w:bottom w:w="20" w:type="dxa"/>
            <w:right w:w="108" w:type="dxa"/>
          </w:tblCellMar>
        </w:tblPrEx>
        <w:trPr>
          <w:trHeight w:val="90"/>
          <w:jc w:val="center"/>
        </w:trPr>
        <w:tc>
          <w:tcPr>
            <w:tcW w:w="627"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b/>
                <w:bCs/>
                <w:color w:val="0000FF"/>
              </w:rPr>
            </w:pPr>
            <w:r>
              <w:rPr>
                <w:rFonts w:ascii="宋体" w:hAnsi="宋体" w:cs="宋体"/>
                <w:b/>
                <w:bCs/>
                <w:color w:val="0000FF"/>
              </w:rPr>
              <w:t>3</w:t>
            </w:r>
          </w:p>
        </w:tc>
        <w:tc>
          <w:tcPr>
            <w:tcW w:w="2918" w:type="dxa"/>
            <w:gridSpan w:val="5"/>
            <w:tcBorders>
              <w:top w:val="single" w:sz="8" w:space="0" w:color="000000"/>
              <w:left w:val="single" w:sz="8" w:space="0" w:color="000000"/>
              <w:bottom w:val="single" w:sz="8" w:space="0" w:color="000000"/>
              <w:right w:val="single" w:sz="8" w:space="0" w:color="000000"/>
            </w:tcBorders>
            <w:vAlign w:val="center"/>
          </w:tcPr>
          <w:p>
            <w:pPr>
              <w:wordWrap w:val="0"/>
              <w:jc w:val="center"/>
              <w:rPr>
                <w:b/>
                <w:bCs/>
                <w:color w:val="0000FF"/>
              </w:rPr>
            </w:pPr>
            <w:r>
              <w:rPr>
                <w:rFonts w:ascii="宋体" w:hAnsi="宋体" w:cs="宋体"/>
                <w:b/>
                <w:bCs/>
                <w:color w:val="0000FF"/>
              </w:rPr>
              <w:t>商务需求</w:t>
            </w:r>
          </w:p>
        </w:tc>
        <w:tc>
          <w:tcPr>
            <w:tcW w:w="529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eastAsia="宋体" w:hint="eastAsia"/>
                <w:b/>
                <w:bCs/>
                <w:color w:val="0000FF"/>
                <w:lang w:eastAsia="zh-CN"/>
              </w:rPr>
            </w:pPr>
            <w:r>
              <w:rPr>
                <w:rFonts w:ascii="宋体" w:hAnsi="宋体" w:cs="宋体" w:hint="eastAsia"/>
                <w:b/>
                <w:bCs/>
                <w:color w:val="0000FF"/>
                <w:lang w:val="en-US" w:eastAsia="zh-CN"/>
              </w:rPr>
              <w:t>8</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8213" w:type="dxa"/>
            <w:gridSpan w:val="6"/>
            <w:tcBorders>
              <w:top w:val="single" w:sz="8" w:space="0" w:color="000000"/>
              <w:left w:val="single" w:sz="8" w:space="0" w:color="000000"/>
              <w:bottom w:val="single" w:sz="8" w:space="0" w:color="000000"/>
              <w:right w:val="single" w:sz="8" w:space="0" w:color="000000"/>
            </w:tcBorders>
          </w:tcPr>
          <w:p>
            <w:pPr>
              <w:rPr>
                <w:rFonts w:ascii="宋体"/>
                <w:szCs w:val="21"/>
              </w:rPr>
            </w:pP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b/>
                <w:bCs/>
                <w:color w:val="0000FF"/>
              </w:rPr>
            </w:pPr>
          </w:p>
        </w:tc>
        <w:tc>
          <w:tcPr>
            <w:tcW w:w="650"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序号</w:t>
            </w:r>
          </w:p>
        </w:tc>
        <w:tc>
          <w:tcPr>
            <w:tcW w:w="1559"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评分因素</w:t>
            </w:r>
          </w:p>
        </w:tc>
        <w:tc>
          <w:tcPr>
            <w:tcW w:w="70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权重(%)</w:t>
            </w:r>
          </w:p>
        </w:tc>
        <w:tc>
          <w:tcPr>
            <w:tcW w:w="5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评分准则</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650"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szCs w:val="21"/>
              </w:rPr>
            </w:pPr>
            <w:r>
              <w:rPr>
                <w:rFonts w:ascii="宋体" w:hAnsi="宋体" w:cs="宋体"/>
                <w:szCs w:val="21"/>
              </w:rPr>
              <w:t>1</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hAnsi="宋体" w:cs="宋体"/>
                <w:color w:val="auto"/>
                <w:szCs w:val="21"/>
              </w:rPr>
            </w:pPr>
            <w:r>
              <w:rPr>
                <w:rFonts w:ascii="宋体" w:hAnsi="宋体" w:cs="宋体" w:hint="eastAsia"/>
                <w:color w:val="auto"/>
                <w:szCs w:val="21"/>
              </w:rPr>
              <w:t>免费保修期内售后服务条款偏离情况</w:t>
            </w:r>
          </w:p>
        </w:tc>
        <w:tc>
          <w:tcPr>
            <w:tcW w:w="709"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jc w:val="center"/>
              <w:rPr>
                <w:rFonts w:eastAsia="宋体" w:hint="eastAsia"/>
                <w:color w:val="auto"/>
                <w:szCs w:val="21"/>
                <w:lang w:eastAsia="zh-CN"/>
              </w:rPr>
            </w:pPr>
            <w:r>
              <w:rPr>
                <w:rFonts w:ascii="宋体" w:eastAsia="宋体" w:hAnsi="宋体" w:hint="default"/>
                <w:color w:val="auto"/>
                <w:lang w:val="en-US"/>
              </w:rPr>
              <w:t>1</w:t>
            </w:r>
          </w:p>
        </w:tc>
        <w:tc>
          <w:tcPr>
            <w:tcW w:w="5295"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rPr>
                <w:b/>
                <w:bCs/>
                <w:color w:val="auto"/>
              </w:rPr>
            </w:pPr>
            <w:r>
              <w:rPr>
                <w:rFonts w:eastAsia="宋体" w:hint="eastAsia"/>
                <w:b/>
                <w:bCs/>
                <w:color w:val="auto"/>
              </w:rPr>
              <w:t>（一）评审内容</w:t>
            </w:r>
            <w:r>
              <w:rPr>
                <w:rFonts w:hint="eastAsia"/>
                <w:b/>
                <w:bCs/>
                <w:color w:val="auto"/>
              </w:rPr>
              <w:t>：</w:t>
            </w:r>
          </w:p>
          <w:p>
            <w:pPr>
              <w:adjustRightInd w:val="0"/>
              <w:snapToGrid w:val="0"/>
              <w:spacing w:line="240" w:lineRule="atLeast"/>
              <w:textAlignment w:val="center"/>
              <w:rPr>
                <w:color w:val="auto"/>
                <w:szCs w:val="21"/>
              </w:rPr>
            </w:pPr>
            <w:r>
              <w:rPr>
                <w:rFonts w:eastAsia="宋体" w:hint="eastAsia"/>
                <w:color w:val="auto"/>
                <w:szCs w:val="21"/>
              </w:rPr>
              <w:t>投标人应如实填写《商务要求偏离表（免费保修期内售后服务要求）》，评审委员会根据响应情况进行打分。全部满足要求的得100分，每负偏离一项扣20分。</w:t>
            </w:r>
          </w:p>
        </w:tc>
      </w:tr>
      <w:tr>
        <w:tblPrEx>
          <w:tblW w:w="8840" w:type="dxa"/>
          <w:jc w:val="center"/>
          <w:tblLayout w:type="fixed"/>
          <w:tblCellMar>
            <w:top w:w="20" w:type="dxa"/>
            <w:left w:w="108" w:type="dxa"/>
            <w:bottom w:w="20" w:type="dxa"/>
            <w:right w:w="108" w:type="dxa"/>
          </w:tblCellMar>
        </w:tblPrEx>
        <w:trPr>
          <w:trHeight w:val="576"/>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650"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szCs w:val="21"/>
              </w:rPr>
            </w:pPr>
            <w:r>
              <w:rPr>
                <w:rFonts w:ascii="宋体" w:hAnsi="宋体" w:cs="宋体"/>
                <w:szCs w:val="21"/>
              </w:rPr>
              <w:t>2</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hAnsi="宋体" w:cs="宋体"/>
                <w:color w:val="auto"/>
                <w:szCs w:val="21"/>
              </w:rPr>
            </w:pPr>
            <w:r>
              <w:rPr>
                <w:rFonts w:ascii="宋体" w:hAnsi="宋体" w:cs="宋体" w:hint="eastAsia"/>
                <w:color w:val="auto"/>
                <w:szCs w:val="21"/>
              </w:rPr>
              <w:t>免费保修期外售后服务条款偏离情况</w:t>
            </w:r>
          </w:p>
        </w:tc>
        <w:tc>
          <w:tcPr>
            <w:tcW w:w="709"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jc w:val="center"/>
              <w:rPr>
                <w:rFonts w:eastAsia="宋体" w:hint="eastAsia"/>
                <w:color w:val="auto"/>
                <w:szCs w:val="21"/>
                <w:lang w:eastAsia="zh-CN"/>
              </w:rPr>
            </w:pPr>
            <w:r>
              <w:rPr>
                <w:rFonts w:ascii="宋体" w:eastAsia="宋体" w:hAnsi="宋体" w:hint="default"/>
                <w:color w:val="auto"/>
                <w:lang w:val="en-US"/>
              </w:rPr>
              <w:t>1</w:t>
            </w:r>
          </w:p>
        </w:tc>
        <w:tc>
          <w:tcPr>
            <w:tcW w:w="5295"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rPr>
                <w:b/>
                <w:bCs/>
                <w:color w:val="auto"/>
              </w:rPr>
            </w:pPr>
            <w:r>
              <w:rPr>
                <w:rFonts w:eastAsia="宋体" w:hint="eastAsia"/>
                <w:b/>
                <w:bCs/>
                <w:color w:val="auto"/>
              </w:rPr>
              <w:t>（一）评审内容</w:t>
            </w:r>
            <w:r>
              <w:rPr>
                <w:rFonts w:hint="eastAsia"/>
                <w:b/>
                <w:bCs/>
                <w:color w:val="auto"/>
              </w:rPr>
              <w:t>：</w:t>
            </w:r>
          </w:p>
          <w:p>
            <w:pPr>
              <w:adjustRightInd w:val="0"/>
              <w:snapToGrid w:val="0"/>
              <w:spacing w:line="240" w:lineRule="atLeast"/>
              <w:rPr>
                <w:color w:val="auto"/>
                <w:szCs w:val="21"/>
              </w:rPr>
            </w:pPr>
            <w:r>
              <w:rPr>
                <w:rFonts w:ascii="宋体" w:hAnsi="宋体" w:cs="宋体" w:hint="eastAsia"/>
                <w:color w:val="auto"/>
              </w:rPr>
              <w:t>投标人应如实填写《商务要求偏离表（免费保修期外售后服务要求）》，评审委员会根据响应情况进行打分，全部满足要求的得</w:t>
            </w:r>
            <w:r>
              <w:rPr>
                <w:rFonts w:ascii="宋体" w:eastAsia="宋体" w:hAnsi="宋体" w:cs="宋体" w:hint="eastAsia"/>
                <w:color w:val="auto"/>
              </w:rPr>
              <w:t>100</w:t>
            </w:r>
            <w:r>
              <w:rPr>
                <w:rFonts w:ascii="宋体" w:hAnsi="宋体" w:cs="宋体" w:hint="eastAsia"/>
                <w:color w:val="auto"/>
              </w:rPr>
              <w:t>分，每负偏离一项扣20分。</w:t>
            </w:r>
          </w:p>
        </w:tc>
      </w:tr>
      <w:tr>
        <w:tblPrEx>
          <w:tblW w:w="8840" w:type="dxa"/>
          <w:jc w:val="center"/>
          <w:tblLayout w:type="fixed"/>
          <w:tblCellMar>
            <w:top w:w="20" w:type="dxa"/>
            <w:left w:w="108" w:type="dxa"/>
            <w:bottom w:w="20" w:type="dxa"/>
            <w:right w:w="108" w:type="dxa"/>
          </w:tblCellMar>
        </w:tblPrEx>
        <w:trPr>
          <w:trHeight w:val="90"/>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650"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szCs w:val="21"/>
              </w:rPr>
            </w:pPr>
            <w:r>
              <w:rPr>
                <w:rFonts w:ascii="宋体" w:eastAsia="宋体" w:hAnsi="宋体" w:cs="宋体" w:hint="eastAsia"/>
                <w:szCs w:val="21"/>
              </w:rPr>
              <w:t>3</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hAnsi="宋体" w:cs="宋体"/>
                <w:color w:val="auto"/>
                <w:szCs w:val="21"/>
              </w:rPr>
            </w:pPr>
            <w:r>
              <w:rPr>
                <w:rFonts w:ascii="宋体" w:hAnsi="宋体" w:cs="宋体" w:hint="eastAsia"/>
                <w:color w:val="auto"/>
                <w:szCs w:val="21"/>
              </w:rPr>
              <w:t>其他商务条款偏离情况</w:t>
            </w:r>
          </w:p>
        </w:tc>
        <w:tc>
          <w:tcPr>
            <w:tcW w:w="709"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jc w:val="center"/>
              <w:rPr>
                <w:rFonts w:ascii="宋体" w:eastAsia="宋体" w:hAnsi="宋体" w:cs="宋体"/>
                <w:color w:val="auto"/>
              </w:rPr>
            </w:pPr>
            <w:r>
              <w:rPr>
                <w:rFonts w:ascii="宋体" w:eastAsia="宋体" w:hAnsi="宋体" w:hint="eastAsia"/>
                <w:color w:val="auto"/>
              </w:rPr>
              <w:t>1</w:t>
            </w:r>
          </w:p>
        </w:tc>
        <w:tc>
          <w:tcPr>
            <w:tcW w:w="5295" w:type="dxa"/>
            <w:tcBorders>
              <w:top w:val="single" w:sz="8" w:space="0" w:color="000000"/>
              <w:left w:val="single" w:sz="8" w:space="0" w:color="000000"/>
              <w:bottom w:val="single" w:sz="8" w:space="0" w:color="000000"/>
              <w:right w:val="single" w:sz="8" w:space="0" w:color="000000"/>
            </w:tcBorders>
            <w:vAlign w:val="center"/>
          </w:tcPr>
          <w:p>
            <w:pPr>
              <w:adjustRightInd w:val="0"/>
              <w:snapToGrid w:val="0"/>
              <w:spacing w:line="240" w:lineRule="atLeast"/>
              <w:rPr>
                <w:b/>
                <w:bCs/>
                <w:color w:val="auto"/>
              </w:rPr>
            </w:pPr>
            <w:r>
              <w:rPr>
                <w:rFonts w:eastAsia="宋体" w:hint="eastAsia"/>
                <w:b/>
                <w:bCs/>
                <w:color w:val="auto"/>
              </w:rPr>
              <w:t>（一）评审内容</w:t>
            </w:r>
            <w:r>
              <w:rPr>
                <w:rFonts w:hint="eastAsia"/>
                <w:b/>
                <w:bCs/>
                <w:color w:val="auto"/>
              </w:rPr>
              <w:t>：</w:t>
            </w:r>
          </w:p>
          <w:p>
            <w:pPr>
              <w:adjustRightInd w:val="0"/>
              <w:snapToGrid w:val="0"/>
              <w:spacing w:line="240" w:lineRule="atLeast"/>
              <w:rPr>
                <w:rFonts w:ascii="宋体" w:hAnsi="宋体"/>
                <w:color w:val="auto"/>
              </w:rPr>
            </w:pPr>
            <w:r>
              <w:rPr>
                <w:rFonts w:ascii="宋体" w:hAnsi="宋体" w:hint="eastAsia"/>
                <w:color w:val="auto"/>
              </w:rPr>
              <w:t>投标人应如实填写《商务要求偏离表（其他商务要求）》，评审委员会根据响应情况进行打分，全部满足要求的得</w:t>
            </w:r>
            <w:r>
              <w:rPr>
                <w:rFonts w:ascii="宋体" w:eastAsia="宋体" w:hAnsi="宋体" w:cs="宋体" w:hint="eastAsia"/>
                <w:color w:val="auto"/>
              </w:rPr>
              <w:t>100</w:t>
            </w:r>
            <w:r>
              <w:rPr>
                <w:rFonts w:ascii="宋体" w:hAnsi="宋体" w:hint="eastAsia"/>
                <w:color w:val="auto"/>
              </w:rPr>
              <w:t>分，每负偏离一项扣7分</w:t>
            </w:r>
          </w:p>
        </w:tc>
      </w:tr>
      <w:tr>
        <w:tblPrEx>
          <w:tblW w:w="8840" w:type="dxa"/>
          <w:jc w:val="center"/>
          <w:tblLayout w:type="fixed"/>
          <w:tblCellMar>
            <w:top w:w="20" w:type="dxa"/>
            <w:left w:w="108" w:type="dxa"/>
            <w:bottom w:w="20" w:type="dxa"/>
            <w:right w:w="108" w:type="dxa"/>
          </w:tblCellMar>
        </w:tblPrEx>
        <w:trPr>
          <w:trHeight w:val="90"/>
          <w:jc w:val="center"/>
        </w:trPr>
        <w:tc>
          <w:tcPr>
            <w:tcW w:w="627"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650"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4</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hAnsi="宋体" w:cs="宋体" w:hint="eastAsia"/>
                <w:color w:val="auto"/>
                <w:szCs w:val="21"/>
              </w:rPr>
            </w:pPr>
            <w:r>
              <w:rPr>
                <w:rFonts w:ascii="宋体" w:eastAsia="宋体" w:hAnsi="宋体" w:cs="宋体" w:hint="eastAsia"/>
                <w:color w:val="auto"/>
                <w:szCs w:val="21"/>
                <w:highlight w:val="none"/>
              </w:rPr>
              <w:t>同类业绩</w:t>
            </w:r>
          </w:p>
        </w:tc>
        <w:tc>
          <w:tcPr>
            <w:tcW w:w="709"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hint="eastAsia"/>
                <w:color w:val="auto"/>
              </w:rPr>
            </w:pPr>
            <w:r>
              <w:rPr>
                <w:rFonts w:ascii="宋体" w:eastAsia="宋体" w:hAnsi="宋体" w:cs="宋体" w:hint="eastAsia"/>
                <w:color w:val="auto"/>
                <w:szCs w:val="21"/>
                <w:lang w:val="en-US" w:eastAsia="zh-CN"/>
              </w:rPr>
              <w:t>5</w:t>
            </w:r>
          </w:p>
        </w:tc>
        <w:tc>
          <w:tcPr>
            <w:tcW w:w="5295" w:type="dxa"/>
            <w:tcBorders>
              <w:top w:val="single" w:sz="8" w:space="0" w:color="000000"/>
              <w:left w:val="single" w:sz="8" w:space="0" w:color="000000"/>
              <w:bottom w:val="single" w:sz="8" w:space="0" w:color="000000"/>
              <w:right w:val="single" w:sz="8" w:space="0" w:color="000000"/>
            </w:tcBorders>
            <w:vAlign w:val="top"/>
          </w:tcPr>
          <w:p>
            <w:pPr>
              <w:wordWrap w:val="0"/>
              <w:spacing w:line="240" w:lineRule="auto"/>
              <w:textAlignment w:val="top"/>
              <w:rPr>
                <w:rFonts w:ascii="宋体" w:eastAsia="宋体" w:hAnsi="宋体" w:cs="宋体" w:hint="eastAsia"/>
                <w:b/>
                <w:bCs/>
                <w:color w:val="auto"/>
              </w:rPr>
            </w:pPr>
            <w:r>
              <w:rPr>
                <w:rFonts w:ascii="宋体" w:eastAsia="宋体" w:hAnsi="宋体" w:cs="宋体" w:hint="eastAsia"/>
                <w:b/>
                <w:bCs/>
                <w:color w:val="auto"/>
              </w:rPr>
              <w:t>（一）评分内容：</w:t>
            </w:r>
          </w:p>
          <w:p>
            <w:pPr>
              <w:wordWrap w:val="0"/>
              <w:spacing w:line="240" w:lineRule="auto"/>
              <w:textAlignment w:val="top"/>
              <w:rPr>
                <w:rFonts w:ascii="宋体" w:eastAsia="宋体" w:hAnsi="宋体" w:cs="宋体" w:hint="eastAsia"/>
                <w:color w:val="auto"/>
              </w:rPr>
            </w:pPr>
            <w:r>
              <w:rPr>
                <w:rFonts w:ascii="宋体" w:eastAsia="宋体" w:hAnsi="宋体" w:cs="宋体" w:hint="eastAsia"/>
                <w:color w:val="auto"/>
              </w:rPr>
              <w:t>投标人近三年具备同类业绩的，每提供1项有效同类业绩的证明材料得20分，本项最高得100分，不提供不得分。</w:t>
            </w:r>
          </w:p>
          <w:p>
            <w:pPr>
              <w:wordWrap w:val="0"/>
              <w:spacing w:line="240" w:lineRule="auto"/>
              <w:textAlignment w:val="top"/>
              <w:rPr>
                <w:rFonts w:ascii="宋体" w:eastAsia="宋体" w:hAnsi="宋体" w:cs="宋体" w:hint="eastAsia"/>
                <w:color w:val="auto"/>
              </w:rPr>
            </w:pPr>
            <w:r>
              <w:rPr>
                <w:rFonts w:ascii="宋体" w:eastAsia="宋体" w:hAnsi="宋体" w:cs="宋体" w:hint="eastAsia"/>
                <w:color w:val="auto"/>
              </w:rPr>
              <w:t>有效同类业绩定义：（同时满足以下全部要求，才属于有效同类业绩）</w:t>
            </w:r>
          </w:p>
          <w:p>
            <w:pPr>
              <w:wordWrap w:val="0"/>
              <w:spacing w:line="240" w:lineRule="auto"/>
              <w:textAlignment w:val="top"/>
              <w:rPr>
                <w:rFonts w:ascii="宋体" w:eastAsia="宋体" w:hAnsi="宋体" w:cs="宋体" w:hint="eastAsia"/>
                <w:color w:val="auto"/>
              </w:rPr>
            </w:pPr>
            <w:r>
              <w:rPr>
                <w:rFonts w:ascii="宋体" w:eastAsia="宋体" w:hAnsi="宋体" w:cs="宋体" w:hint="eastAsia"/>
                <w:color w:val="auto"/>
              </w:rPr>
              <w:t>（1）必须为投标供应商所承接的项目；</w:t>
            </w:r>
          </w:p>
          <w:p>
            <w:pPr>
              <w:wordWrap w:val="0"/>
              <w:spacing w:line="240" w:lineRule="auto"/>
              <w:textAlignment w:val="top"/>
              <w:rPr>
                <w:rFonts w:ascii="宋体" w:eastAsia="宋体" w:hAnsi="宋体" w:cs="宋体" w:hint="eastAsia"/>
                <w:color w:val="auto"/>
              </w:rPr>
            </w:pPr>
            <w:r>
              <w:rPr>
                <w:rFonts w:ascii="宋体" w:eastAsia="宋体" w:hAnsi="宋体" w:cs="宋体" w:hint="eastAsia"/>
                <w:color w:val="auto"/>
              </w:rPr>
              <w:t>（2）有效同类业绩定义：与本项目所投产品同品牌、同型号的设备的销售业绩；</w:t>
            </w:r>
          </w:p>
          <w:p>
            <w:pPr>
              <w:wordWrap w:val="0"/>
              <w:spacing w:line="240" w:lineRule="auto"/>
              <w:textAlignment w:val="top"/>
              <w:rPr>
                <w:rFonts w:ascii="宋体" w:eastAsia="宋体" w:hAnsi="宋体" w:cs="宋体" w:hint="eastAsia"/>
                <w:color w:val="auto"/>
              </w:rPr>
            </w:pPr>
            <w:r>
              <w:rPr>
                <w:rFonts w:ascii="宋体" w:eastAsia="宋体" w:hAnsi="宋体" w:cs="宋体" w:hint="eastAsia"/>
                <w:color w:val="auto"/>
              </w:rPr>
              <w:t>（3）合同签订时间为2019年5月1日至投标截止时间前。</w:t>
            </w:r>
          </w:p>
          <w:p>
            <w:pPr>
              <w:wordWrap w:val="0"/>
              <w:spacing w:line="240" w:lineRule="auto"/>
              <w:textAlignment w:val="top"/>
              <w:rPr>
                <w:rFonts w:ascii="宋体" w:eastAsia="宋体" w:hAnsi="宋体" w:cs="宋体" w:hint="eastAsia"/>
                <w:b/>
                <w:bCs/>
                <w:color w:val="auto"/>
              </w:rPr>
            </w:pPr>
            <w:r>
              <w:rPr>
                <w:rFonts w:ascii="宋体" w:eastAsia="宋体" w:hAnsi="宋体" w:cs="宋体" w:hint="eastAsia"/>
                <w:b/>
                <w:bCs/>
                <w:color w:val="auto"/>
              </w:rPr>
              <w:t>（二）评分依据：</w:t>
            </w:r>
          </w:p>
          <w:p>
            <w:pPr>
              <w:wordWrap w:val="0"/>
              <w:spacing w:line="240" w:lineRule="auto"/>
              <w:textAlignment w:val="top"/>
              <w:rPr>
                <w:rFonts w:ascii="宋体" w:eastAsia="宋体" w:hAnsi="宋体" w:cs="宋体" w:hint="eastAsia"/>
                <w:color w:val="auto"/>
              </w:rPr>
            </w:pPr>
            <w:r>
              <w:rPr>
                <w:rFonts w:ascii="宋体" w:eastAsia="宋体" w:hAnsi="宋体" w:cs="宋体" w:hint="eastAsia"/>
                <w:color w:val="auto"/>
              </w:rPr>
              <w:t>1.要求提供合同关键信息页证明文件作为得分依据，合同证明文件需加盖合同甲方公章（或甲方业务章或甲方合同章）。</w:t>
            </w:r>
          </w:p>
          <w:p>
            <w:pPr>
              <w:wordWrap w:val="0"/>
              <w:spacing w:line="240" w:lineRule="auto"/>
              <w:textAlignment w:val="top"/>
              <w:rPr>
                <w:rFonts w:ascii="宋体" w:eastAsia="宋体" w:hAnsi="宋体" w:cs="宋体" w:hint="eastAsia"/>
                <w:color w:val="auto"/>
              </w:rPr>
            </w:pPr>
            <w:r>
              <w:rPr>
                <w:rFonts w:ascii="宋体" w:eastAsia="宋体" w:hAnsi="宋体" w:cs="宋体" w:hint="eastAsia"/>
                <w:color w:val="auto"/>
              </w:rPr>
              <w:t>2.通过合同关键信息页无法判断是否得分的，还须同时提供能证明得分的其他证明资料，如项目报告或合同甲方出具的证明文件等。</w:t>
            </w:r>
          </w:p>
          <w:p>
            <w:pPr>
              <w:wordWrap w:val="0"/>
              <w:spacing w:line="240" w:lineRule="auto"/>
              <w:textAlignment w:val="top"/>
              <w:rPr>
                <w:rFonts w:ascii="宋体" w:hAnsi="宋体" w:hint="eastAsia"/>
                <w:color w:val="auto"/>
              </w:rPr>
            </w:pPr>
            <w:r>
              <w:rPr>
                <w:rFonts w:ascii="宋体" w:eastAsia="宋体" w:hAnsi="宋体" w:cs="宋体" w:hint="eastAsia"/>
                <w:color w:val="auto"/>
              </w:rPr>
              <w:t>3.以上资料均要求提供复印件，原件备查。评分中出现无证明资料或专家无法凭所提供资料判断是否得分的情况，一律作不得分处理。</w:t>
            </w:r>
          </w:p>
        </w:tc>
      </w:tr>
      <w:tr>
        <w:tblPrEx>
          <w:tblW w:w="8840" w:type="dxa"/>
          <w:jc w:val="center"/>
          <w:tblLayout w:type="fixed"/>
          <w:tblCellMar>
            <w:top w:w="20" w:type="dxa"/>
            <w:left w:w="108" w:type="dxa"/>
            <w:bottom w:w="20" w:type="dxa"/>
            <w:right w:w="108" w:type="dxa"/>
          </w:tblCellMar>
        </w:tblPrEx>
        <w:trPr>
          <w:jc w:val="center"/>
        </w:trPr>
        <w:tc>
          <w:tcPr>
            <w:tcW w:w="627"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b/>
                <w:bCs/>
                <w:color w:val="0000FF"/>
              </w:rPr>
            </w:pPr>
            <w:r>
              <w:rPr>
                <w:rFonts w:ascii="宋体" w:hAnsi="宋体" w:cs="宋体"/>
                <w:b/>
                <w:bCs/>
                <w:color w:val="0000FF"/>
              </w:rPr>
              <w:t>4</w:t>
            </w:r>
          </w:p>
        </w:tc>
        <w:tc>
          <w:tcPr>
            <w:tcW w:w="2918" w:type="dxa"/>
            <w:gridSpan w:val="5"/>
            <w:tcBorders>
              <w:top w:val="single" w:sz="8" w:space="0" w:color="000000"/>
              <w:left w:val="single" w:sz="8" w:space="0" w:color="000000"/>
              <w:bottom w:val="single" w:sz="8" w:space="0" w:color="000000"/>
              <w:right w:val="single" w:sz="8" w:space="0" w:color="000000"/>
            </w:tcBorders>
            <w:vAlign w:val="center"/>
          </w:tcPr>
          <w:p>
            <w:pPr>
              <w:wordWrap w:val="0"/>
              <w:jc w:val="center"/>
              <w:rPr>
                <w:b/>
                <w:bCs/>
                <w:color w:val="0000FF"/>
              </w:rPr>
            </w:pPr>
            <w:r>
              <w:rPr>
                <w:rFonts w:ascii="宋体" w:hAnsi="宋体" w:cs="宋体"/>
                <w:b/>
                <w:bCs/>
                <w:color w:val="0000FF"/>
              </w:rPr>
              <w:t>诚信情况</w:t>
            </w:r>
          </w:p>
        </w:tc>
        <w:tc>
          <w:tcPr>
            <w:tcW w:w="5295"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eastAsia="宋体" w:hint="eastAsia"/>
                <w:b/>
                <w:bCs/>
                <w:color w:val="0000FF"/>
                <w:lang w:eastAsia="zh-CN"/>
              </w:rPr>
            </w:pPr>
            <w:r>
              <w:rPr>
                <w:rFonts w:ascii="宋体" w:eastAsia="宋体" w:hAnsi="宋体" w:cs="宋体" w:hint="eastAsia"/>
                <w:b/>
                <w:bCs/>
                <w:color w:val="0000FF"/>
                <w:lang w:val="en-US" w:eastAsia="zh-CN"/>
              </w:rPr>
              <w:t>5</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8213" w:type="dxa"/>
            <w:gridSpan w:val="6"/>
            <w:tcBorders>
              <w:top w:val="single" w:sz="8" w:space="0" w:color="000000"/>
              <w:left w:val="single" w:sz="8" w:space="0" w:color="000000"/>
              <w:bottom w:val="single" w:sz="8" w:space="0" w:color="000000"/>
              <w:right w:val="single" w:sz="8" w:space="0" w:color="000000"/>
            </w:tcBorders>
          </w:tcPr>
          <w:p>
            <w:pPr>
              <w:rPr>
                <w:rFonts w:ascii="宋体"/>
                <w:szCs w:val="21"/>
              </w:rPr>
            </w:pP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b/>
                <w:bCs/>
                <w:color w:val="0000FF"/>
              </w:rPr>
            </w:pPr>
          </w:p>
        </w:tc>
        <w:tc>
          <w:tcPr>
            <w:tcW w:w="63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序号</w:t>
            </w:r>
          </w:p>
        </w:tc>
        <w:tc>
          <w:tcPr>
            <w:tcW w:w="1559"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评分因素</w:t>
            </w:r>
          </w:p>
        </w:tc>
        <w:tc>
          <w:tcPr>
            <w:tcW w:w="726" w:type="dxa"/>
            <w:gridSpan w:val="2"/>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权重(%)</w:t>
            </w:r>
          </w:p>
        </w:tc>
        <w:tc>
          <w:tcPr>
            <w:tcW w:w="529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szCs w:val="21"/>
              </w:rPr>
            </w:pPr>
            <w:r>
              <w:rPr>
                <w:rFonts w:ascii="宋体" w:hAnsi="宋体" w:cs="宋体"/>
                <w:szCs w:val="21"/>
              </w:rPr>
              <w:t>评分准则</w:t>
            </w:r>
          </w:p>
        </w:tc>
      </w:tr>
      <w:tr>
        <w:tblPrEx>
          <w:tblW w:w="8840" w:type="dxa"/>
          <w:jc w:val="center"/>
          <w:tblLayout w:type="fixed"/>
          <w:tblCellMar>
            <w:top w:w="20" w:type="dxa"/>
            <w:left w:w="108" w:type="dxa"/>
            <w:bottom w:w="20" w:type="dxa"/>
            <w:right w:w="108" w:type="dxa"/>
          </w:tblCellMar>
        </w:tblPrEx>
        <w:trPr>
          <w:jc w:val="center"/>
        </w:trPr>
        <w:tc>
          <w:tcPr>
            <w:tcW w:w="627"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b/>
                <w:bCs/>
                <w:color w:val="0000FF"/>
              </w:rPr>
            </w:pPr>
          </w:p>
        </w:tc>
        <w:tc>
          <w:tcPr>
            <w:tcW w:w="63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szCs w:val="21"/>
              </w:rPr>
            </w:pPr>
            <w:r>
              <w:rPr>
                <w:rFonts w:ascii="宋体" w:hAnsi="宋体" w:cs="宋体"/>
                <w:szCs w:val="21"/>
              </w:rPr>
              <w:t>1</w:t>
            </w:r>
          </w:p>
        </w:tc>
        <w:tc>
          <w:tcPr>
            <w:tcW w:w="1559"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szCs w:val="21"/>
              </w:rPr>
            </w:pPr>
            <w:r>
              <w:rPr>
                <w:rFonts w:ascii="宋体" w:hAnsi="宋体" w:cs="宋体"/>
                <w:szCs w:val="21"/>
              </w:rPr>
              <w:t>诚信</w:t>
            </w:r>
          </w:p>
        </w:tc>
        <w:tc>
          <w:tcPr>
            <w:tcW w:w="726" w:type="dxa"/>
            <w:gridSpan w:val="2"/>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szCs w:val="21"/>
              </w:rPr>
            </w:pPr>
            <w:r>
              <w:rPr>
                <w:rFonts w:ascii="宋体" w:hAnsi="宋体" w:cs="宋体"/>
                <w:szCs w:val="21"/>
              </w:rPr>
              <w:t>5</w:t>
            </w:r>
          </w:p>
        </w:tc>
        <w:tc>
          <w:tcPr>
            <w:tcW w:w="5295" w:type="dxa"/>
            <w:tcBorders>
              <w:top w:val="single" w:sz="8" w:space="0" w:color="000000"/>
              <w:left w:val="single" w:sz="8" w:space="0" w:color="000000"/>
              <w:bottom w:val="single" w:sz="8" w:space="0" w:color="000000"/>
              <w:right w:val="single" w:sz="8" w:space="0" w:color="000000"/>
            </w:tcBorders>
          </w:tcPr>
          <w:p>
            <w:pPr>
              <w:wordWrap w:val="0"/>
              <w:textAlignment w:val="top"/>
              <w:rPr>
                <w:szCs w:val="21"/>
              </w:rPr>
            </w:pPr>
            <w:r>
              <w:rPr>
                <w:rFonts w:ascii="宋体" w:hAnsi="宋体" w:cs="宋体"/>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pPr>
        <w:spacing w:after="1134"/>
        <w:jc w:val="center"/>
        <w:rPr>
          <w:rFonts w:ascii="黑体" w:eastAsia="黑体" w:hAnsi="黑体"/>
          <w:sz w:val="40"/>
          <w:szCs w:val="40"/>
        </w:rPr>
      </w:pPr>
    </w:p>
    <w:p>
      <w:pPr>
        <w:pStyle w:val="Default"/>
      </w:pPr>
    </w:p>
    <w:p/>
    <w:p>
      <w:pPr>
        <w:jc w:val="center"/>
        <w:rPr>
          <w:b/>
          <w:sz w:val="84"/>
          <w:szCs w:val="84"/>
        </w:rPr>
      </w:pPr>
    </w:p>
    <w:p>
      <w:pPr>
        <w:pStyle w:val="a0"/>
        <w:rPr>
          <w:b/>
          <w:sz w:val="84"/>
          <w:szCs w:val="84"/>
        </w:rPr>
      </w:pPr>
    </w:p>
    <w:p>
      <w:pPr>
        <w:pStyle w:val="a0"/>
        <w:rPr>
          <w:b/>
          <w:sz w:val="84"/>
          <w:szCs w:val="84"/>
        </w:rPr>
      </w:pPr>
    </w:p>
    <w:p>
      <w:pPr>
        <w:pStyle w:val="a0"/>
        <w:rPr>
          <w:b/>
          <w:sz w:val="84"/>
          <w:szCs w:val="84"/>
        </w:rPr>
      </w:pPr>
    </w:p>
    <w:p>
      <w:pPr>
        <w:pStyle w:val="a0"/>
        <w:rPr>
          <w:b/>
          <w:sz w:val="84"/>
          <w:szCs w:val="84"/>
        </w:rPr>
      </w:pPr>
    </w:p>
    <w:p>
      <w:pPr>
        <w:pStyle w:val="a0"/>
        <w:rPr>
          <w:b/>
          <w:sz w:val="84"/>
          <w:szCs w:val="84"/>
        </w:rPr>
      </w:pPr>
    </w:p>
    <w:p>
      <w:pPr>
        <w:pStyle w:val="a0"/>
        <w:rPr>
          <w:b/>
          <w:sz w:val="84"/>
          <w:szCs w:val="84"/>
        </w:rPr>
      </w:pPr>
    </w:p>
    <w:p>
      <w:pPr>
        <w:pStyle w:val="a0"/>
        <w:rPr>
          <w:b/>
          <w:sz w:val="84"/>
          <w:szCs w:val="84"/>
        </w:rPr>
      </w:pPr>
    </w:p>
    <w:p>
      <w:pPr>
        <w:pStyle w:val="a0"/>
        <w:rPr>
          <w:b/>
          <w:sz w:val="84"/>
          <w:szCs w:val="84"/>
        </w:rPr>
      </w:pPr>
    </w:p>
    <w:p>
      <w:pPr>
        <w:pStyle w:val="a0"/>
        <w:rPr>
          <w:b/>
          <w:sz w:val="84"/>
          <w:szCs w:val="84"/>
        </w:rPr>
      </w:pPr>
    </w:p>
    <w:p>
      <w:pPr>
        <w:jc w:val="center"/>
        <w:rPr>
          <w:b/>
          <w:sz w:val="120"/>
          <w:szCs w:val="120"/>
        </w:rPr>
      </w:pPr>
    </w:p>
    <w:p>
      <w:pPr>
        <w:jc w:val="center"/>
        <w:rPr>
          <w:b/>
          <w:sz w:val="120"/>
          <w:szCs w:val="120"/>
        </w:rPr>
      </w:pPr>
      <w:r>
        <w:rPr>
          <w:rFonts w:hint="eastAsia"/>
          <w:b/>
          <w:sz w:val="120"/>
          <w:szCs w:val="120"/>
        </w:rPr>
        <w:t>政府采购</w:t>
      </w:r>
    </w:p>
    <w:p>
      <w:pPr>
        <w:jc w:val="center"/>
        <w:rPr>
          <w:b/>
          <w:sz w:val="120"/>
          <w:szCs w:val="120"/>
        </w:rPr>
      </w:pPr>
      <w:r>
        <w:rPr>
          <w:rFonts w:hint="eastAsia"/>
          <w:b/>
          <w:sz w:val="120"/>
          <w:szCs w:val="120"/>
        </w:rPr>
        <w:t>招标文件</w:t>
      </w:r>
    </w:p>
    <w:p>
      <w:pPr>
        <w:jc w:val="center"/>
        <w:rPr>
          <w:b/>
          <w:sz w:val="52"/>
          <w:szCs w:val="52"/>
        </w:rPr>
      </w:pPr>
      <w:r>
        <w:rPr>
          <w:rFonts w:hint="eastAsia"/>
          <w:b/>
          <w:sz w:val="52"/>
          <w:szCs w:val="52"/>
        </w:rPr>
        <w:t>（货物类）</w:t>
      </w:r>
    </w:p>
    <w:p/>
    <w:p/>
    <w:p/>
    <w:p/>
    <w:p/>
    <w:p/>
    <w:p/>
    <w:p/>
    <w:p/>
    <w:p/>
    <w:p/>
    <w:p/>
    <w:p/>
    <w:p/>
    <w:p/>
    <w:p/>
    <w:p/>
    <w:p/>
    <w:p/>
    <w:p>
      <w:pPr>
        <w:jc w:val="center"/>
        <w:rPr>
          <w:rFonts w:eastAsia="宋体"/>
          <w:b/>
          <w:sz w:val="44"/>
          <w:szCs w:val="44"/>
        </w:rPr>
      </w:pPr>
      <w:bookmarkStart w:id="3" w:name="_Hlk71465316"/>
      <w:r>
        <w:rPr>
          <w:rFonts w:eastAsia="宋体" w:hint="eastAsia"/>
          <w:b/>
          <w:sz w:val="44"/>
          <w:szCs w:val="44"/>
        </w:rPr>
        <w:t>友和保险经纪有限公司</w:t>
      </w:r>
    </w:p>
    <w:p>
      <w:pPr>
        <w:jc w:val="center"/>
        <w:rPr>
          <w:b/>
          <w:sz w:val="44"/>
          <w:szCs w:val="44"/>
        </w:rPr>
      </w:pPr>
      <w:r>
        <w:rPr>
          <w:rFonts w:hint="eastAsia"/>
          <w:b/>
          <w:sz w:val="44"/>
          <w:szCs w:val="44"/>
        </w:rPr>
        <w:t>（</w:t>
      </w:r>
      <w:r>
        <w:rPr>
          <w:b/>
          <w:sz w:val="44"/>
          <w:szCs w:val="44"/>
        </w:rPr>
        <w:t>20</w:t>
      </w:r>
      <w:r>
        <w:rPr>
          <w:rFonts w:hint="eastAsia"/>
          <w:b/>
          <w:sz w:val="44"/>
          <w:szCs w:val="44"/>
        </w:rPr>
        <w:t>2</w:t>
      </w:r>
      <w:r>
        <w:rPr>
          <w:rFonts w:eastAsia="宋体" w:hint="eastAsia"/>
          <w:b/>
          <w:sz w:val="44"/>
          <w:szCs w:val="44"/>
        </w:rPr>
        <w:t>2</w:t>
      </w:r>
      <w:r>
        <w:rPr>
          <w:rFonts w:hint="eastAsia"/>
          <w:b/>
          <w:sz w:val="44"/>
          <w:szCs w:val="44"/>
        </w:rPr>
        <w:t>）</w:t>
      </w:r>
      <w:bookmarkEnd w:id="3"/>
    </w:p>
    <w:p>
      <w:pPr>
        <w:ind w:firstLine="435"/>
      </w:pPr>
    </w:p>
    <w:p>
      <w:r>
        <w:br w:type="page"/>
      </w:r>
    </w:p>
    <w:p>
      <w:pPr>
        <w:ind w:firstLine="3120" w:firstLineChars="1300"/>
        <w:rPr>
          <w:rFonts w:ascii="宋体" w:hAnsi="宋体"/>
          <w:color w:val="FF0000"/>
          <w:szCs w:val="21"/>
        </w:rPr>
      </w:pPr>
      <w:bookmarkStart w:id="4" w:name="_Hlk73564573"/>
      <w:r>
        <w:rPr>
          <w:rFonts w:ascii="宋体" w:eastAsia="黑体" w:hAnsi="宋体" w:hint="eastAsia"/>
          <w:b/>
          <w:bCs/>
          <w:color w:val="FF0000"/>
          <w:kern w:val="44"/>
          <w:sz w:val="28"/>
          <w:szCs w:val="44"/>
        </w:rPr>
        <w:t>警示条款</w:t>
      </w:r>
    </w:p>
    <w:p>
      <w:pPr>
        <w:ind w:firstLine="480" w:firstLineChars="200"/>
        <w:rPr>
          <w:rFonts w:ascii="宋体" w:hAnsi="宋体"/>
          <w:color w:val="FF0000"/>
          <w:sz w:val="20"/>
          <w:szCs w:val="20"/>
        </w:rPr>
      </w:pPr>
      <w:r>
        <w:rPr>
          <w:rFonts w:ascii="宋体" w:hAnsi="宋体" w:hint="eastAsia"/>
          <w:color w:val="FF0000"/>
          <w:sz w:val="20"/>
          <w:szCs w:val="20"/>
        </w:rPr>
        <w:t>一、</w:t>
      </w:r>
      <w:r>
        <w:rPr>
          <w:rFonts w:ascii="宋体" w:hAnsi="宋体" w:hint="eastAsia"/>
          <w:b/>
          <w:bCs/>
          <w:color w:val="FF0000"/>
          <w:sz w:val="20"/>
          <w:szCs w:val="20"/>
        </w:rPr>
        <w:t>《深圳经济特区政府采购条例》第五十七条</w:t>
      </w:r>
      <w:r>
        <w:rPr>
          <w:rFonts w:ascii="宋体" w:hAnsi="宋体" w:hint="eastAsia"/>
          <w:color w:val="FF0000"/>
          <w:sz w:val="20"/>
          <w:szCs w:val="20"/>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hAnsi="宋体"/>
          <w:color w:val="FF0000"/>
          <w:sz w:val="20"/>
          <w:szCs w:val="20"/>
        </w:rPr>
      </w:pPr>
      <w:r>
        <w:rPr>
          <w:rFonts w:ascii="宋体" w:hAnsi="宋体" w:hint="eastAsia"/>
          <w:color w:val="FF0000"/>
          <w:sz w:val="20"/>
          <w:szCs w:val="20"/>
        </w:rPr>
        <w:t>（一）在采购活动中应当回避而未回避的；</w:t>
      </w:r>
    </w:p>
    <w:p>
      <w:pPr>
        <w:ind w:firstLine="480" w:firstLineChars="200"/>
        <w:rPr>
          <w:rFonts w:ascii="宋体" w:hAnsi="宋体"/>
          <w:color w:val="FF0000"/>
          <w:sz w:val="20"/>
          <w:szCs w:val="20"/>
        </w:rPr>
      </w:pPr>
      <w:r>
        <w:rPr>
          <w:rFonts w:ascii="宋体" w:hAnsi="宋体" w:hint="eastAsia"/>
          <w:color w:val="FF0000"/>
          <w:sz w:val="20"/>
          <w:szCs w:val="20"/>
        </w:rPr>
        <w:t>（二）未按本条例规定签订、履行采购合同，造成严重后果的；</w:t>
      </w:r>
    </w:p>
    <w:p>
      <w:pPr>
        <w:ind w:firstLine="480" w:firstLineChars="200"/>
        <w:rPr>
          <w:rFonts w:ascii="宋体" w:hAnsi="宋体"/>
          <w:color w:val="FF0000"/>
          <w:sz w:val="20"/>
          <w:szCs w:val="20"/>
        </w:rPr>
      </w:pPr>
      <w:r>
        <w:rPr>
          <w:rFonts w:ascii="宋体" w:hAnsi="宋体" w:hint="eastAsia"/>
          <w:color w:val="FF0000"/>
          <w:sz w:val="20"/>
          <w:szCs w:val="20"/>
        </w:rPr>
        <w:t>（三）隐瞒真实情况，提供虚假资料的；</w:t>
      </w:r>
    </w:p>
    <w:p>
      <w:pPr>
        <w:ind w:firstLine="480" w:firstLineChars="200"/>
        <w:rPr>
          <w:rFonts w:ascii="宋体" w:hAnsi="宋体"/>
          <w:color w:val="FF0000"/>
          <w:sz w:val="20"/>
          <w:szCs w:val="20"/>
        </w:rPr>
      </w:pPr>
      <w:r>
        <w:rPr>
          <w:rFonts w:ascii="宋体" w:hAnsi="宋体" w:hint="eastAsia"/>
          <w:color w:val="FF0000"/>
          <w:sz w:val="20"/>
          <w:szCs w:val="20"/>
        </w:rPr>
        <w:t>（四）以非法手段排斥其他供应商参与竞争的；</w:t>
      </w:r>
    </w:p>
    <w:p>
      <w:pPr>
        <w:ind w:firstLine="480" w:firstLineChars="200"/>
        <w:rPr>
          <w:rFonts w:ascii="宋体" w:hAnsi="宋体"/>
          <w:color w:val="FF0000"/>
          <w:sz w:val="20"/>
          <w:szCs w:val="20"/>
        </w:rPr>
      </w:pPr>
      <w:r>
        <w:rPr>
          <w:rFonts w:ascii="宋体" w:hAnsi="宋体" w:hint="eastAsia"/>
          <w:color w:val="FF0000"/>
          <w:sz w:val="20"/>
          <w:szCs w:val="20"/>
        </w:rPr>
        <w:t>（五）与其他采购参加人串通投标的；</w:t>
      </w:r>
    </w:p>
    <w:p>
      <w:pPr>
        <w:ind w:firstLine="480" w:firstLineChars="200"/>
        <w:rPr>
          <w:rFonts w:ascii="宋体" w:hAnsi="宋体"/>
          <w:color w:val="FF0000"/>
          <w:sz w:val="20"/>
          <w:szCs w:val="20"/>
        </w:rPr>
      </w:pPr>
      <w:r>
        <w:rPr>
          <w:rFonts w:ascii="宋体" w:hAnsi="宋体" w:hint="eastAsia"/>
          <w:color w:val="FF0000"/>
          <w:sz w:val="20"/>
          <w:szCs w:val="20"/>
        </w:rPr>
        <w:t>（六）恶意投诉的；</w:t>
      </w:r>
    </w:p>
    <w:p>
      <w:pPr>
        <w:ind w:firstLine="480" w:firstLineChars="200"/>
        <w:rPr>
          <w:rFonts w:ascii="宋体" w:hAnsi="宋体"/>
          <w:color w:val="FF0000"/>
          <w:sz w:val="20"/>
          <w:szCs w:val="20"/>
        </w:rPr>
      </w:pPr>
      <w:r>
        <w:rPr>
          <w:rFonts w:ascii="宋体" w:hAnsi="宋体" w:hint="eastAsia"/>
          <w:color w:val="FF0000"/>
          <w:sz w:val="20"/>
          <w:szCs w:val="20"/>
        </w:rPr>
        <w:t>（七）向采购项目相关人行贿或者提供其他不当利益的；</w:t>
      </w:r>
    </w:p>
    <w:p>
      <w:pPr>
        <w:ind w:firstLine="480" w:firstLineChars="200"/>
        <w:rPr>
          <w:rFonts w:ascii="宋体" w:hAnsi="宋体"/>
          <w:color w:val="FF0000"/>
          <w:sz w:val="20"/>
          <w:szCs w:val="20"/>
        </w:rPr>
      </w:pPr>
      <w:r>
        <w:rPr>
          <w:rFonts w:ascii="宋体" w:hAnsi="宋体" w:hint="eastAsia"/>
          <w:color w:val="FF0000"/>
          <w:sz w:val="20"/>
          <w:szCs w:val="20"/>
        </w:rPr>
        <w:t>（八）阻碍、抗拒主管部门监督检查的；</w:t>
      </w:r>
    </w:p>
    <w:p>
      <w:pPr>
        <w:ind w:firstLine="480" w:firstLineChars="200"/>
        <w:rPr>
          <w:rFonts w:ascii="宋体" w:hAnsi="宋体"/>
          <w:color w:val="FF0000"/>
          <w:sz w:val="20"/>
          <w:szCs w:val="20"/>
        </w:rPr>
      </w:pPr>
      <w:r>
        <w:rPr>
          <w:rFonts w:ascii="宋体" w:hAnsi="宋体" w:hint="eastAsia"/>
          <w:color w:val="FF0000"/>
          <w:sz w:val="20"/>
          <w:szCs w:val="20"/>
        </w:rPr>
        <w:t>（九）其他违反本条例规定的行为。</w:t>
      </w:r>
    </w:p>
    <w:p>
      <w:pPr>
        <w:ind w:firstLine="480" w:firstLineChars="200"/>
        <w:rPr>
          <w:rFonts w:ascii="宋体" w:hAnsi="宋体"/>
          <w:color w:val="FF0000"/>
          <w:sz w:val="20"/>
          <w:szCs w:val="20"/>
        </w:rPr>
      </w:pPr>
      <w:r>
        <w:rPr>
          <w:rFonts w:ascii="宋体" w:hAnsi="宋体" w:hint="eastAsia"/>
          <w:color w:val="FF0000"/>
          <w:sz w:val="20"/>
          <w:szCs w:val="20"/>
        </w:rPr>
        <w:t>二、</w:t>
      </w:r>
      <w:r>
        <w:rPr>
          <w:rFonts w:ascii="宋体" w:hAnsi="宋体" w:hint="eastAsia"/>
          <w:b/>
          <w:bCs/>
          <w:color w:val="FF0000"/>
          <w:sz w:val="20"/>
          <w:szCs w:val="20"/>
        </w:rPr>
        <w:t>《深圳经济特区政府采购条例实施细则》第七十六条</w:t>
      </w:r>
      <w:r>
        <w:rPr>
          <w:rFonts w:ascii="宋体" w:hAnsi="宋体" w:hint="eastAsia"/>
          <w:color w:val="FF0000"/>
          <w:sz w:val="20"/>
          <w:szCs w:val="20"/>
        </w:rPr>
        <w:t xml:space="preserve"> 供应商有下列行为之一的，由主管部门记入供应商诚信档案并作出以下处罚：</w:t>
      </w:r>
    </w:p>
    <w:p>
      <w:pPr>
        <w:ind w:firstLine="480" w:firstLineChars="200"/>
        <w:rPr>
          <w:rFonts w:ascii="宋体" w:hAnsi="宋体"/>
          <w:color w:val="FF0000"/>
          <w:sz w:val="20"/>
          <w:szCs w:val="20"/>
        </w:rPr>
      </w:pPr>
      <w:r>
        <w:rPr>
          <w:rFonts w:ascii="宋体" w:hAnsi="宋体" w:hint="eastAsia"/>
          <w:color w:val="FF0000"/>
          <w:sz w:val="20"/>
          <w:szCs w:val="20"/>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pPr>
        <w:ind w:firstLine="480" w:firstLineChars="200"/>
        <w:rPr>
          <w:rFonts w:ascii="宋体" w:hAnsi="宋体"/>
          <w:color w:val="FF0000"/>
          <w:sz w:val="20"/>
          <w:szCs w:val="20"/>
        </w:rPr>
      </w:pPr>
      <w:r>
        <w:rPr>
          <w:rFonts w:ascii="宋体" w:hAnsi="宋体" w:hint="eastAsia"/>
          <w:color w:val="FF0000"/>
          <w:sz w:val="20"/>
          <w:szCs w:val="20"/>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pPr>
        <w:ind w:firstLine="480" w:firstLineChars="200"/>
        <w:rPr>
          <w:rFonts w:ascii="宋体" w:hAnsi="宋体"/>
          <w:color w:val="FF0000"/>
          <w:sz w:val="20"/>
          <w:szCs w:val="20"/>
        </w:rPr>
      </w:pPr>
      <w:r>
        <w:rPr>
          <w:rFonts w:ascii="宋体" w:hAnsi="宋体" w:hint="eastAsia"/>
          <w:b/>
          <w:bCs/>
          <w:color w:val="FF0000"/>
          <w:sz w:val="20"/>
          <w:szCs w:val="20"/>
        </w:rPr>
        <w:t>三、《深圳经济特区政府采购条例实施细则》第七十七条 </w:t>
      </w:r>
      <w:r>
        <w:rPr>
          <w:rFonts w:ascii="宋体" w:hAnsi="宋体" w:hint="eastAsia"/>
          <w:color w:val="FF0000"/>
          <w:sz w:val="20"/>
          <w:szCs w:val="20"/>
        </w:rPr>
        <w:t>供应商有下列行为之一的，属于情节严重，由市场监管部门依法吊销其营业执照，主管部门取消其参与本市政府采购的资格，并作出以下处罚：</w:t>
      </w:r>
    </w:p>
    <w:p>
      <w:pPr>
        <w:ind w:firstLine="480" w:firstLineChars="200"/>
        <w:rPr>
          <w:rFonts w:ascii="宋体" w:hAnsi="宋体"/>
          <w:color w:val="FF0000"/>
          <w:sz w:val="20"/>
          <w:szCs w:val="20"/>
        </w:rPr>
      </w:pPr>
      <w:r>
        <w:rPr>
          <w:rFonts w:ascii="宋体" w:hAnsi="宋体" w:hint="eastAsia"/>
          <w:color w:val="FF0000"/>
          <w:sz w:val="20"/>
          <w:szCs w:val="20"/>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pPr>
        <w:ind w:firstLine="480" w:firstLineChars="200"/>
        <w:rPr>
          <w:rFonts w:ascii="宋体" w:hAnsi="宋体"/>
          <w:color w:val="FF0000"/>
          <w:sz w:val="20"/>
          <w:szCs w:val="20"/>
        </w:rPr>
      </w:pPr>
      <w:r>
        <w:rPr>
          <w:rFonts w:ascii="宋体" w:hAnsi="宋体" w:hint="eastAsia"/>
          <w:color w:val="FF0000"/>
          <w:sz w:val="20"/>
          <w:szCs w:val="20"/>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pPr>
        <w:ind w:firstLine="480" w:firstLineChars="200"/>
        <w:rPr>
          <w:rFonts w:ascii="宋体" w:hAnsi="宋体"/>
          <w:color w:val="FF0000"/>
          <w:sz w:val="20"/>
          <w:szCs w:val="20"/>
        </w:rPr>
      </w:pPr>
      <w:r>
        <w:rPr>
          <w:rFonts w:ascii="宋体" w:hAnsi="宋体" w:hint="eastAsia"/>
          <w:b/>
          <w:bCs/>
          <w:color w:val="FF0000"/>
          <w:sz w:val="20"/>
          <w:szCs w:val="20"/>
        </w:rPr>
        <w:t>四、《深圳经济特区政府采购条例实施细则》第七十九条 </w:t>
      </w:r>
      <w:r>
        <w:rPr>
          <w:rFonts w:ascii="宋体" w:hAnsi="宋体" w:hint="eastAsia"/>
          <w:color w:val="FF0000"/>
          <w:sz w:val="20"/>
          <w:szCs w:val="20"/>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hAnsi="宋体"/>
          <w:color w:val="FF0000"/>
          <w:sz w:val="20"/>
          <w:szCs w:val="20"/>
        </w:rPr>
      </w:pPr>
      <w:r>
        <w:rPr>
          <w:rFonts w:ascii="宋体" w:hAnsi="宋体" w:hint="eastAsia"/>
          <w:b/>
          <w:bCs/>
          <w:color w:val="FF0000"/>
          <w:sz w:val="20"/>
          <w:szCs w:val="20"/>
        </w:rPr>
        <w:t>五、《深圳经济特区政府采购条例实施细则》第八十一条 </w:t>
      </w:r>
      <w:r>
        <w:rPr>
          <w:rFonts w:ascii="宋体" w:hAnsi="宋体" w:hint="eastAsia"/>
          <w:color w:val="FF0000"/>
          <w:sz w:val="20"/>
          <w:szCs w:val="20"/>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hAnsi="宋体"/>
          <w:color w:val="FF0000"/>
          <w:sz w:val="20"/>
          <w:szCs w:val="20"/>
        </w:rPr>
      </w:pPr>
      <w:r>
        <w:rPr>
          <w:rFonts w:ascii="宋体" w:hAnsi="宋体" w:hint="eastAsia"/>
          <w:color w:val="FF0000"/>
          <w:sz w:val="20"/>
          <w:szCs w:val="20"/>
        </w:rPr>
        <w:t>投标供应商不能提供项目负责人或者主要技术人员的劳动合同、社会保险等劳动关系证明材料的，视为存在前款第（三）项规定的情形。</w:t>
      </w:r>
    </w:p>
    <w:p>
      <w:pPr>
        <w:ind w:firstLine="480" w:firstLineChars="200"/>
        <w:rPr>
          <w:rFonts w:ascii="宋体" w:hAnsi="宋体"/>
          <w:color w:val="FF0000"/>
          <w:sz w:val="20"/>
          <w:szCs w:val="20"/>
        </w:rPr>
      </w:pPr>
      <w:bookmarkEnd w:id="4"/>
    </w:p>
    <w:p/>
    <w:p>
      <w:pPr>
        <w:pStyle w:val="Heading1"/>
      </w:pPr>
      <w:bookmarkStart w:id="5" w:name="_Hlk72218009"/>
      <w:r>
        <w:rPr>
          <w:rFonts w:hint="eastAsia"/>
        </w:rPr>
        <w:t>目   录</w:t>
      </w:r>
    </w:p>
    <w:p>
      <w:pPr>
        <w:rPr>
          <w:b/>
        </w:rPr>
      </w:pPr>
      <w:r>
        <w:rPr>
          <w:rFonts w:hint="eastAsia"/>
          <w:b/>
        </w:rPr>
        <w:t>第一册  专用条款</w:t>
      </w:r>
    </w:p>
    <w:p>
      <w:r>
        <w:rPr>
          <w:rFonts w:hint="eastAsia"/>
        </w:rPr>
        <w:t xml:space="preserve">          关键信息</w:t>
      </w:r>
    </w:p>
    <w:p>
      <w:pPr>
        <w:ind w:left="720" w:firstLine="720" w:leftChars="300" w:firstLineChars="300"/>
        <w:rPr>
          <w:rFonts w:ascii="宋体" w:hAnsi="宋体"/>
          <w:szCs w:val="21"/>
        </w:rPr>
      </w:pPr>
      <w:r>
        <w:rPr>
          <w:rFonts w:ascii="宋体" w:hAnsi="宋体" w:hint="eastAsia"/>
          <w:szCs w:val="21"/>
        </w:rPr>
        <w:t>第一章  招标公告</w:t>
      </w:r>
    </w:p>
    <w:p>
      <w:pPr>
        <w:ind w:left="720" w:firstLine="720" w:leftChars="300" w:firstLineChars="300"/>
        <w:rPr>
          <w:rFonts w:ascii="宋体" w:hAnsi="宋体"/>
          <w:szCs w:val="21"/>
        </w:rPr>
      </w:pPr>
      <w:r>
        <w:rPr>
          <w:rFonts w:ascii="宋体" w:hAnsi="宋体" w:hint="eastAsia"/>
          <w:szCs w:val="21"/>
        </w:rPr>
        <w:t xml:space="preserve">第二章  </w:t>
      </w:r>
      <w:bookmarkStart w:id="6" w:name="_Hlk71994379"/>
      <w:r>
        <w:rPr>
          <w:rFonts w:ascii="宋体" w:hAnsi="宋体" w:hint="eastAsia"/>
          <w:szCs w:val="21"/>
        </w:rPr>
        <w:t>对通用条款的补充内容及其他关键信息</w:t>
      </w:r>
      <w:bookmarkEnd w:id="6"/>
    </w:p>
    <w:p>
      <w:pPr>
        <w:ind w:left="720" w:firstLine="720" w:leftChars="300" w:firstLineChars="300"/>
        <w:rPr>
          <w:rFonts w:ascii="宋体" w:hAnsi="宋体"/>
          <w:szCs w:val="21"/>
        </w:rPr>
      </w:pPr>
      <w:r>
        <w:rPr>
          <w:rFonts w:ascii="宋体" w:hAnsi="宋体" w:hint="eastAsia"/>
          <w:szCs w:val="21"/>
        </w:rPr>
        <w:t xml:space="preserve">第三章 </w:t>
      </w:r>
      <w:r>
        <w:rPr>
          <w:rFonts w:ascii="宋体" w:eastAsia="宋体" w:hAnsi="宋体" w:hint="eastAsia"/>
          <w:szCs w:val="21"/>
        </w:rPr>
        <w:t xml:space="preserve"> </w:t>
      </w:r>
      <w:r>
        <w:rPr>
          <w:rFonts w:ascii="宋体" w:hAnsi="宋体" w:hint="eastAsia"/>
          <w:szCs w:val="21"/>
        </w:rPr>
        <w:t>用户需求书</w:t>
      </w:r>
    </w:p>
    <w:p>
      <w:pPr>
        <w:ind w:left="720" w:firstLine="720" w:leftChars="300" w:firstLineChars="300"/>
        <w:rPr>
          <w:rFonts w:ascii="宋体" w:hAnsi="宋体"/>
          <w:szCs w:val="21"/>
        </w:rPr>
      </w:pPr>
      <w:r>
        <w:rPr>
          <w:rFonts w:ascii="宋体" w:hAnsi="宋体" w:hint="eastAsia"/>
          <w:szCs w:val="21"/>
        </w:rPr>
        <w:t xml:space="preserve">第四章 </w:t>
      </w:r>
      <w:r>
        <w:rPr>
          <w:rFonts w:ascii="宋体" w:eastAsia="宋体" w:hAnsi="宋体" w:hint="eastAsia"/>
          <w:szCs w:val="21"/>
        </w:rPr>
        <w:t xml:space="preserve"> </w:t>
      </w:r>
      <w:r>
        <w:rPr>
          <w:rFonts w:ascii="宋体" w:hAnsi="宋体" w:hint="eastAsia"/>
          <w:szCs w:val="21"/>
        </w:rPr>
        <w:t>投标文件组成要求及格式</w:t>
      </w:r>
    </w:p>
    <w:p>
      <w:pPr>
        <w:ind w:left="720" w:firstLine="710" w:leftChars="300" w:firstLineChars="296"/>
        <w:rPr>
          <w:rFonts w:ascii="宋体" w:hAnsi="宋体"/>
          <w:szCs w:val="21"/>
        </w:rPr>
      </w:pPr>
      <w:r>
        <w:rPr>
          <w:rFonts w:ascii="宋体" w:hAnsi="宋体" w:hint="eastAsia"/>
          <w:szCs w:val="21"/>
        </w:rPr>
        <w:t>第五章  合同</w:t>
      </w:r>
      <w:r>
        <w:rPr>
          <w:rFonts w:ascii="宋体" w:eastAsia="宋体" w:hAnsi="宋体" w:hint="eastAsia"/>
          <w:szCs w:val="21"/>
        </w:rPr>
        <w:t>及履约情况反馈</w:t>
      </w:r>
      <w:r>
        <w:rPr>
          <w:rFonts w:ascii="宋体" w:hAnsi="宋体" w:hint="eastAsia"/>
          <w:szCs w:val="21"/>
        </w:rPr>
        <w:t>格式</w:t>
      </w:r>
    </w:p>
    <w:p>
      <w:pPr>
        <w:rPr>
          <w:b/>
        </w:rPr>
      </w:pPr>
    </w:p>
    <w:p>
      <w:pPr>
        <w:rPr>
          <w:b/>
        </w:rPr>
      </w:pPr>
      <w:r>
        <w:rPr>
          <w:rFonts w:hint="eastAsia"/>
          <w:b/>
        </w:rPr>
        <w:t>第二册  通用条款</w:t>
      </w:r>
    </w:p>
    <w:p>
      <w:pPr>
        <w:ind w:left="720" w:firstLine="470" w:leftChars="300" w:firstLineChars="196"/>
        <w:rPr>
          <w:rFonts w:ascii="宋体" w:hAnsi="宋体"/>
          <w:szCs w:val="21"/>
        </w:rPr>
      </w:pPr>
      <w:r>
        <w:rPr>
          <w:rFonts w:ascii="宋体" w:hAnsi="宋体" w:hint="eastAsia"/>
          <w:szCs w:val="21"/>
        </w:rPr>
        <w:t>第一章  总则</w:t>
      </w:r>
    </w:p>
    <w:p>
      <w:pPr>
        <w:ind w:left="720" w:firstLine="470" w:leftChars="300" w:firstLineChars="196"/>
        <w:rPr>
          <w:rFonts w:ascii="宋体" w:hAnsi="宋体"/>
          <w:szCs w:val="21"/>
        </w:rPr>
      </w:pPr>
      <w:r>
        <w:rPr>
          <w:rFonts w:ascii="宋体" w:hAnsi="宋体" w:hint="eastAsia"/>
          <w:szCs w:val="21"/>
        </w:rPr>
        <w:t>第二章  招标文件</w:t>
      </w:r>
    </w:p>
    <w:p>
      <w:pPr>
        <w:ind w:left="720" w:firstLine="470" w:leftChars="300" w:firstLineChars="196"/>
        <w:rPr>
          <w:rFonts w:ascii="宋体" w:hAnsi="宋体"/>
          <w:szCs w:val="21"/>
        </w:rPr>
      </w:pPr>
      <w:r>
        <w:rPr>
          <w:rFonts w:ascii="宋体" w:hAnsi="宋体" w:hint="eastAsia"/>
          <w:szCs w:val="21"/>
        </w:rPr>
        <w:t>第三章  投标文件的编制</w:t>
      </w:r>
    </w:p>
    <w:p>
      <w:pPr>
        <w:ind w:left="720" w:firstLine="470" w:leftChars="300" w:firstLineChars="196"/>
        <w:rPr>
          <w:rFonts w:ascii="宋体" w:hAnsi="宋体"/>
          <w:szCs w:val="21"/>
        </w:rPr>
      </w:pPr>
      <w:r>
        <w:rPr>
          <w:rFonts w:ascii="宋体" w:hAnsi="宋体" w:hint="eastAsia"/>
          <w:szCs w:val="21"/>
        </w:rPr>
        <w:t>第四章  投标文件的递交</w:t>
      </w:r>
    </w:p>
    <w:p>
      <w:pPr>
        <w:ind w:left="720" w:firstLine="470" w:leftChars="300" w:firstLineChars="196"/>
        <w:rPr>
          <w:rFonts w:ascii="宋体" w:hAnsi="宋体"/>
          <w:szCs w:val="21"/>
        </w:rPr>
      </w:pPr>
      <w:r>
        <w:rPr>
          <w:rFonts w:ascii="宋体" w:hAnsi="宋体" w:hint="eastAsia"/>
          <w:szCs w:val="21"/>
        </w:rPr>
        <w:t>第五章  开标</w:t>
      </w:r>
    </w:p>
    <w:p>
      <w:pPr>
        <w:ind w:left="720" w:firstLine="470" w:leftChars="300" w:firstLineChars="196"/>
        <w:rPr>
          <w:rFonts w:ascii="宋体" w:hAnsi="宋体"/>
          <w:szCs w:val="21"/>
        </w:rPr>
      </w:pPr>
      <w:r>
        <w:rPr>
          <w:rFonts w:ascii="宋体" w:hAnsi="宋体" w:hint="eastAsia"/>
          <w:szCs w:val="21"/>
        </w:rPr>
        <w:t>第六章  评审要求</w:t>
      </w:r>
    </w:p>
    <w:p>
      <w:pPr>
        <w:ind w:left="720" w:firstLine="470" w:leftChars="300" w:firstLineChars="196"/>
        <w:rPr>
          <w:rFonts w:ascii="宋体" w:hAnsi="宋体"/>
          <w:szCs w:val="21"/>
        </w:rPr>
      </w:pPr>
      <w:r>
        <w:rPr>
          <w:rFonts w:ascii="宋体" w:hAnsi="宋体" w:hint="eastAsia"/>
          <w:szCs w:val="21"/>
        </w:rPr>
        <w:t>第七章  评审程序及评审方法</w:t>
      </w:r>
    </w:p>
    <w:p>
      <w:pPr>
        <w:ind w:left="720" w:firstLine="470" w:leftChars="300" w:firstLineChars="196"/>
        <w:rPr>
          <w:rFonts w:ascii="宋体" w:hAnsi="宋体"/>
          <w:szCs w:val="21"/>
        </w:rPr>
      </w:pPr>
      <w:r>
        <w:rPr>
          <w:rFonts w:ascii="宋体" w:hAnsi="宋体" w:hint="eastAsia"/>
          <w:szCs w:val="21"/>
        </w:rPr>
        <w:t>第八章  定标及公示</w:t>
      </w:r>
    </w:p>
    <w:p>
      <w:pPr>
        <w:ind w:left="720" w:firstLine="470" w:leftChars="300" w:firstLineChars="196"/>
        <w:rPr>
          <w:rFonts w:ascii="宋体" w:hAnsi="宋体"/>
          <w:szCs w:val="21"/>
        </w:rPr>
      </w:pPr>
      <w:r>
        <w:rPr>
          <w:rFonts w:ascii="宋体" w:hAnsi="宋体" w:hint="eastAsia"/>
          <w:szCs w:val="21"/>
        </w:rPr>
        <w:t>第九章  公开招标失败的后续处理</w:t>
      </w:r>
    </w:p>
    <w:p>
      <w:pPr>
        <w:ind w:left="720" w:firstLine="470" w:leftChars="300" w:firstLineChars="196"/>
        <w:rPr>
          <w:rFonts w:ascii="宋体" w:hAnsi="宋体"/>
          <w:szCs w:val="21"/>
        </w:rPr>
      </w:pPr>
      <w:r>
        <w:rPr>
          <w:rFonts w:ascii="宋体" w:hAnsi="宋体" w:hint="eastAsia"/>
          <w:szCs w:val="21"/>
        </w:rPr>
        <w:t>第十章  合同的授予与备案</w:t>
      </w:r>
    </w:p>
    <w:p>
      <w:pPr>
        <w:ind w:left="720" w:firstLine="470" w:leftChars="300" w:firstLineChars="196"/>
        <w:rPr>
          <w:rFonts w:ascii="宋体" w:hAnsi="宋体"/>
          <w:szCs w:val="21"/>
        </w:rPr>
      </w:pPr>
      <w:r>
        <w:rPr>
          <w:rFonts w:ascii="宋体" w:hAnsi="宋体" w:hint="eastAsia"/>
          <w:szCs w:val="21"/>
        </w:rPr>
        <w:t>第十一章  质疑处理</w:t>
      </w:r>
    </w:p>
    <w:p>
      <w:pPr>
        <w:rPr>
          <w:rFonts w:ascii="宋体" w:eastAsia="黑体" w:hAnsi="宋体"/>
          <w:b/>
          <w:bCs/>
          <w:kern w:val="44"/>
          <w:sz w:val="28"/>
          <w:szCs w:val="44"/>
        </w:rPr>
      </w:pPr>
      <w:bookmarkEnd w:id="5"/>
      <w:bookmarkStart w:id="7" w:name="bt投标文件签署授权委托书"/>
      <w:bookmarkEnd w:id="7"/>
      <w:bookmarkStart w:id="8" w:name="bt合同条款及格式"/>
      <w:bookmarkEnd w:id="8"/>
      <w:bookmarkStart w:id="9" w:name="bt投标人情况介绍"/>
      <w:bookmarkEnd w:id="9"/>
      <w:bookmarkStart w:id="10" w:name="bt投标人须知"/>
      <w:bookmarkEnd w:id="10"/>
      <w:bookmarkStart w:id="11" w:name="bt开标一览表"/>
      <w:bookmarkEnd w:id="11"/>
      <w:bookmarkStart w:id="12" w:name="bt技术标投标文件格式"/>
      <w:bookmarkEnd w:id="12"/>
      <w:bookmarkStart w:id="13" w:name="bt合同条款"/>
      <w:bookmarkEnd w:id="13"/>
      <w:bookmarkStart w:id="14" w:name="bt投标报价汇总表"/>
      <w:bookmarkEnd w:id="14"/>
      <w:bookmarkStart w:id="15" w:name="合同格式"/>
      <w:bookmarkEnd w:id="15"/>
      <w:bookmarkStart w:id="16" w:name="bt说明"/>
      <w:bookmarkEnd w:id="16"/>
      <w:bookmarkStart w:id="17" w:name="bt投标函"/>
      <w:bookmarkEnd w:id="17"/>
      <w:bookmarkStart w:id="18" w:name="bt商务标投标文件格式"/>
      <w:bookmarkEnd w:id="18"/>
      <w:bookmarkStart w:id="19" w:name="bt合同格式"/>
      <w:bookmarkEnd w:id="19"/>
      <w:bookmarkStart w:id="20" w:name="bt其他资料由投标人自定"/>
      <w:bookmarkEnd w:id="20"/>
      <w:bookmarkStart w:id="21" w:name="bt项目管理班子配备情况"/>
      <w:bookmarkEnd w:id="21"/>
      <w:bookmarkStart w:id="22" w:name="bt其他资料2"/>
      <w:bookmarkEnd w:id="22"/>
      <w:bookmarkStart w:id="23" w:name="bt本工程承诺书"/>
      <w:bookmarkEnd w:id="23"/>
      <w:r>
        <w:br w:type="page"/>
      </w:r>
    </w:p>
    <w:p>
      <w:pPr>
        <w:pStyle w:val="Heading1"/>
        <w:rPr>
          <w:color w:val="FF0000"/>
          <w:sz w:val="24"/>
        </w:rPr>
      </w:pPr>
      <w:r>
        <w:rPr>
          <w:rFonts w:hint="eastAsia"/>
        </w:rPr>
        <w:t>第一册  专用条款</w:t>
      </w:r>
    </w:p>
    <w:p>
      <w:pPr>
        <w:pStyle w:val="Heading2"/>
        <w:rPr>
          <w:sz w:val="28"/>
          <w:szCs w:val="28"/>
        </w:rPr>
      </w:pPr>
      <w:r>
        <w:rPr>
          <w:rFonts w:hint="eastAsia"/>
          <w:sz w:val="28"/>
          <w:szCs w:val="28"/>
        </w:rPr>
        <w:t>第一章  招标公告</w:t>
      </w:r>
    </w:p>
    <w:p>
      <w:pPr>
        <w:spacing w:line="360" w:lineRule="auto"/>
        <w:rPr>
          <w:rFonts w:ascii="宋体" w:hAnsi="宋体" w:cs="宋体"/>
          <w:sz w:val="18"/>
          <w:szCs w:val="18"/>
        </w:rPr>
      </w:pPr>
      <w:r>
        <w:rPr>
          <w:rFonts w:ascii="宋体" w:hAnsi="宋体" w:cs="宋体" w:hint="eastAsia"/>
          <w:b/>
          <w:bCs/>
          <w:szCs w:val="21"/>
        </w:rPr>
        <w:t>申请人的资格要求：</w:t>
      </w:r>
    </w:p>
    <w:p>
      <w:pPr>
        <w:ind w:firstLine="720" w:firstLineChars="300"/>
        <w:rPr>
          <w:rFonts w:ascii="宋体" w:eastAsia="宋体" w:hAnsi="宋体"/>
        </w:rPr>
      </w:pPr>
      <w:r>
        <w:rPr>
          <w:rFonts w:ascii="宋体" w:eastAsia="宋体" w:hAnsi="宋体" w:hint="eastAsia"/>
        </w:rPr>
        <w:t>1.具有独立法人资格或是具有独立承担民事责任能力的其它组织（提供营业执照或事业单位法人证书等证明资料扫描件，原件备查）；</w:t>
      </w:r>
    </w:p>
    <w:p>
      <w:pPr>
        <w:ind w:firstLine="720" w:firstLineChars="300"/>
        <w:rPr>
          <w:rFonts w:ascii="宋体" w:eastAsia="宋体" w:hAnsi="宋体"/>
        </w:rPr>
      </w:pPr>
      <w:r>
        <w:rPr>
          <w:rFonts w:ascii="宋体" w:eastAsia="宋体" w:hAnsi="宋体" w:hint="eastAsia"/>
          <w:lang w:val="en-US" w:eastAsia="zh-CN"/>
        </w:rPr>
        <w:t>2</w:t>
      </w:r>
      <w:r>
        <w:rPr>
          <w:rFonts w:ascii="宋体" w:eastAsia="宋体" w:hAnsi="宋体" w:hint="eastAsia"/>
        </w:rPr>
        <w:t>.本项目不接受联合体投标，不允许分包、转包。不接受进口产品参与投标（由供应商在《政府采购投标及履约承诺函》中作出声明）；</w:t>
      </w:r>
    </w:p>
    <w:p>
      <w:pPr>
        <w:ind w:firstLine="720" w:firstLineChars="300"/>
        <w:rPr>
          <w:rFonts w:ascii="宋体" w:eastAsia="宋体" w:hAnsi="宋体"/>
        </w:rPr>
      </w:pPr>
      <w:r>
        <w:rPr>
          <w:rFonts w:ascii="宋体" w:eastAsia="宋体" w:hAnsi="宋体" w:hint="eastAsia"/>
          <w:lang w:val="en-US" w:eastAsia="zh-CN"/>
        </w:rPr>
        <w:t>3</w:t>
      </w:r>
      <w:r>
        <w:rPr>
          <w:rFonts w:ascii="宋体" w:eastAsia="宋体" w:hAnsi="宋体" w:hint="eastAsia"/>
        </w:rPr>
        <w:t>.参与本项目投标前三年内，在经营活动中没有重大违法记录（由供应商在《政府采购投标及履约承诺函》中作出声明）；</w:t>
      </w:r>
    </w:p>
    <w:p>
      <w:pPr>
        <w:ind w:firstLine="720" w:firstLineChars="300"/>
        <w:rPr>
          <w:rFonts w:ascii="宋体" w:eastAsia="宋体" w:hAnsi="宋体"/>
        </w:rPr>
      </w:pPr>
      <w:r>
        <w:rPr>
          <w:rFonts w:ascii="宋体" w:eastAsia="宋体" w:hAnsi="宋体" w:hint="eastAsia"/>
          <w:lang w:val="en-US" w:eastAsia="zh-CN"/>
        </w:rPr>
        <w:t>4</w:t>
      </w:r>
      <w:r>
        <w:rPr>
          <w:rFonts w:ascii="宋体" w:eastAsia="宋体" w:hAnsi="宋体" w:hint="eastAsia"/>
        </w:rPr>
        <w:t>.参与本项目政府采购活动时不存在被有关部门禁止参与政府采购活动且在有效期内的情况（由供应商在《政府采购投标及履约承诺函》中作出声明）；</w:t>
      </w:r>
    </w:p>
    <w:p>
      <w:pPr>
        <w:ind w:firstLine="720" w:firstLineChars="300"/>
        <w:rPr>
          <w:rFonts w:ascii="宋体" w:hAnsi="宋体"/>
        </w:rPr>
      </w:pPr>
      <w:r>
        <w:rPr>
          <w:rFonts w:ascii="宋体" w:eastAsia="宋体" w:hAnsi="宋体" w:hint="eastAsia"/>
          <w:lang w:val="en-US" w:eastAsia="zh-CN"/>
        </w:rPr>
        <w:t>5</w:t>
      </w:r>
      <w:r>
        <w:rPr>
          <w:rFonts w:ascii="宋体" w:eastAsia="宋体" w:hAnsi="宋体" w:hint="eastAsia"/>
        </w:rPr>
        <w:t>.具备《中华人民共和国政府采购法》第二十二条第一款的</w:t>
      </w:r>
      <w:r>
        <w:rPr>
          <w:rFonts w:ascii="宋体" w:hAnsi="宋体" w:hint="eastAsia"/>
        </w:rPr>
        <w:t>条件（由供应商在《政府采购投标及履约承诺函》中作出声明）；</w:t>
      </w:r>
    </w:p>
    <w:p>
      <w:pPr>
        <w:ind w:firstLine="720" w:firstLineChars="300"/>
        <w:rPr>
          <w:rFonts w:ascii="宋体" w:eastAsia="宋体" w:hAnsi="宋体"/>
        </w:rPr>
      </w:pPr>
      <w:r>
        <w:rPr>
          <w:rFonts w:ascii="宋体" w:eastAsia="宋体" w:hAnsi="宋体" w:hint="eastAsia"/>
          <w:lang w:val="en-US" w:eastAsia="zh-CN"/>
        </w:rPr>
        <w:t>6</w:t>
      </w:r>
      <w:r>
        <w:rPr>
          <w:rFonts w:ascii="宋体" w:eastAsia="宋体" w:hAnsi="宋体" w:hint="eastAsia"/>
        </w:rPr>
        <w:t>.未被列入失信被执行人、重大税收违法案件当事人名单、政府采购严重违法失信行为记录名单（由供应商在《政府采购投标及履约承诺函》中作出声明）。</w:t>
      </w:r>
    </w:p>
    <w:p>
      <w:pPr>
        <w:ind w:firstLine="720" w:firstLineChars="300"/>
        <w:rPr>
          <w:rFonts w:ascii="宋体" w:eastAsia="宋体" w:hAnsi="宋体"/>
        </w:rPr>
      </w:pPr>
      <w:r>
        <w:rPr>
          <w:rFonts w:ascii="宋体" w:eastAsia="宋体" w:hAnsi="宋体" w:hint="eastAsia"/>
          <w:lang w:val="en-US" w:eastAsia="zh-CN"/>
        </w:rPr>
        <w:t>7</w:t>
      </w:r>
      <w:r>
        <w:rPr>
          <w:rFonts w:ascii="宋体" w:eastAsia="宋体" w:hAnsi="宋体" w:hint="eastAsia"/>
        </w:rPr>
        <w:t>.单位法定代表人（负责人）为同一人或者存在直接控股、管理关系的不同供应商，不得同时参加本项目投标（由供应商在《政府采购投标及履约承诺函》中作出声明）；</w:t>
      </w:r>
    </w:p>
    <w:p>
      <w:pPr>
        <w:ind w:firstLine="720" w:firstLineChars="300"/>
        <w:rPr>
          <w:rFonts w:ascii="宋体" w:eastAsia="宋体" w:hAnsi="宋体"/>
        </w:rPr>
      </w:pPr>
      <w:r>
        <w:rPr>
          <w:rFonts w:ascii="宋体" w:eastAsia="宋体" w:hAnsi="宋体" w:hint="eastAsia"/>
          <w:lang w:val="en-US" w:eastAsia="zh-CN"/>
        </w:rPr>
        <w:t>8</w:t>
      </w:r>
      <w:r>
        <w:rPr>
          <w:rFonts w:ascii="宋体" w:eastAsia="宋体" w:hAnsi="宋体" w:hint="eastAsia"/>
        </w:rPr>
        <w:t>.为本项目提供整体设计、规范编制或者项目管理、监理、检测等服务的供应商，不得参加本项目投标。（由供应商在《政府采购投标及履约承诺函》中作出声明）；</w:t>
      </w:r>
    </w:p>
    <w:p>
      <w:pPr>
        <w:ind w:firstLine="480" w:firstLineChars="200"/>
        <w:rPr>
          <w:rFonts w:ascii="宋体" w:hAnsi="宋体"/>
        </w:rPr>
      </w:pPr>
    </w:p>
    <w:p>
      <w:pPr>
        <w:ind w:firstLine="480" w:firstLineChars="200"/>
        <w:rPr>
          <w:rFonts w:ascii="宋体" w:hAnsi="宋体"/>
        </w:rPr>
      </w:pPr>
      <w:r>
        <w:rPr>
          <w:rFonts w:ascii="宋体" w:hAnsi="宋体" w:hint="eastAsia"/>
        </w:rPr>
        <w:t>注：（1）采购代理机构将通过“信用中国”中“信用服务”栏的“重大税收违法案件当事人名单”“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rPr>
          <w:rFonts w:ascii="宋体" w:hAnsi="宋体"/>
        </w:rPr>
      </w:pPr>
      <w:r>
        <w:rPr>
          <w:rFonts w:ascii="宋体" w:hAnsi="宋体" w:hint="eastAsia"/>
        </w:rPr>
        <w:t>（2）供应商投标（上传投标文件）必须先行办理注册手续，具体请按照本公告“六、其他补充事宜”相关内容指引办理。</w:t>
      </w:r>
    </w:p>
    <w:p>
      <w:pPr>
        <w:rPr>
          <w:rFonts w:ascii="宋体" w:hAnsi="宋体" w:cs="宋体"/>
          <w:b/>
          <w:bCs/>
          <w:szCs w:val="21"/>
        </w:rPr>
      </w:pPr>
    </w:p>
    <w:p>
      <w:pPr>
        <w:rPr>
          <w:szCs w:val="20"/>
        </w:rPr>
      </w:pPr>
      <w:r>
        <w:rPr>
          <w:rFonts w:hint="eastAsia"/>
          <w:szCs w:val="20"/>
        </w:rPr>
        <w:t>完整公告内容详见：</w:t>
      </w:r>
      <w:r>
        <w:fldChar w:fldCharType="begin"/>
      </w:r>
      <w:r>
        <w:instrText xml:space="preserve"> HYPERLINK "http://zfcg.szggzy.com:8081/" </w:instrText>
      </w:r>
      <w:r>
        <w:fldChar w:fldCharType="separate"/>
      </w:r>
      <w:r>
        <w:rPr>
          <w:rStyle w:val="Hyperlink"/>
          <w:szCs w:val="20"/>
        </w:rPr>
        <w:t>http://zfcg.szggzy.com:8081/</w:t>
      </w:r>
      <w:r>
        <w:rPr>
          <w:rStyle w:val="Hyperlink"/>
          <w:szCs w:val="20"/>
        </w:rPr>
        <w:fldChar w:fldCharType="end"/>
      </w:r>
    </w:p>
    <w:p>
      <w:pPr>
        <w:rPr>
          <w:rFonts w:ascii="宋体" w:hAnsi="宋体"/>
          <w:b/>
          <w:bCs/>
          <w:sz w:val="28"/>
          <w:szCs w:val="28"/>
        </w:rPr>
      </w:pPr>
      <w:r>
        <w:rPr>
          <w:sz w:val="28"/>
          <w:szCs w:val="28"/>
        </w:rPr>
        <w:br w:type="page"/>
      </w:r>
    </w:p>
    <w:p>
      <w:pPr>
        <w:pStyle w:val="Heading2"/>
        <w:rPr>
          <w:sz w:val="28"/>
          <w:szCs w:val="28"/>
        </w:rPr>
      </w:pPr>
      <w:r>
        <w:rPr>
          <w:rFonts w:hint="eastAsia"/>
          <w:sz w:val="28"/>
          <w:szCs w:val="28"/>
        </w:rPr>
        <w:t xml:space="preserve">第二章 </w:t>
      </w:r>
      <w:bookmarkStart w:id="24" w:name="_Hlk71926094"/>
      <w:r>
        <w:rPr>
          <w:rFonts w:hint="eastAsia"/>
          <w:sz w:val="28"/>
          <w:szCs w:val="28"/>
        </w:rPr>
        <w:t>对通用条款的补充内容及其他关键信息</w:t>
      </w:r>
      <w:bookmarkEnd w:id="24"/>
    </w:p>
    <w:p>
      <w:pPr>
        <w:pStyle w:val="Heading3"/>
        <w:spacing w:before="120" w:beforeLines="50" w:after="120" w:afterLines="50"/>
        <w:rPr>
          <w:szCs w:val="24"/>
        </w:rPr>
      </w:pPr>
      <w:bookmarkStart w:id="25" w:name="_Toc60631620"/>
      <w:bookmarkStart w:id="26" w:name="_Toc73521547"/>
      <w:bookmarkStart w:id="27" w:name="_Toc60560625"/>
      <w:bookmarkStart w:id="28" w:name="_Toc100052364"/>
      <w:bookmarkStart w:id="29" w:name="_Toc73521635"/>
      <w:bookmarkStart w:id="30" w:name="_Toc101074876"/>
      <w:bookmarkStart w:id="31" w:name="_Toc73518117"/>
      <w:bookmarkStart w:id="32" w:name="_Toc73517639"/>
      <w:r>
        <w:rPr>
          <w:rFonts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b/>
                <w:bCs/>
              </w:rPr>
            </w:pPr>
            <w:bookmarkEnd w:id="25"/>
            <w:bookmarkEnd w:id="26"/>
            <w:bookmarkEnd w:id="27"/>
            <w:bookmarkEnd w:id="28"/>
            <w:bookmarkEnd w:id="29"/>
            <w:bookmarkEnd w:id="30"/>
            <w:bookmarkEnd w:id="31"/>
            <w:bookmarkEnd w:id="32"/>
            <w:bookmarkStart w:id="33" w:name="_Hlk72218097"/>
            <w:r>
              <w:rPr>
                <w:rFonts w:ascii="宋体" w:hAnsi="宋体" w:hint="eastAsia"/>
                <w:b/>
                <w:bCs/>
              </w:rPr>
              <w:t>通用条款序号</w:t>
            </w:r>
          </w:p>
        </w:tc>
        <w:tc>
          <w:tcPr>
            <w:tcW w:w="2409" w:type="dxa"/>
            <w:vAlign w:val="center"/>
          </w:tcPr>
          <w:p>
            <w:pPr>
              <w:jc w:val="center"/>
              <w:rPr>
                <w:rFonts w:ascii="宋体" w:hAnsi="宋体"/>
                <w:b/>
                <w:bCs/>
              </w:rPr>
            </w:pPr>
            <w:r>
              <w:rPr>
                <w:rFonts w:ascii="宋体" w:hAnsi="宋体" w:hint="eastAsia"/>
                <w:b/>
                <w:bCs/>
              </w:rPr>
              <w:t>涉及事项</w:t>
            </w:r>
          </w:p>
        </w:tc>
        <w:tc>
          <w:tcPr>
            <w:tcW w:w="4980" w:type="dxa"/>
            <w:vAlign w:val="center"/>
          </w:tcPr>
          <w:p>
            <w:pPr>
              <w:jc w:val="center"/>
              <w:rPr>
                <w:rFonts w:ascii="宋体" w:hAnsi="宋体"/>
                <w:b/>
                <w:bCs/>
              </w:rPr>
            </w:pPr>
            <w:r>
              <w:rPr>
                <w:rFonts w:ascii="宋体" w:hAnsi="宋体" w:hint="eastAsia"/>
                <w:b/>
                <w:bCs/>
              </w:rPr>
              <w:t>具 体 补 充 内 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3</w:t>
            </w:r>
            <w:r>
              <w:rPr>
                <w:rFonts w:ascii="宋体" w:hAnsi="宋体"/>
              </w:rPr>
              <w:t>.1</w:t>
            </w:r>
          </w:p>
        </w:tc>
        <w:tc>
          <w:tcPr>
            <w:tcW w:w="2409" w:type="dxa"/>
            <w:vAlign w:val="center"/>
          </w:tcPr>
          <w:p>
            <w:pPr>
              <w:jc w:val="center"/>
            </w:pPr>
            <w:r>
              <w:rPr>
                <w:rFonts w:hint="eastAsia"/>
              </w:rPr>
              <w:t>采购人</w:t>
            </w:r>
          </w:p>
        </w:tc>
        <w:tc>
          <w:tcPr>
            <w:tcW w:w="4980" w:type="dxa"/>
            <w:vAlign w:val="center"/>
          </w:tcPr>
          <w:p>
            <w:pPr>
              <w:jc w:val="center"/>
              <w:rPr>
                <w:rFonts w:ascii="宋体" w:eastAsia="宋体" w:hAnsi="宋体"/>
              </w:rPr>
            </w:pPr>
            <w:r>
              <w:rPr>
                <w:rFonts w:ascii="宋体" w:eastAsia="宋体" w:hAnsi="宋体" w:hint="eastAsia"/>
              </w:rPr>
              <w:t>深圳市眼科医院</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3</w:t>
            </w:r>
            <w:r>
              <w:rPr>
                <w:rFonts w:ascii="宋体" w:hAnsi="宋体"/>
              </w:rPr>
              <w:t>.2</w:t>
            </w:r>
          </w:p>
        </w:tc>
        <w:tc>
          <w:tcPr>
            <w:tcW w:w="2409" w:type="dxa"/>
            <w:vAlign w:val="center"/>
          </w:tcPr>
          <w:p>
            <w:pPr>
              <w:jc w:val="center"/>
              <w:rPr>
                <w:rFonts w:ascii="宋体" w:eastAsia="宋体" w:hAnsi="宋体"/>
              </w:rPr>
            </w:pPr>
            <w:r>
              <w:rPr>
                <w:rFonts w:ascii="宋体" w:eastAsia="宋体" w:hAnsi="宋体" w:hint="eastAsia"/>
              </w:rPr>
              <w:t>招标机构</w:t>
            </w:r>
          </w:p>
        </w:tc>
        <w:tc>
          <w:tcPr>
            <w:tcW w:w="4980" w:type="dxa"/>
            <w:vAlign w:val="center"/>
          </w:tcPr>
          <w:p>
            <w:pPr>
              <w:jc w:val="center"/>
              <w:rPr>
                <w:rFonts w:ascii="宋体" w:eastAsia="宋体" w:hAnsi="宋体"/>
              </w:rPr>
            </w:pPr>
            <w:r>
              <w:rPr>
                <w:rFonts w:ascii="宋体" w:eastAsia="宋体" w:hAnsi="宋体" w:hint="eastAsia"/>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5</w:t>
            </w:r>
            <w:r>
              <w:rPr>
                <w:rFonts w:ascii="宋体" w:hAnsi="宋体"/>
              </w:rPr>
              <w:t>.3</w:t>
            </w:r>
          </w:p>
        </w:tc>
        <w:tc>
          <w:tcPr>
            <w:tcW w:w="2409" w:type="dxa"/>
            <w:vAlign w:val="center"/>
          </w:tcPr>
          <w:p>
            <w:pPr>
              <w:jc w:val="center"/>
              <w:rPr>
                <w:rFonts w:ascii="宋体" w:hAnsi="宋体"/>
              </w:rPr>
            </w:pPr>
            <w:r>
              <w:rPr>
                <w:rFonts w:ascii="宋体" w:hAnsi="宋体" w:hint="eastAsia"/>
              </w:rPr>
              <w:t>联合体投标</w:t>
            </w:r>
          </w:p>
        </w:tc>
        <w:tc>
          <w:tcPr>
            <w:tcW w:w="4980" w:type="dxa"/>
            <w:vAlign w:val="center"/>
          </w:tcPr>
          <w:p>
            <w:pPr>
              <w:jc w:val="center"/>
              <w:rPr>
                <w:rFonts w:ascii="宋体" w:hAnsi="宋体"/>
              </w:rPr>
            </w:pPr>
            <w:r>
              <w:rPr>
                <w:rFonts w:ascii="宋体" w:hAnsi="宋体" w:hint="eastAsia"/>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9</w:t>
            </w:r>
          </w:p>
        </w:tc>
        <w:tc>
          <w:tcPr>
            <w:tcW w:w="2409" w:type="dxa"/>
            <w:vAlign w:val="center"/>
          </w:tcPr>
          <w:p>
            <w:pPr>
              <w:jc w:val="center"/>
              <w:rPr>
                <w:rFonts w:ascii="宋体" w:hAnsi="宋体"/>
              </w:rPr>
            </w:pPr>
            <w:r>
              <w:rPr>
                <w:rFonts w:ascii="宋体" w:hAnsi="宋体" w:hint="eastAsia"/>
              </w:rPr>
              <w:t>踏勘现场</w:t>
            </w:r>
          </w:p>
        </w:tc>
        <w:tc>
          <w:tcPr>
            <w:tcW w:w="4980" w:type="dxa"/>
            <w:vAlign w:val="center"/>
          </w:tcPr>
          <w:p>
            <w:pPr>
              <w:jc w:val="center"/>
              <w:rPr>
                <w:rFonts w:ascii="宋体" w:hAnsi="宋体"/>
              </w:rPr>
            </w:pPr>
            <w:r>
              <w:rPr>
                <w:rFonts w:ascii="宋体" w:hAnsi="宋体" w:hint="eastAsia"/>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1</w:t>
            </w:r>
            <w:r>
              <w:rPr>
                <w:rFonts w:ascii="宋体" w:hAnsi="宋体"/>
              </w:rPr>
              <w:t>0</w:t>
            </w:r>
          </w:p>
        </w:tc>
        <w:tc>
          <w:tcPr>
            <w:tcW w:w="2409" w:type="dxa"/>
            <w:vAlign w:val="center"/>
          </w:tcPr>
          <w:p>
            <w:pPr>
              <w:jc w:val="center"/>
              <w:rPr>
                <w:rFonts w:ascii="宋体" w:hAnsi="宋体"/>
              </w:rPr>
            </w:pPr>
            <w:r>
              <w:rPr>
                <w:rFonts w:ascii="宋体" w:hAnsi="宋体" w:hint="eastAsia"/>
              </w:rPr>
              <w:t>标前会议</w:t>
            </w:r>
          </w:p>
        </w:tc>
        <w:tc>
          <w:tcPr>
            <w:tcW w:w="4980" w:type="dxa"/>
            <w:vAlign w:val="center"/>
          </w:tcPr>
          <w:p>
            <w:pPr>
              <w:jc w:val="center"/>
              <w:rPr>
                <w:rFonts w:ascii="宋体" w:hAnsi="宋体"/>
              </w:rPr>
            </w:pPr>
            <w:r>
              <w:rPr>
                <w:rFonts w:ascii="宋体" w:hAnsi="宋体" w:hint="eastAsia"/>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2</w:t>
            </w:r>
            <w:r>
              <w:rPr>
                <w:rFonts w:ascii="宋体" w:hAnsi="宋体"/>
              </w:rPr>
              <w:t>0</w:t>
            </w:r>
          </w:p>
        </w:tc>
        <w:tc>
          <w:tcPr>
            <w:tcW w:w="2409" w:type="dxa"/>
            <w:vAlign w:val="center"/>
          </w:tcPr>
          <w:p>
            <w:pPr>
              <w:jc w:val="center"/>
              <w:rPr>
                <w:rFonts w:ascii="宋体" w:hAnsi="宋体"/>
              </w:rPr>
            </w:pPr>
            <w:r>
              <w:rPr>
                <w:rFonts w:ascii="宋体" w:hAnsi="宋体" w:hint="eastAsia"/>
              </w:rPr>
              <w:t>投标有效期</w:t>
            </w:r>
          </w:p>
        </w:tc>
        <w:tc>
          <w:tcPr>
            <w:tcW w:w="4980" w:type="dxa"/>
            <w:vAlign w:val="center"/>
          </w:tcPr>
          <w:p>
            <w:pPr>
              <w:jc w:val="center"/>
              <w:rPr>
                <w:rFonts w:ascii="宋体" w:hAnsi="宋体"/>
              </w:rPr>
            </w:pPr>
            <w:r>
              <w:rPr>
                <w:rFonts w:ascii="宋体" w:hAnsi="宋体" w:hint="eastAsia"/>
              </w:rPr>
              <w:t>1</w:t>
            </w:r>
            <w:r>
              <w:rPr>
                <w:rFonts w:ascii="宋体" w:hAnsi="宋体"/>
              </w:rPr>
              <w:t>20</w:t>
            </w:r>
            <w:r>
              <w:rPr>
                <w:rFonts w:ascii="宋体" w:hAnsi="宋体" w:hint="eastAsia"/>
              </w:rPr>
              <w:t>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2</w:t>
            </w:r>
            <w:r>
              <w:rPr>
                <w:rFonts w:ascii="宋体" w:hAnsi="宋体"/>
              </w:rPr>
              <w:t>2</w:t>
            </w:r>
          </w:p>
        </w:tc>
        <w:tc>
          <w:tcPr>
            <w:tcW w:w="2409" w:type="dxa"/>
            <w:vAlign w:val="center"/>
          </w:tcPr>
          <w:p>
            <w:pPr>
              <w:jc w:val="center"/>
              <w:rPr>
                <w:rFonts w:ascii="宋体" w:hAnsi="宋体"/>
              </w:rPr>
            </w:pPr>
            <w:r>
              <w:rPr>
                <w:rFonts w:ascii="宋体" w:hAnsi="宋体" w:hint="eastAsia"/>
              </w:rPr>
              <w:t>投标人的替代方案</w:t>
            </w:r>
          </w:p>
        </w:tc>
        <w:tc>
          <w:tcPr>
            <w:tcW w:w="4980" w:type="dxa"/>
            <w:vAlign w:val="center"/>
          </w:tcPr>
          <w:p>
            <w:pPr>
              <w:jc w:val="center"/>
              <w:rPr>
                <w:rFonts w:ascii="宋体" w:hAnsi="宋体"/>
              </w:rPr>
            </w:pPr>
            <w:r>
              <w:rPr>
                <w:rFonts w:ascii="宋体" w:hAnsi="宋体" w:hint="eastAsia"/>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2</w:t>
            </w:r>
            <w:r>
              <w:rPr>
                <w:rFonts w:ascii="宋体" w:hAnsi="宋体"/>
              </w:rPr>
              <w:t>5</w:t>
            </w:r>
          </w:p>
        </w:tc>
        <w:tc>
          <w:tcPr>
            <w:tcW w:w="2409" w:type="dxa"/>
            <w:vAlign w:val="center"/>
          </w:tcPr>
          <w:p>
            <w:pPr>
              <w:jc w:val="center"/>
              <w:rPr>
                <w:rFonts w:ascii="宋体" w:hAnsi="宋体"/>
              </w:rPr>
            </w:pPr>
            <w:r>
              <w:rPr>
                <w:rFonts w:ascii="宋体" w:hAnsi="宋体" w:hint="eastAsia"/>
              </w:rPr>
              <w:t>投标文件的大小</w:t>
            </w:r>
          </w:p>
        </w:tc>
        <w:tc>
          <w:tcPr>
            <w:tcW w:w="4980" w:type="dxa"/>
            <w:vAlign w:val="center"/>
          </w:tcPr>
          <w:p>
            <w:pPr>
              <w:jc w:val="center"/>
              <w:rPr>
                <w:rFonts w:ascii="宋体" w:hAnsi="宋体"/>
              </w:rPr>
            </w:pPr>
            <w:r>
              <w:rPr>
                <w:rFonts w:ascii="宋体" w:hAnsi="宋体" w:hint="eastAsia"/>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2</w:t>
            </w:r>
            <w:r>
              <w:rPr>
                <w:rFonts w:ascii="宋体" w:hAnsi="宋体"/>
              </w:rPr>
              <w:t>6</w:t>
            </w:r>
          </w:p>
        </w:tc>
        <w:tc>
          <w:tcPr>
            <w:tcW w:w="2409" w:type="dxa"/>
            <w:vAlign w:val="center"/>
          </w:tcPr>
          <w:p>
            <w:pPr>
              <w:jc w:val="center"/>
              <w:rPr>
                <w:rFonts w:ascii="宋体" w:hAnsi="宋体"/>
              </w:rPr>
            </w:pPr>
            <w:bookmarkStart w:id="34" w:name="_Hlk71664860"/>
            <w:r>
              <w:rPr>
                <w:rFonts w:ascii="宋体" w:hAnsi="宋体" w:hint="eastAsia"/>
              </w:rPr>
              <w:t>样品、现场演示、方案讲解</w:t>
            </w:r>
            <w:bookmarkEnd w:id="34"/>
          </w:p>
        </w:tc>
        <w:tc>
          <w:tcPr>
            <w:tcW w:w="4980" w:type="dxa"/>
            <w:vAlign w:val="center"/>
          </w:tcPr>
          <w:p>
            <w:pPr>
              <w:jc w:val="center"/>
              <w:rPr>
                <w:rFonts w:ascii="宋体" w:hAnsi="宋体"/>
              </w:rPr>
            </w:pPr>
            <w:r>
              <w:rPr>
                <w:rFonts w:ascii="宋体" w:hAnsi="宋体" w:hint="eastAsia"/>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3</w:t>
            </w:r>
            <w:r>
              <w:rPr>
                <w:rFonts w:ascii="宋体" w:hAnsi="宋体"/>
              </w:rPr>
              <w:t>7</w:t>
            </w:r>
          </w:p>
        </w:tc>
        <w:tc>
          <w:tcPr>
            <w:tcW w:w="2409" w:type="dxa"/>
            <w:vAlign w:val="center"/>
          </w:tcPr>
          <w:p>
            <w:pPr>
              <w:jc w:val="center"/>
              <w:rPr>
                <w:rFonts w:ascii="宋体" w:hAnsi="宋体"/>
              </w:rPr>
            </w:pPr>
            <w:r>
              <w:rPr>
                <w:rFonts w:ascii="宋体" w:hAnsi="宋体" w:hint="eastAsia"/>
              </w:rPr>
              <w:t>评审方法</w:t>
            </w:r>
          </w:p>
        </w:tc>
        <w:tc>
          <w:tcPr>
            <w:tcW w:w="4980" w:type="dxa"/>
            <w:vAlign w:val="center"/>
          </w:tcPr>
          <w:p>
            <w:pPr>
              <w:jc w:val="center"/>
              <w:rPr>
                <w:rFonts w:ascii="宋体" w:hAnsi="宋体"/>
              </w:rPr>
            </w:pPr>
            <w:r>
              <w:rPr>
                <w:rFonts w:ascii="宋体" w:hAnsi="宋体" w:hint="eastAsia"/>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3</w:t>
            </w:r>
            <w:r>
              <w:rPr>
                <w:rFonts w:ascii="宋体" w:hAnsi="宋体"/>
              </w:rPr>
              <w:t>8</w:t>
            </w:r>
          </w:p>
        </w:tc>
        <w:tc>
          <w:tcPr>
            <w:tcW w:w="2409" w:type="dxa"/>
            <w:vAlign w:val="center"/>
          </w:tcPr>
          <w:p>
            <w:pPr>
              <w:jc w:val="center"/>
              <w:rPr>
                <w:rFonts w:ascii="宋体" w:hAnsi="宋体"/>
              </w:rPr>
            </w:pPr>
            <w:r>
              <w:rPr>
                <w:rFonts w:ascii="宋体" w:hAnsi="宋体" w:hint="eastAsia"/>
              </w:rPr>
              <w:t>定标方法</w:t>
            </w:r>
          </w:p>
        </w:tc>
        <w:tc>
          <w:tcPr>
            <w:tcW w:w="4980" w:type="dxa"/>
            <w:vAlign w:val="center"/>
          </w:tcPr>
          <w:p>
            <w:pPr>
              <w:jc w:val="center"/>
              <w:rPr>
                <w:rFonts w:ascii="宋体" w:hAnsi="宋体"/>
              </w:rPr>
            </w:pPr>
            <w:r>
              <w:rPr>
                <w:rFonts w:ascii="宋体" w:hAnsi="宋体" w:hint="eastAsia"/>
              </w:rPr>
              <w:t>非评定分离</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rPr>
            </w:pPr>
            <w:r>
              <w:rPr>
                <w:rFonts w:ascii="宋体" w:hAnsi="宋体" w:hint="eastAsia"/>
              </w:rPr>
              <w:t>4</w:t>
            </w:r>
            <w:r>
              <w:rPr>
                <w:rFonts w:ascii="宋体" w:hAnsi="宋体"/>
              </w:rPr>
              <w:t>6</w:t>
            </w:r>
          </w:p>
        </w:tc>
        <w:tc>
          <w:tcPr>
            <w:tcW w:w="2409" w:type="dxa"/>
            <w:vAlign w:val="center"/>
          </w:tcPr>
          <w:p>
            <w:pPr>
              <w:jc w:val="center"/>
              <w:rPr>
                <w:rFonts w:ascii="宋体" w:hAnsi="宋体"/>
              </w:rPr>
            </w:pPr>
            <w:r>
              <w:rPr>
                <w:rFonts w:ascii="宋体" w:hAnsi="宋体" w:hint="eastAsia"/>
              </w:rPr>
              <w:t>履约担保</w:t>
            </w:r>
          </w:p>
        </w:tc>
        <w:tc>
          <w:tcPr>
            <w:tcW w:w="4980" w:type="dxa"/>
            <w:vAlign w:val="center"/>
          </w:tcPr>
          <w:p>
            <w:pPr>
              <w:jc w:val="center"/>
              <w:rPr>
                <w:rFonts w:ascii="宋体" w:hAnsi="宋体"/>
              </w:rPr>
            </w:pPr>
            <w:r>
              <w:rPr>
                <w:rFonts w:ascii="宋体" w:hAnsi="宋体" w:hint="eastAsia"/>
              </w:rPr>
              <w:t>无</w:t>
            </w:r>
          </w:p>
        </w:tc>
      </w:tr>
    </w:tbl>
    <w:p>
      <w:pPr>
        <w:rPr>
          <w:b/>
        </w:rPr>
      </w:pPr>
      <w:r>
        <w:rPr>
          <w:rFonts w:hint="eastAsia"/>
          <w:szCs w:val="21"/>
        </w:rPr>
        <w:t>备注：本表是通用条款相关条款的补充和明确，如与通用条款内容相冲突的，以本表为准。</w:t>
      </w:r>
    </w:p>
    <w:p>
      <w:pPr>
        <w:pStyle w:val="Heading3"/>
        <w:spacing w:before="120" w:beforeLines="50" w:after="120" w:afterLines="50"/>
        <w:rPr>
          <w:szCs w:val="24"/>
        </w:rPr>
      </w:pPr>
      <w:bookmarkEnd w:id="33"/>
      <w:bookmarkStart w:id="35" w:name="_Hlk72218117"/>
      <w:r>
        <w:rPr>
          <w:rFonts w:hint="eastAsia"/>
          <w:szCs w:val="24"/>
        </w:rPr>
        <w:t>二、其他关键信息</w:t>
      </w:r>
    </w:p>
    <w:p>
      <w:pPr>
        <w:ind w:firstLine="480" w:firstLineChars="200"/>
        <w:rPr>
          <w:rFonts w:ascii="仿宋" w:eastAsia="仿宋" w:hAnsi="仿宋" w:cs="仿宋"/>
          <w:b/>
        </w:rPr>
      </w:pPr>
      <w:bookmarkStart w:id="36" w:name="_Hlk72579427"/>
      <w:r>
        <w:rPr>
          <w:rFonts w:hint="eastAsia"/>
          <w:b/>
          <w:bCs/>
        </w:rPr>
        <w:t>（一）评标定标信息</w:t>
      </w:r>
    </w:p>
    <w:p>
      <w:pPr>
        <w:ind w:firstLine="480" w:firstLineChars="200"/>
        <w:rPr>
          <w:rFonts w:ascii="仿宋" w:eastAsia="仿宋" w:hAnsi="仿宋" w:cs="仿宋"/>
        </w:rPr>
      </w:pPr>
      <w:r>
        <w:rPr>
          <w:rFonts w:ascii="仿宋" w:eastAsia="仿宋" w:hAnsi="仿宋" w:cs="仿宋" w:hint="eastAsia"/>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p>
      <w:pPr>
        <w:ind w:firstLine="480" w:firstLineChars="200"/>
        <w:rPr>
          <w:rFonts w:ascii="仿宋" w:eastAsia="仿宋" w:hAnsi="仿宋" w:cs="仿宋"/>
        </w:rPr>
      </w:pPr>
      <w:r>
        <w:rPr>
          <w:rFonts w:ascii="仿宋" w:eastAsia="仿宋" w:hAnsi="仿宋" w:cs="仿宋" w:hint="eastAsia"/>
        </w:rPr>
        <w:t>评审委员会对每个通过资格性检查和符合性检查且报价不超过最高限价的投标人进行评审、打分，然后汇总每个投标人每项评分因素的评分。</w:t>
      </w:r>
    </w:p>
    <w:p>
      <w:pPr>
        <w:ind w:firstLine="480" w:firstLineChars="200"/>
        <w:rPr>
          <w:rFonts w:ascii="仿宋" w:eastAsia="仿宋" w:hAnsi="仿宋" w:cs="仿宋"/>
        </w:rPr>
      </w:pPr>
      <w:r>
        <w:rPr>
          <w:rFonts w:ascii="仿宋" w:eastAsia="仿宋" w:hAnsi="仿宋" w:cs="仿宋" w:hint="eastAsia"/>
        </w:rPr>
        <w:t>评委会在评审时，按照以下量化的评审因素，对进入该阶段评审的各投标文件进行分析和比较：详见《评分细则表》</w:t>
      </w:r>
    </w:p>
    <w:p>
      <w:pPr>
        <w:ind w:firstLine="480" w:firstLineChars="200"/>
        <w:rPr>
          <w:b/>
          <w:bCs/>
        </w:rPr>
      </w:pPr>
      <w:r>
        <w:rPr>
          <w:rFonts w:hint="eastAsia"/>
          <w:b/>
          <w:bCs/>
        </w:rPr>
        <w:t>（一）评标定标信息</w:t>
      </w:r>
    </w:p>
    <w:p>
      <w:pPr>
        <w:jc w:val="center"/>
        <w:rPr>
          <w:b/>
        </w:rPr>
      </w:pPr>
    </w:p>
    <w:p>
      <w:pPr>
        <w:jc w:val="center"/>
        <w:rPr>
          <w:b/>
        </w:rPr>
      </w:pPr>
      <w:r>
        <w:rPr>
          <w:rFonts w:hint="eastAsia"/>
          <w:b/>
        </w:rPr>
        <w:t>（1）</w:t>
      </w:r>
      <w:r>
        <w:rPr>
          <w:rFonts w:eastAsia="宋体" w:hint="eastAsia"/>
          <w:b/>
        </w:rPr>
        <w:t>非</w:t>
      </w:r>
      <w:r>
        <w:rPr>
          <w:rFonts w:hint="eastAsia"/>
          <w:b/>
        </w:rPr>
        <w:t>评定分离项目</w:t>
      </w:r>
    </w:p>
    <w:tbl>
      <w:tblPr>
        <w:tblStyle w:val="TableGrid"/>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Pr>
          <w:p>
            <w:pPr>
              <w:widowControl w:val="0"/>
              <w:jc w:val="center"/>
            </w:pPr>
            <w:r>
              <w:rPr>
                <w:rFonts w:hint="eastAsia"/>
              </w:rPr>
              <w:t>评标方法</w:t>
            </w:r>
          </w:p>
        </w:tc>
        <w:tc>
          <w:tcPr>
            <w:tcW w:w="4265" w:type="dxa"/>
          </w:tcPr>
          <w:p>
            <w:pPr>
              <w:widowControl w:val="0"/>
              <w:jc w:val="center"/>
            </w:pPr>
            <w:r>
              <w:rPr>
                <w:rFonts w:hint="eastAsia"/>
              </w:rPr>
              <w:t>综合评分法</w:t>
            </w:r>
          </w:p>
        </w:tc>
      </w:tr>
      <w:tr>
        <w:tblPrEx>
          <w:tblW w:w="8529" w:type="dxa"/>
          <w:tblInd w:w="0" w:type="dxa"/>
          <w:tblLayout w:type="fixed"/>
          <w:tblCellMar>
            <w:top w:w="0" w:type="dxa"/>
            <w:left w:w="108" w:type="dxa"/>
            <w:bottom w:w="0" w:type="dxa"/>
            <w:right w:w="108" w:type="dxa"/>
          </w:tblCellMar>
        </w:tblPrEx>
        <w:tc>
          <w:tcPr>
            <w:tcW w:w="4264" w:type="dxa"/>
          </w:tcPr>
          <w:p>
            <w:pPr>
              <w:widowControl w:val="0"/>
              <w:jc w:val="center"/>
            </w:pPr>
            <w:r>
              <w:rPr>
                <w:rFonts w:hint="eastAsia"/>
              </w:rPr>
              <w:t>中标供应商家数</w:t>
            </w:r>
          </w:p>
        </w:tc>
        <w:tc>
          <w:tcPr>
            <w:tcW w:w="4265" w:type="dxa"/>
          </w:tcPr>
          <w:p>
            <w:pPr>
              <w:widowControl w:val="0"/>
              <w:jc w:val="center"/>
            </w:pPr>
            <w:r>
              <w:rPr>
                <w:rFonts w:hint="eastAsia"/>
              </w:rPr>
              <w:t>1</w:t>
            </w:r>
          </w:p>
        </w:tc>
      </w:tr>
    </w:tbl>
    <w:p>
      <w:pPr>
        <w:jc w:val="center"/>
        <w:rPr>
          <w:b/>
        </w:rPr>
      </w:pPr>
    </w:p>
    <w:p>
      <w:pPr>
        <w:rPr>
          <w:b/>
        </w:rPr>
      </w:pPr>
    </w:p>
    <w:p>
      <w:pPr>
        <w:ind w:firstLine="480" w:firstLineChars="200"/>
        <w:rPr>
          <w:b/>
        </w:rPr>
      </w:pPr>
      <w:r>
        <w:rPr>
          <w:rFonts w:hint="eastAsia"/>
          <w:b/>
        </w:rPr>
        <w:t>（二）其他事项</w:t>
      </w:r>
      <w:bookmarkEnd w:id="36"/>
    </w:p>
    <w:p>
      <w:pPr>
        <w:ind w:firstLine="480" w:firstLineChars="200"/>
        <w:rPr>
          <w:b/>
          <w:bCs/>
        </w:rPr>
      </w:pPr>
      <w:r>
        <w:rPr>
          <w:b/>
          <w:bCs/>
        </w:rPr>
        <w:t>1</w:t>
      </w:r>
      <w:r>
        <w:rPr>
          <w:rFonts w:hint="eastAsia"/>
          <w:b/>
          <w:bCs/>
        </w:rPr>
        <w:t>、关于享受优惠政策的主体及价格扣除比例</w:t>
      </w:r>
    </w:p>
    <w:p>
      <w:pPr>
        <w:ind w:firstLine="480" w:firstLineChars="200"/>
      </w:pPr>
      <w:r>
        <w:rPr>
          <w:rFonts w:hint="eastAsia"/>
        </w:rPr>
        <w:t>（1）投标人提供的货物（以招标文件用户需求书“货物清单明细”的“货物名称”一栏为准）全部均由优惠主体制造，则对其投标总价给予</w:t>
      </w:r>
      <w:r>
        <w:rPr>
          <w:color w:val="FF0000"/>
          <w:u w:val="single"/>
        </w:rPr>
        <w:t xml:space="preserve">  </w:t>
      </w:r>
      <w:r>
        <w:rPr>
          <w:rFonts w:hint="eastAsia"/>
          <w:color w:val="FF0000"/>
          <w:u w:val="single"/>
        </w:rPr>
        <w:t>10</w:t>
      </w:r>
      <w:r>
        <w:rPr>
          <w:color w:val="FF0000"/>
          <w:u w:val="single"/>
        </w:rPr>
        <w:t xml:space="preserve">  %</w:t>
      </w:r>
      <w:r>
        <w:rPr>
          <w:rFonts w:hint="eastAsia"/>
        </w:rPr>
        <w:t>的扣除，用扣除后的价格参与评审。满足多项优惠政策的企业，不重复享受多项价格扣除政策。</w:t>
      </w:r>
    </w:p>
    <w:p>
      <w:pPr>
        <w:ind w:firstLine="480" w:firstLineChars="200"/>
      </w:pPr>
      <w:r>
        <w:rPr>
          <w:rFonts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优惠主体制造是指货物由优惠主体生产且使用该优惠主体商号或者注册商标；投标人提供的货物既有优惠主体制造货物，又有非优惠主体制造货物的，不给予价格扣除。</w:t>
      </w:r>
    </w:p>
    <w:p>
      <w:pPr>
        <w:ind w:firstLine="480" w:firstLineChars="200"/>
        <w:rPr>
          <w:highlight w:val="yellow"/>
        </w:rPr>
      </w:pPr>
      <w:r>
        <w:rPr>
          <w:rFonts w:hint="eastAsia"/>
        </w:rPr>
        <w:t>（2）根据</w:t>
      </w:r>
      <w:r>
        <w:rPr>
          <w:rFonts w:hint="eastAsia"/>
          <w:szCs w:val="22"/>
        </w:rPr>
        <w:t>《工业和信息化部、国家统计局、国家发展和改革委员会、财政部关于印发中小企业划型标准规定的通知》（工信部联企业〔2011〕300 号）</w:t>
      </w:r>
      <w:r>
        <w:rPr>
          <w:rFonts w:hint="eastAsia"/>
        </w:rPr>
        <w:t>，</w:t>
      </w:r>
      <w:bookmarkStart w:id="37" w:name="_Hlk71970739"/>
      <w:r>
        <w:rPr>
          <w:rFonts w:hint="eastAsia"/>
        </w:rPr>
        <w:t>本项目</w:t>
      </w:r>
      <w:bookmarkStart w:id="38" w:name="_Hlk71924718"/>
      <w:r>
        <w:rPr>
          <w:rFonts w:hint="eastAsia"/>
        </w:rPr>
        <w:t>采购标的（货物）对应的中小企业划分标准所属行业</w:t>
      </w:r>
      <w:bookmarkEnd w:id="38"/>
      <w:r>
        <w:rPr>
          <w:rFonts w:hint="eastAsia"/>
        </w:rPr>
        <w:t>为</w:t>
      </w:r>
      <w:r>
        <w:rPr>
          <w:rFonts w:hint="eastAsia"/>
          <w:highlight w:val="yellow"/>
          <w:u w:val="single"/>
        </w:rPr>
        <w:t>制造业或批发和零售业</w:t>
      </w:r>
      <w:r>
        <w:rPr>
          <w:rFonts w:hint="eastAsia"/>
          <w:highlight w:val="yellow"/>
        </w:rPr>
        <w:t>。</w:t>
      </w:r>
      <w:bookmarkEnd w:id="37"/>
    </w:p>
    <w:p>
      <w:pPr>
        <w:ind w:firstLine="480" w:firstLineChars="200"/>
      </w:pPr>
      <w:r>
        <w:rPr>
          <w:rFonts w:hint="eastAsia"/>
        </w:rPr>
        <w:t>（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三章“投标文件格式、附件”中“四、投标人情况及资格证明文件”章节提供的格式）。</w:t>
      </w:r>
    </w:p>
    <w:p>
      <w:pPr>
        <w:ind w:firstLine="480" w:firstLineChars="200"/>
        <w:rPr>
          <w:rFonts w:ascii="仿宋" w:eastAsia="仿宋" w:hAnsi="仿宋"/>
          <w:sz w:val="28"/>
          <w:szCs w:val="28"/>
        </w:rPr>
      </w:pPr>
      <w:r>
        <w:rPr>
          <w:rFonts w:hint="eastAsia"/>
        </w:rPr>
        <w:t>（4）享受价格扣除获得政府采购合同的，小微企业不得将合同分包给大中型企业。</w:t>
      </w:r>
    </w:p>
    <w:p>
      <w:pPr>
        <w:rPr>
          <w:b/>
        </w:rPr>
      </w:pPr>
    </w:p>
    <w:p>
      <w:pPr>
        <w:rPr>
          <w:b/>
        </w:rPr>
      </w:pPr>
    </w:p>
    <w:p>
      <w:pPr>
        <w:pStyle w:val="Heading2"/>
        <w:rPr>
          <w:sz w:val="28"/>
          <w:szCs w:val="28"/>
        </w:rPr>
      </w:pPr>
      <w:bookmarkEnd w:id="35"/>
      <w:r>
        <w:rPr>
          <w:rFonts w:hint="eastAsia"/>
          <w:sz w:val="28"/>
          <w:szCs w:val="28"/>
        </w:rPr>
        <w:t>第三章 用户需求书</w:t>
      </w:r>
    </w:p>
    <w:p>
      <w:pPr>
        <w:pStyle w:val="Heading3"/>
        <w:spacing w:before="120" w:beforeLines="50" w:after="120" w:afterLines="50"/>
        <w:jc w:val="center"/>
        <w:rPr>
          <w:szCs w:val="24"/>
        </w:rPr>
      </w:pPr>
      <w:r>
        <w:rPr>
          <w:rFonts w:hint="eastAsia"/>
          <w:szCs w:val="24"/>
        </w:rPr>
        <w:t>一、项目基本信息</w:t>
      </w:r>
    </w:p>
    <w:tbl>
      <w:tblPr>
        <w:tblStyle w:val="TableNormal"/>
        <w:tblpPr w:leftFromText="180" w:rightFromText="180" w:vertAnchor="text" w:horzAnchor="margin" w:tblpX="-401" w:tblpY="173"/>
        <w:tblW w:w="97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30"/>
        <w:gridCol w:w="2110"/>
        <w:gridCol w:w="1762"/>
        <w:gridCol w:w="1200"/>
        <w:gridCol w:w="2096"/>
        <w:gridCol w:w="1782"/>
      </w:tblGrid>
      <w:tr>
        <w:tblPrEx>
          <w:tblW w:w="97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0"/>
        </w:trPr>
        <w:tc>
          <w:tcPr>
            <w:tcW w:w="830" w:type="dxa"/>
            <w:vAlign w:val="center"/>
          </w:tcPr>
          <w:p>
            <w:pPr>
              <w:jc w:val="center"/>
              <w:rPr>
                <w:rFonts w:hint="eastAsia"/>
                <w:bCs/>
                <w:szCs w:val="21"/>
              </w:rPr>
            </w:pPr>
            <w:r>
              <w:rPr>
                <w:rFonts w:hint="eastAsia"/>
                <w:bCs/>
                <w:szCs w:val="21"/>
              </w:rPr>
              <w:t>序号</w:t>
            </w:r>
          </w:p>
        </w:tc>
        <w:tc>
          <w:tcPr>
            <w:tcW w:w="2110" w:type="dxa"/>
            <w:vAlign w:val="center"/>
          </w:tcPr>
          <w:p>
            <w:pPr>
              <w:jc w:val="center"/>
              <w:rPr>
                <w:rFonts w:eastAsia="宋体" w:hint="default"/>
                <w:bCs/>
                <w:szCs w:val="21"/>
                <w:lang w:val="en-US" w:eastAsia="zh-CN"/>
              </w:rPr>
            </w:pPr>
            <w:r>
              <w:rPr>
                <w:rFonts w:eastAsia="宋体" w:hint="eastAsia"/>
                <w:bCs/>
                <w:szCs w:val="21"/>
                <w:lang w:val="en-US" w:eastAsia="zh-CN"/>
              </w:rPr>
              <w:t>采购计划编号</w:t>
            </w:r>
          </w:p>
        </w:tc>
        <w:tc>
          <w:tcPr>
            <w:tcW w:w="1762" w:type="dxa"/>
            <w:vAlign w:val="center"/>
          </w:tcPr>
          <w:p>
            <w:pPr>
              <w:jc w:val="center"/>
              <w:rPr>
                <w:bCs/>
                <w:szCs w:val="21"/>
              </w:rPr>
            </w:pPr>
            <w:r>
              <w:rPr>
                <w:rFonts w:hint="eastAsia"/>
                <w:bCs/>
                <w:szCs w:val="21"/>
              </w:rPr>
              <w:t>采购项目名称</w:t>
            </w:r>
          </w:p>
        </w:tc>
        <w:tc>
          <w:tcPr>
            <w:tcW w:w="1200" w:type="dxa"/>
            <w:vAlign w:val="center"/>
          </w:tcPr>
          <w:p>
            <w:pPr>
              <w:jc w:val="center"/>
              <w:rPr>
                <w:rFonts w:eastAsia="宋体"/>
                <w:szCs w:val="21"/>
              </w:rPr>
            </w:pPr>
            <w:r>
              <w:rPr>
                <w:rFonts w:eastAsia="宋体" w:hint="eastAsia"/>
                <w:szCs w:val="21"/>
              </w:rPr>
              <w:t>数量单位</w:t>
            </w:r>
          </w:p>
        </w:tc>
        <w:tc>
          <w:tcPr>
            <w:tcW w:w="2096" w:type="dxa"/>
            <w:vAlign w:val="center"/>
          </w:tcPr>
          <w:p>
            <w:pPr>
              <w:jc w:val="center"/>
              <w:rPr>
                <w:szCs w:val="21"/>
              </w:rPr>
            </w:pPr>
            <w:r>
              <w:rPr>
                <w:rFonts w:hint="eastAsia"/>
                <w:szCs w:val="21"/>
              </w:rPr>
              <w:t>财政预算限额（元）</w:t>
            </w:r>
          </w:p>
        </w:tc>
        <w:tc>
          <w:tcPr>
            <w:tcW w:w="1782" w:type="dxa"/>
            <w:vAlign w:val="center"/>
          </w:tcPr>
          <w:p>
            <w:pPr>
              <w:jc w:val="center"/>
              <w:rPr>
                <w:rFonts w:eastAsia="宋体"/>
                <w:b/>
                <w:bCs/>
                <w:szCs w:val="21"/>
              </w:rPr>
            </w:pPr>
            <w:r>
              <w:rPr>
                <w:rFonts w:eastAsia="宋体" w:hint="eastAsia"/>
                <w:b/>
                <w:bCs/>
                <w:szCs w:val="21"/>
              </w:rPr>
              <w:t>备注</w:t>
            </w:r>
          </w:p>
        </w:tc>
      </w:tr>
      <w:tr>
        <w:tblPrEx>
          <w:tblW w:w="9780" w:type="dxa"/>
          <w:tblInd w:w="0" w:type="dxa"/>
          <w:tblLayout w:type="fixed"/>
          <w:tblCellMar>
            <w:top w:w="0" w:type="dxa"/>
            <w:left w:w="108" w:type="dxa"/>
            <w:bottom w:w="0" w:type="dxa"/>
            <w:right w:w="108" w:type="dxa"/>
          </w:tblCellMar>
        </w:tblPrEx>
        <w:trPr>
          <w:trHeight w:val="979"/>
        </w:trPr>
        <w:tc>
          <w:tcPr>
            <w:tcW w:w="830" w:type="dxa"/>
            <w:vAlign w:val="center"/>
          </w:tcPr>
          <w:p>
            <w:pPr>
              <w:jc w:val="center"/>
              <w:rPr>
                <w:rFonts w:hint="eastAsia"/>
                <w:bCs/>
                <w:szCs w:val="21"/>
              </w:rPr>
            </w:pPr>
            <w:r>
              <w:rPr>
                <w:rFonts w:hint="eastAsia"/>
                <w:bCs/>
                <w:szCs w:val="21"/>
              </w:rPr>
              <w:t>1</w:t>
            </w:r>
          </w:p>
        </w:tc>
        <w:tc>
          <w:tcPr>
            <w:tcW w:w="2110" w:type="dxa"/>
            <w:vAlign w:val="center"/>
          </w:tcPr>
          <w:p>
            <w:pPr>
              <w:jc w:val="center"/>
              <w:rPr>
                <w:bCs/>
                <w:color w:val="FF0000"/>
                <w:szCs w:val="21"/>
              </w:rPr>
            </w:pPr>
            <w:r>
              <w:rPr>
                <w:rFonts w:eastAsia="宋体" w:hint="eastAsia"/>
                <w:b w:val="0"/>
                <w:bCs w:val="0"/>
                <w:szCs w:val="21"/>
                <w:lang w:eastAsia="zh-CN"/>
              </w:rPr>
              <w:t>PLAN-2022-440300000-118021-09921</w:t>
            </w:r>
          </w:p>
        </w:tc>
        <w:tc>
          <w:tcPr>
            <w:tcW w:w="1762" w:type="dxa"/>
            <w:vAlign w:val="center"/>
          </w:tcPr>
          <w:p>
            <w:pPr>
              <w:jc w:val="center"/>
              <w:rPr>
                <w:rFonts w:eastAsia="宋体" w:hint="eastAsia"/>
                <w:b/>
                <w:bCs/>
                <w:szCs w:val="21"/>
                <w:lang w:eastAsia="zh-CN"/>
              </w:rPr>
            </w:pPr>
            <w:r>
              <w:rPr>
                <w:rFonts w:eastAsia="宋体" w:hint="eastAsia"/>
                <w:b w:val="0"/>
                <w:bCs w:val="0"/>
                <w:szCs w:val="21"/>
                <w:lang w:eastAsia="zh-CN"/>
              </w:rPr>
              <w:t>药品调配系统（全自动智能发药系统和常嘱处方调配系统）</w:t>
            </w:r>
          </w:p>
        </w:tc>
        <w:tc>
          <w:tcPr>
            <w:tcW w:w="1200" w:type="dxa"/>
            <w:vAlign w:val="center"/>
          </w:tcPr>
          <w:p>
            <w:pPr>
              <w:jc w:val="center"/>
              <w:rPr>
                <w:rFonts w:ascii="宋体" w:eastAsia="宋体" w:hAnsi="宋体" w:cs="宋体"/>
                <w:bCs/>
                <w:szCs w:val="21"/>
              </w:rPr>
            </w:pPr>
            <w:r>
              <w:rPr>
                <w:rFonts w:ascii="宋体" w:eastAsia="宋体" w:hAnsi="宋体" w:cs="宋体" w:hint="eastAsia"/>
                <w:bCs/>
                <w:szCs w:val="21"/>
              </w:rPr>
              <w:t>1套</w:t>
            </w:r>
          </w:p>
        </w:tc>
        <w:tc>
          <w:tcPr>
            <w:tcW w:w="2096" w:type="dxa"/>
            <w:vAlign w:val="center"/>
          </w:tcPr>
          <w:p>
            <w:pPr>
              <w:jc w:val="center"/>
              <w:rPr>
                <w:rFonts w:eastAsia="宋体"/>
                <w:bCs/>
                <w:szCs w:val="21"/>
              </w:rPr>
            </w:pPr>
            <w:r>
              <w:rPr>
                <w:rFonts w:ascii="宋体" w:eastAsia="宋体" w:hAnsi="宋体" w:cs="宋体" w:hint="eastAsia"/>
                <w:bCs/>
                <w:szCs w:val="21"/>
              </w:rPr>
              <w:t>4,000,000.00</w:t>
            </w:r>
          </w:p>
        </w:tc>
        <w:tc>
          <w:tcPr>
            <w:tcW w:w="1782" w:type="dxa"/>
            <w:vAlign w:val="center"/>
          </w:tcPr>
          <w:p>
            <w:pPr>
              <w:jc w:val="center"/>
              <w:rPr>
                <w:rFonts w:eastAsia="宋体"/>
                <w:szCs w:val="21"/>
              </w:rPr>
            </w:pPr>
            <w:r>
              <w:rPr>
                <w:szCs w:val="21"/>
              </w:rPr>
              <w:t>拒绝进口</w:t>
            </w:r>
          </w:p>
        </w:tc>
      </w:tr>
    </w:tbl>
    <w:p>
      <w:pPr>
        <w:rPr>
          <w:rFonts w:ascii="宋体" w:hAnsi="宋体"/>
          <w:b/>
          <w:color w:val="FF0000"/>
          <w:szCs w:val="21"/>
        </w:rPr>
      </w:pPr>
    </w:p>
    <w:p>
      <w:pPr>
        <w:keepNext/>
        <w:keepLines/>
        <w:adjustRightInd w:val="0"/>
        <w:spacing w:before="120" w:beforeLines="50" w:after="120" w:afterLines="50"/>
        <w:textAlignment w:val="baseline"/>
      </w:pPr>
      <w:bookmarkStart w:id="39" w:name="_Hlk72258617"/>
    </w:p>
    <w:p>
      <w:pPr>
        <w:pStyle w:val="Heading3"/>
        <w:numPr>
          <w:ilvl w:val="0"/>
          <w:numId w:val="1"/>
        </w:numPr>
        <w:spacing w:before="120" w:beforeLines="50" w:after="120" w:afterLines="50"/>
        <w:jc w:val="center"/>
        <w:rPr>
          <w:szCs w:val="24"/>
        </w:rPr>
      </w:pPr>
      <w:bookmarkStart w:id="40" w:name="_Hlk72073432"/>
      <w:r>
        <w:rPr>
          <w:rFonts w:hint="eastAsia"/>
          <w:szCs w:val="24"/>
        </w:rPr>
        <w:t>货物需求明细</w:t>
      </w:r>
      <w:bookmarkEnd w:id="40"/>
    </w:p>
    <w:tbl>
      <w:tblPr>
        <w:tblStyle w:val="TableGrid"/>
        <w:tblpPr w:leftFromText="180" w:rightFromText="180" w:vertAnchor="text" w:horzAnchor="page" w:tblpX="1412" w:tblpY="423"/>
        <w:tblOverlap w:val="never"/>
        <w:tblW w:w="893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73"/>
        <w:gridCol w:w="2275"/>
        <w:gridCol w:w="876"/>
        <w:gridCol w:w="1087"/>
        <w:gridCol w:w="2058"/>
        <w:gridCol w:w="1764"/>
      </w:tblGrid>
      <w:tr>
        <w:tblPrEx>
          <w:tblW w:w="893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93"/>
        </w:trPr>
        <w:tc>
          <w:tcPr>
            <w:tcW w:w="873" w:type="dxa"/>
            <w:vAlign w:val="center"/>
          </w:tcPr>
          <w:p>
            <w:pPr>
              <w:widowControl/>
              <w:jc w:val="center"/>
              <w:rPr>
                <w:rFonts w:ascii="宋体" w:eastAsia="宋体" w:hAnsi="宋体" w:cs="宋体"/>
                <w:b/>
              </w:rPr>
            </w:pPr>
            <w:r>
              <w:rPr>
                <w:rFonts w:ascii="宋体" w:eastAsia="宋体" w:hAnsi="宋体" w:cs="宋体" w:hint="eastAsia"/>
                <w:b/>
              </w:rPr>
              <w:t>序号</w:t>
            </w:r>
          </w:p>
        </w:tc>
        <w:tc>
          <w:tcPr>
            <w:tcW w:w="2275" w:type="dxa"/>
            <w:vAlign w:val="center"/>
          </w:tcPr>
          <w:p>
            <w:pPr>
              <w:widowControl w:val="0"/>
              <w:jc w:val="center"/>
              <w:rPr>
                <w:rFonts w:ascii="宋体" w:eastAsia="宋体" w:hAnsi="宋体" w:cs="宋体"/>
                <w:b/>
              </w:rPr>
            </w:pPr>
            <w:r>
              <w:rPr>
                <w:rFonts w:ascii="宋体" w:eastAsia="宋体" w:hAnsi="宋体" w:cs="宋体" w:hint="eastAsia"/>
                <w:b/>
              </w:rPr>
              <w:t>货物名称</w:t>
            </w:r>
          </w:p>
        </w:tc>
        <w:tc>
          <w:tcPr>
            <w:tcW w:w="876" w:type="dxa"/>
            <w:vAlign w:val="center"/>
          </w:tcPr>
          <w:p>
            <w:pPr>
              <w:widowControl w:val="0"/>
              <w:jc w:val="center"/>
              <w:rPr>
                <w:rFonts w:ascii="宋体" w:eastAsia="宋体" w:hAnsi="宋体" w:cs="宋体"/>
                <w:b/>
              </w:rPr>
            </w:pPr>
            <w:r>
              <w:rPr>
                <w:rFonts w:ascii="宋体" w:eastAsia="宋体" w:hAnsi="宋体" w:cs="宋体" w:hint="eastAsia"/>
                <w:b/>
              </w:rPr>
              <w:t>数量</w:t>
            </w:r>
          </w:p>
        </w:tc>
        <w:tc>
          <w:tcPr>
            <w:tcW w:w="1087" w:type="dxa"/>
            <w:vAlign w:val="center"/>
          </w:tcPr>
          <w:p>
            <w:pPr>
              <w:widowControl w:val="0"/>
              <w:jc w:val="center"/>
              <w:rPr>
                <w:rFonts w:ascii="宋体" w:eastAsia="宋体" w:hAnsi="宋体" w:cs="宋体"/>
                <w:b/>
              </w:rPr>
            </w:pPr>
            <w:r>
              <w:rPr>
                <w:rFonts w:ascii="宋体" w:eastAsia="宋体" w:hAnsi="宋体" w:cs="宋体" w:hint="eastAsia"/>
                <w:b/>
              </w:rPr>
              <w:t>单位</w:t>
            </w:r>
          </w:p>
        </w:tc>
        <w:tc>
          <w:tcPr>
            <w:tcW w:w="2058" w:type="dxa"/>
            <w:vAlign w:val="center"/>
          </w:tcPr>
          <w:p>
            <w:pPr>
              <w:widowControl w:val="0"/>
              <w:jc w:val="center"/>
              <w:rPr>
                <w:rFonts w:ascii="宋体" w:eastAsia="宋体" w:hAnsi="宋体" w:cs="宋体"/>
                <w:b/>
              </w:rPr>
            </w:pPr>
            <w:r>
              <w:rPr>
                <w:rFonts w:ascii="宋体" w:eastAsia="宋体" w:hAnsi="宋体" w:cs="宋体" w:hint="eastAsia"/>
                <w:b/>
              </w:rPr>
              <w:t>是否为核心产品</w:t>
            </w:r>
          </w:p>
        </w:tc>
        <w:tc>
          <w:tcPr>
            <w:tcW w:w="1764" w:type="dxa"/>
            <w:vAlign w:val="center"/>
          </w:tcPr>
          <w:p>
            <w:pPr>
              <w:widowControl w:val="0"/>
              <w:jc w:val="center"/>
              <w:rPr>
                <w:rFonts w:ascii="宋体" w:eastAsia="宋体" w:hAnsi="宋体" w:cs="宋体"/>
                <w:b/>
              </w:rPr>
            </w:pPr>
            <w:r>
              <w:rPr>
                <w:rFonts w:ascii="宋体" w:eastAsia="宋体" w:hAnsi="宋体" w:cs="宋体" w:hint="eastAsia"/>
                <w:b/>
              </w:rPr>
              <w:t>备注</w:t>
            </w:r>
          </w:p>
        </w:tc>
      </w:tr>
      <w:tr>
        <w:tblPrEx>
          <w:tblW w:w="8933" w:type="dxa"/>
          <w:tblInd w:w="0" w:type="dxa"/>
          <w:tblLayout w:type="fixed"/>
          <w:tblCellMar>
            <w:top w:w="0" w:type="dxa"/>
            <w:left w:w="108" w:type="dxa"/>
            <w:bottom w:w="0" w:type="dxa"/>
            <w:right w:w="108" w:type="dxa"/>
          </w:tblCellMar>
        </w:tblPrEx>
        <w:trPr>
          <w:trHeight w:val="493"/>
        </w:trPr>
        <w:tc>
          <w:tcPr>
            <w:tcW w:w="873" w:type="dxa"/>
            <w:vAlign w:val="center"/>
          </w:tcPr>
          <w:p>
            <w:pPr>
              <w:widowControl w:val="0"/>
              <w:jc w:val="center"/>
              <w:rPr>
                <w:rFonts w:ascii="宋体" w:eastAsia="宋体" w:hAnsi="宋体" w:cs="宋体"/>
              </w:rPr>
            </w:pPr>
            <w:r>
              <w:rPr>
                <w:rFonts w:ascii="宋体" w:eastAsia="宋体" w:hAnsi="宋体" w:cs="宋体" w:hint="eastAsia"/>
              </w:rPr>
              <w:t>1</w:t>
            </w:r>
          </w:p>
        </w:tc>
        <w:tc>
          <w:tcPr>
            <w:tcW w:w="2275" w:type="dxa"/>
            <w:vAlign w:val="center"/>
          </w:tcPr>
          <w:p>
            <w:pPr>
              <w:widowControl w:val="0"/>
              <w:jc w:val="center"/>
              <w:rPr>
                <w:rFonts w:ascii="宋体" w:eastAsia="宋体" w:hAnsi="宋体" w:cs="宋体"/>
              </w:rPr>
            </w:pPr>
            <w:r>
              <w:rPr>
                <w:rFonts w:ascii="宋体" w:eastAsia="宋体" w:hAnsi="宋体" w:cs="宋体" w:hint="eastAsia"/>
              </w:rPr>
              <w:t xml:space="preserve">高速发药机 </w:t>
            </w:r>
          </w:p>
        </w:tc>
        <w:tc>
          <w:tcPr>
            <w:tcW w:w="876" w:type="dxa"/>
            <w:vAlign w:val="center"/>
          </w:tcPr>
          <w:p>
            <w:pPr>
              <w:widowControl w:val="0"/>
              <w:jc w:val="center"/>
              <w:rPr>
                <w:rFonts w:ascii="宋体" w:eastAsia="宋体" w:hAnsi="宋体" w:cs="宋体"/>
              </w:rPr>
            </w:pPr>
            <w:r>
              <w:rPr>
                <w:rFonts w:ascii="宋体" w:eastAsia="宋体" w:hAnsi="宋体" w:cs="宋体" w:hint="eastAsia"/>
              </w:rPr>
              <w:t>1</w:t>
            </w:r>
          </w:p>
        </w:tc>
        <w:tc>
          <w:tcPr>
            <w:tcW w:w="1087" w:type="dxa"/>
            <w:vAlign w:val="center"/>
          </w:tcPr>
          <w:p>
            <w:pPr>
              <w:widowControl w:val="0"/>
              <w:jc w:val="center"/>
              <w:rPr>
                <w:rFonts w:ascii="宋体" w:eastAsia="宋体" w:hAnsi="宋体" w:cs="宋体"/>
              </w:rPr>
            </w:pPr>
            <w:r>
              <w:rPr>
                <w:rFonts w:ascii="宋体" w:eastAsia="宋体" w:hAnsi="宋体" w:cs="宋体" w:hint="eastAsia"/>
              </w:rPr>
              <w:t>套</w:t>
            </w:r>
          </w:p>
        </w:tc>
        <w:tc>
          <w:tcPr>
            <w:tcW w:w="2058" w:type="dxa"/>
            <w:vAlign w:val="center"/>
          </w:tcPr>
          <w:p>
            <w:pPr>
              <w:widowControl w:val="0"/>
              <w:jc w:val="center"/>
              <w:rPr>
                <w:rFonts w:ascii="宋体" w:eastAsia="宋体" w:hAnsi="宋体" w:cs="宋体"/>
              </w:rPr>
            </w:pPr>
            <w:r>
              <w:rPr>
                <w:rFonts w:ascii="宋体" w:eastAsia="宋体" w:hAnsi="宋体" w:cs="宋体" w:hint="eastAsia"/>
              </w:rPr>
              <w:t>是</w:t>
            </w:r>
          </w:p>
        </w:tc>
        <w:tc>
          <w:tcPr>
            <w:tcW w:w="1764" w:type="dxa"/>
            <w:vMerge w:val="restart"/>
            <w:vAlign w:val="center"/>
          </w:tcPr>
          <w:p>
            <w:pPr>
              <w:widowControl w:val="0"/>
              <w:jc w:val="center"/>
              <w:rPr>
                <w:rFonts w:ascii="宋体" w:eastAsia="宋体" w:hAnsi="宋体" w:cs="宋体"/>
                <w:color w:val="000000"/>
              </w:rPr>
            </w:pPr>
            <w:r>
              <w:rPr>
                <w:rFonts w:ascii="宋体" w:eastAsia="宋体" w:hAnsi="宋体" w:cs="宋体" w:hint="eastAsia"/>
                <w:color w:val="000000"/>
              </w:rPr>
              <w:t>拒绝进口</w:t>
            </w:r>
          </w:p>
        </w:tc>
      </w:tr>
      <w:tr>
        <w:tblPrEx>
          <w:tblW w:w="8933" w:type="dxa"/>
          <w:tblInd w:w="0" w:type="dxa"/>
          <w:tblLayout w:type="fixed"/>
          <w:tblCellMar>
            <w:top w:w="0" w:type="dxa"/>
            <w:left w:w="108" w:type="dxa"/>
            <w:bottom w:w="0" w:type="dxa"/>
            <w:right w:w="108" w:type="dxa"/>
          </w:tblCellMar>
        </w:tblPrEx>
        <w:trPr>
          <w:trHeight w:val="493"/>
        </w:trPr>
        <w:tc>
          <w:tcPr>
            <w:tcW w:w="873" w:type="dxa"/>
            <w:vAlign w:val="center"/>
          </w:tcPr>
          <w:p>
            <w:pPr>
              <w:widowControl w:val="0"/>
              <w:jc w:val="center"/>
              <w:rPr>
                <w:rFonts w:ascii="宋体" w:eastAsia="宋体" w:hAnsi="宋体" w:cs="宋体"/>
              </w:rPr>
            </w:pPr>
            <w:r>
              <w:rPr>
                <w:rFonts w:ascii="宋体" w:eastAsia="宋体" w:hAnsi="宋体" w:cs="宋体" w:hint="eastAsia"/>
              </w:rPr>
              <w:t>2</w:t>
            </w:r>
          </w:p>
        </w:tc>
        <w:tc>
          <w:tcPr>
            <w:tcW w:w="2275" w:type="dxa"/>
            <w:vAlign w:val="center"/>
          </w:tcPr>
          <w:p>
            <w:pPr>
              <w:widowControl w:val="0"/>
              <w:jc w:val="center"/>
              <w:rPr>
                <w:rFonts w:ascii="宋体" w:eastAsia="宋体" w:hAnsi="宋体" w:cs="宋体"/>
              </w:rPr>
            </w:pPr>
            <w:r>
              <w:rPr>
                <w:rFonts w:ascii="宋体" w:eastAsia="宋体" w:hAnsi="宋体" w:cs="宋体" w:hint="eastAsia"/>
              </w:rPr>
              <w:t xml:space="preserve">无人自助药房 </w:t>
            </w:r>
          </w:p>
        </w:tc>
        <w:tc>
          <w:tcPr>
            <w:tcW w:w="876" w:type="dxa"/>
            <w:vAlign w:val="center"/>
          </w:tcPr>
          <w:p>
            <w:pPr>
              <w:widowControl w:val="0"/>
              <w:jc w:val="center"/>
              <w:rPr>
                <w:rFonts w:ascii="宋体" w:eastAsia="宋体" w:hAnsi="宋体" w:cs="宋体"/>
              </w:rPr>
            </w:pPr>
            <w:r>
              <w:rPr>
                <w:rFonts w:ascii="宋体" w:eastAsia="宋体" w:hAnsi="宋体" w:cs="宋体" w:hint="eastAsia"/>
              </w:rPr>
              <w:t>1</w:t>
            </w:r>
          </w:p>
        </w:tc>
        <w:tc>
          <w:tcPr>
            <w:tcW w:w="1087" w:type="dxa"/>
            <w:vAlign w:val="center"/>
          </w:tcPr>
          <w:p>
            <w:pPr>
              <w:widowControl w:val="0"/>
              <w:jc w:val="center"/>
              <w:rPr>
                <w:rFonts w:ascii="宋体" w:eastAsia="宋体" w:hAnsi="宋体" w:cs="宋体"/>
              </w:rPr>
            </w:pPr>
            <w:r>
              <w:rPr>
                <w:rFonts w:ascii="宋体" w:eastAsia="宋体" w:hAnsi="宋体" w:cs="宋体" w:hint="eastAsia"/>
              </w:rPr>
              <w:t>套</w:t>
            </w:r>
          </w:p>
        </w:tc>
        <w:tc>
          <w:tcPr>
            <w:tcW w:w="2058" w:type="dxa"/>
            <w:vAlign w:val="center"/>
          </w:tcPr>
          <w:p>
            <w:pPr>
              <w:widowControl w:val="0"/>
              <w:jc w:val="center"/>
              <w:rPr>
                <w:rFonts w:ascii="宋体" w:eastAsia="宋体" w:hAnsi="宋体" w:cs="宋体" w:hint="eastAsia"/>
                <w:lang w:val="en-US" w:eastAsia="zh-CN"/>
              </w:rPr>
            </w:pPr>
            <w:r>
              <w:rPr>
                <w:rFonts w:ascii="宋体" w:eastAsia="宋体" w:hAnsi="宋体" w:cs="宋体" w:hint="eastAsia"/>
                <w:lang w:val="en-US" w:eastAsia="zh-CN"/>
              </w:rPr>
              <w:t>否</w:t>
            </w:r>
          </w:p>
        </w:tc>
        <w:tc>
          <w:tcPr>
            <w:tcW w:w="1764" w:type="dxa"/>
            <w:vMerge/>
            <w:vAlign w:val="center"/>
          </w:tcPr>
          <w:p>
            <w:pPr>
              <w:widowControl w:val="0"/>
              <w:jc w:val="center"/>
              <w:rPr>
                <w:rFonts w:ascii="宋体" w:hAnsi="宋体" w:cs="宋体"/>
                <w:color w:val="000000"/>
              </w:rPr>
            </w:pPr>
          </w:p>
        </w:tc>
      </w:tr>
      <w:tr>
        <w:tblPrEx>
          <w:tblW w:w="8933" w:type="dxa"/>
          <w:tblInd w:w="0" w:type="dxa"/>
          <w:tblLayout w:type="fixed"/>
          <w:tblCellMar>
            <w:top w:w="0" w:type="dxa"/>
            <w:left w:w="108" w:type="dxa"/>
            <w:bottom w:w="0" w:type="dxa"/>
            <w:right w:w="108" w:type="dxa"/>
          </w:tblCellMar>
        </w:tblPrEx>
        <w:trPr>
          <w:trHeight w:val="493"/>
        </w:trPr>
        <w:tc>
          <w:tcPr>
            <w:tcW w:w="873" w:type="dxa"/>
            <w:vAlign w:val="center"/>
          </w:tcPr>
          <w:p>
            <w:pPr>
              <w:widowControl w:val="0"/>
              <w:jc w:val="center"/>
              <w:rPr>
                <w:rFonts w:ascii="宋体" w:eastAsia="宋体" w:hAnsi="宋体" w:cs="宋体"/>
              </w:rPr>
            </w:pPr>
            <w:r>
              <w:rPr>
                <w:rFonts w:ascii="宋体" w:eastAsia="宋体" w:hAnsi="宋体" w:cs="宋体" w:hint="eastAsia"/>
              </w:rPr>
              <w:t>3</w:t>
            </w:r>
          </w:p>
        </w:tc>
        <w:tc>
          <w:tcPr>
            <w:tcW w:w="2275" w:type="dxa"/>
            <w:vAlign w:val="center"/>
          </w:tcPr>
          <w:p>
            <w:pPr>
              <w:widowControl w:val="0"/>
              <w:jc w:val="center"/>
              <w:rPr>
                <w:rFonts w:ascii="宋体" w:eastAsia="宋体" w:hAnsi="宋体" w:cs="宋体"/>
              </w:rPr>
            </w:pPr>
            <w:r>
              <w:rPr>
                <w:rFonts w:ascii="宋体" w:eastAsia="宋体" w:hAnsi="宋体" w:cs="宋体" w:hint="eastAsia"/>
              </w:rPr>
              <w:t xml:space="preserve">拆零分装机  </w:t>
            </w:r>
          </w:p>
        </w:tc>
        <w:tc>
          <w:tcPr>
            <w:tcW w:w="876" w:type="dxa"/>
            <w:vAlign w:val="center"/>
          </w:tcPr>
          <w:p>
            <w:pPr>
              <w:widowControl w:val="0"/>
              <w:jc w:val="center"/>
              <w:rPr>
                <w:rFonts w:ascii="宋体" w:eastAsia="宋体" w:hAnsi="宋体" w:cs="宋体"/>
              </w:rPr>
            </w:pPr>
            <w:r>
              <w:rPr>
                <w:rFonts w:ascii="宋体" w:eastAsia="宋体" w:hAnsi="宋体" w:cs="宋体" w:hint="eastAsia"/>
              </w:rPr>
              <w:t>1</w:t>
            </w:r>
          </w:p>
        </w:tc>
        <w:tc>
          <w:tcPr>
            <w:tcW w:w="1087" w:type="dxa"/>
            <w:vAlign w:val="center"/>
          </w:tcPr>
          <w:p>
            <w:pPr>
              <w:widowControl w:val="0"/>
              <w:jc w:val="center"/>
              <w:rPr>
                <w:rFonts w:ascii="宋体" w:eastAsia="宋体" w:hAnsi="宋体" w:cs="宋体"/>
              </w:rPr>
            </w:pPr>
            <w:r>
              <w:rPr>
                <w:rFonts w:ascii="宋体" w:eastAsia="宋体" w:hAnsi="宋体" w:cs="宋体" w:hint="eastAsia"/>
              </w:rPr>
              <w:t>套</w:t>
            </w:r>
          </w:p>
        </w:tc>
        <w:tc>
          <w:tcPr>
            <w:tcW w:w="2058" w:type="dxa"/>
            <w:vAlign w:val="center"/>
          </w:tcPr>
          <w:p>
            <w:pPr>
              <w:widowControl w:val="0"/>
              <w:jc w:val="center"/>
              <w:rPr>
                <w:rFonts w:ascii="宋体" w:eastAsia="宋体" w:hAnsi="宋体" w:cs="宋体"/>
              </w:rPr>
            </w:pPr>
            <w:r>
              <w:rPr>
                <w:rFonts w:ascii="宋体" w:eastAsia="宋体" w:hAnsi="宋体" w:cs="宋体" w:hint="eastAsia"/>
                <w:lang w:val="en-US" w:eastAsia="zh-CN"/>
              </w:rPr>
              <w:t>否</w:t>
            </w:r>
          </w:p>
        </w:tc>
        <w:tc>
          <w:tcPr>
            <w:tcW w:w="1764" w:type="dxa"/>
            <w:vMerge/>
            <w:vAlign w:val="center"/>
          </w:tcPr>
          <w:p>
            <w:pPr>
              <w:widowControl w:val="0"/>
              <w:jc w:val="center"/>
              <w:rPr>
                <w:rFonts w:ascii="宋体" w:hAnsi="宋体" w:cs="宋体"/>
                <w:color w:val="000000"/>
              </w:rPr>
            </w:pPr>
          </w:p>
        </w:tc>
      </w:tr>
    </w:tbl>
    <w:p>
      <w:pPr>
        <w:ind w:firstLine="480" w:firstLineChars="200"/>
        <w:rPr>
          <w:rFonts w:ascii="宋体" w:hAnsi="宋体"/>
          <w:b/>
          <w:color w:val="FF0000"/>
          <w:szCs w:val="21"/>
        </w:rPr>
      </w:pPr>
    </w:p>
    <w:p>
      <w:pPr>
        <w:ind w:firstLine="480" w:firstLineChars="200"/>
        <w:rPr>
          <w:rFonts w:ascii="宋体" w:hAnsi="宋体"/>
          <w:b w:val="0"/>
          <w:bCs/>
          <w:color w:val="FF0000"/>
          <w:szCs w:val="21"/>
          <w:highlight w:val="none"/>
        </w:rPr>
      </w:pPr>
      <w:r>
        <w:rPr>
          <w:rFonts w:ascii="宋体" w:hAnsi="宋体" w:hint="eastAsia"/>
          <w:b w:val="0"/>
          <w:bCs/>
          <w:color w:val="FF0000"/>
          <w:szCs w:val="21"/>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hAnsi="宋体"/>
          <w:b w:val="0"/>
          <w:bCs/>
          <w:color w:val="FF0000"/>
          <w:szCs w:val="21"/>
          <w:highlight w:val="none"/>
        </w:rPr>
      </w:pPr>
      <w:r>
        <w:rPr>
          <w:rFonts w:ascii="宋体" w:hAnsi="宋体" w:hint="eastAsia"/>
          <w:b w:val="0"/>
          <w:bCs/>
          <w:color w:val="FF0000"/>
          <w:szCs w:val="21"/>
          <w:highlight w:val="none"/>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rFonts w:ascii="宋体" w:eastAsia="宋体" w:hAnsi="宋体" w:hint="eastAsia"/>
          <w:b/>
          <w:color w:val="FF0000"/>
          <w:szCs w:val="21"/>
          <w:highlight w:val="none"/>
          <w:lang w:eastAsia="zh-CN"/>
        </w:rPr>
      </w:pPr>
      <w:r>
        <w:rPr>
          <w:rFonts w:ascii="宋体" w:hAnsi="宋体" w:hint="eastAsia"/>
          <w:b/>
          <w:color w:val="FF0000"/>
          <w:szCs w:val="21"/>
          <w:highlight w:val="none"/>
        </w:rPr>
        <w:t>3、本项目核心产品为：</w:t>
      </w:r>
      <w:r>
        <w:rPr>
          <w:rFonts w:ascii="宋体" w:hAnsi="宋体" w:hint="eastAsia"/>
          <w:b/>
          <w:color w:val="FF0000"/>
          <w:szCs w:val="21"/>
          <w:highlight w:val="none"/>
          <w:u w:val="single"/>
        </w:rPr>
        <w:t>高速发药机</w:t>
      </w:r>
      <w:r>
        <w:rPr>
          <w:rFonts w:ascii="宋体" w:eastAsia="宋体" w:hAnsi="宋体" w:hint="eastAsia"/>
          <w:b/>
          <w:color w:val="FF0000"/>
          <w:szCs w:val="21"/>
          <w:highlight w:val="none"/>
          <w:u w:val="single"/>
          <w:lang w:eastAsia="zh-CN"/>
        </w:rPr>
        <w:t>。</w:t>
      </w:r>
    </w:p>
    <w:p>
      <w:pPr>
        <w:tabs>
          <w:tab w:val="left" w:pos="5068"/>
        </w:tabs>
        <w:rPr>
          <w:rFonts w:ascii="宋体" w:eastAsia="宋体" w:hAnsi="宋体" w:hint="eastAsia"/>
          <w:b/>
          <w:color w:val="FF0000"/>
          <w:szCs w:val="21"/>
          <w:lang w:eastAsia="zh-CN"/>
        </w:rPr>
      </w:pPr>
      <w:bookmarkEnd w:id="39"/>
    </w:p>
    <w:p>
      <w:pPr>
        <w:pStyle w:val="Heading3"/>
        <w:spacing w:before="120" w:beforeLines="50" w:after="120" w:afterLines="50"/>
        <w:jc w:val="center"/>
        <w:rPr>
          <w:szCs w:val="28"/>
        </w:rPr>
      </w:pPr>
      <w:bookmarkStart w:id="41" w:name="_Toc128884461"/>
      <w:r>
        <w:rPr>
          <w:rFonts w:hint="eastAsia"/>
          <w:szCs w:val="28"/>
        </w:rPr>
        <w:t>三、实质性条款</w:t>
      </w:r>
    </w:p>
    <w:tbl>
      <w:tblPr>
        <w:tblStyle w:val="TableNormal"/>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7483"/>
      </w:tblGrid>
      <w:tr>
        <w:tblPrEx>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hAnsi="宋体"/>
                <w:szCs w:val="21"/>
              </w:rPr>
            </w:pPr>
            <w:r>
              <w:rPr>
                <w:rFonts w:ascii="宋体" w:hAnsi="宋体" w:hint="eastAsia"/>
                <w:szCs w:val="21"/>
              </w:rPr>
              <w:t>序号</w:t>
            </w:r>
          </w:p>
        </w:tc>
        <w:tc>
          <w:tcPr>
            <w:tcW w:w="7483" w:type="dxa"/>
            <w:vAlign w:val="center"/>
          </w:tcPr>
          <w:p>
            <w:pPr>
              <w:adjustRightInd w:val="0"/>
              <w:snapToGrid w:val="0"/>
              <w:spacing w:line="360" w:lineRule="auto"/>
              <w:jc w:val="center"/>
              <w:rPr>
                <w:rFonts w:ascii="宋体" w:hAnsi="宋体"/>
                <w:szCs w:val="21"/>
              </w:rPr>
            </w:pPr>
            <w:r>
              <w:rPr>
                <w:rFonts w:ascii="宋体" w:hAnsi="宋体" w:hint="eastAsia"/>
                <w:szCs w:val="21"/>
              </w:rPr>
              <w:t>实质性条款具体内容</w:t>
            </w:r>
          </w:p>
        </w:tc>
      </w:tr>
      <w:tr>
        <w:tblPrEx>
          <w:tblW w:w="8188"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jc w:val="center"/>
              <w:rPr>
                <w:rFonts w:ascii="宋体" w:hAnsi="宋体"/>
                <w:szCs w:val="21"/>
              </w:rPr>
            </w:pPr>
            <w:r>
              <w:rPr>
                <w:rFonts w:ascii="宋体" w:hAnsi="宋体" w:hint="eastAsia"/>
                <w:szCs w:val="21"/>
              </w:rPr>
              <w:t>1</w:t>
            </w:r>
          </w:p>
        </w:tc>
        <w:tc>
          <w:tcPr>
            <w:tcW w:w="7483" w:type="dxa"/>
          </w:tcPr>
          <w:p>
            <w:pPr>
              <w:adjustRightInd w:val="0"/>
              <w:snapToGrid w:val="0"/>
              <w:spacing w:line="360" w:lineRule="auto"/>
              <w:rPr>
                <w:rFonts w:hAnsi="宋体"/>
                <w:szCs w:val="21"/>
              </w:rPr>
            </w:pPr>
            <w:r>
              <w:rPr>
                <w:rFonts w:hAnsi="宋体" w:hint="eastAsia"/>
                <w:szCs w:val="21"/>
              </w:rPr>
              <w:t>投标文件载明的交货期不超过招标文件规定的期限</w:t>
            </w:r>
          </w:p>
        </w:tc>
      </w:tr>
      <w:tr>
        <w:tblPrEx>
          <w:tblW w:w="8188"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jc w:val="center"/>
              <w:rPr>
                <w:rFonts w:ascii="宋体" w:hAnsi="宋体"/>
                <w:szCs w:val="21"/>
              </w:rPr>
            </w:pPr>
            <w:r>
              <w:rPr>
                <w:rFonts w:ascii="宋体" w:hAnsi="宋体" w:hint="eastAsia"/>
                <w:szCs w:val="21"/>
              </w:rPr>
              <w:t>2</w:t>
            </w:r>
          </w:p>
        </w:tc>
        <w:tc>
          <w:tcPr>
            <w:tcW w:w="7483" w:type="dxa"/>
          </w:tcPr>
          <w:p>
            <w:pPr>
              <w:adjustRightInd w:val="0"/>
              <w:snapToGrid w:val="0"/>
              <w:spacing w:line="360" w:lineRule="auto"/>
              <w:rPr>
                <w:rFonts w:hAnsi="宋体"/>
                <w:szCs w:val="21"/>
              </w:rPr>
            </w:pPr>
            <w:r>
              <w:rPr>
                <w:rFonts w:hAnsi="宋体" w:hint="eastAsia"/>
                <w:szCs w:val="21"/>
              </w:rPr>
              <w:t>投标文件载明的免费保修期不低于招标文件规定的期限</w:t>
            </w:r>
          </w:p>
        </w:tc>
      </w:tr>
      <w:tr>
        <w:tblPrEx>
          <w:tblW w:w="8188"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jc w:val="center"/>
              <w:rPr>
                <w:rFonts w:ascii="宋体" w:hAnsi="宋体"/>
                <w:szCs w:val="21"/>
              </w:rPr>
            </w:pPr>
            <w:r>
              <w:rPr>
                <w:rFonts w:ascii="宋体" w:hAnsi="宋体" w:hint="eastAsia"/>
                <w:szCs w:val="21"/>
              </w:rPr>
              <w:t>3</w:t>
            </w:r>
          </w:p>
        </w:tc>
        <w:tc>
          <w:tcPr>
            <w:tcW w:w="7483" w:type="dxa"/>
          </w:tcPr>
          <w:p>
            <w:pPr>
              <w:adjustRightInd w:val="0"/>
              <w:snapToGrid w:val="0"/>
              <w:spacing w:line="360" w:lineRule="auto"/>
              <w:rPr>
                <w:rFonts w:hAnsi="宋体"/>
                <w:szCs w:val="21"/>
              </w:rPr>
            </w:pPr>
            <w:r>
              <w:rPr>
                <w:rFonts w:hAnsi="宋体" w:hint="eastAsia"/>
                <w:szCs w:val="21"/>
              </w:rPr>
              <w:t>具体技术要求、商务需求中带“★”要求</w:t>
            </w:r>
          </w:p>
        </w:tc>
      </w:tr>
    </w:tbl>
    <w:p>
      <w:pPr>
        <w:rPr>
          <w:sz w:val="22"/>
        </w:rPr>
      </w:pPr>
      <w:r>
        <w:rPr>
          <w:rFonts w:hint="eastAsia"/>
          <w:sz w:val="22"/>
        </w:rPr>
        <w:t>注：上表所列内容为不可负偏离条款</w:t>
      </w:r>
      <w:bookmarkEnd w:id="41"/>
      <w:r>
        <w:rPr>
          <w:rFonts w:hint="eastAsia"/>
          <w:sz w:val="22"/>
        </w:rPr>
        <w:t>，负偏离将视为未实质性满足招标文件要求作投标无效处理。</w:t>
      </w:r>
    </w:p>
    <w:p>
      <w:pPr>
        <w:rPr>
          <w:b/>
          <w:szCs w:val="21"/>
        </w:rPr>
      </w:pPr>
    </w:p>
    <w:p>
      <w:pPr>
        <w:pStyle w:val="Heading3"/>
        <w:spacing w:before="120" w:beforeLines="50" w:after="120" w:afterLines="50"/>
        <w:jc w:val="center"/>
        <w:rPr>
          <w:szCs w:val="28"/>
        </w:rPr>
      </w:pPr>
      <w:r>
        <w:rPr>
          <w:rFonts w:hint="eastAsia"/>
          <w:szCs w:val="28"/>
        </w:rPr>
        <w:t>四、技术要求</w:t>
      </w:r>
    </w:p>
    <w:p>
      <w:pPr>
        <w:ind w:firstLine="480" w:firstLineChars="200"/>
        <w:rPr>
          <w:b w:val="0"/>
          <w:bCs/>
        </w:rPr>
      </w:pPr>
      <w:r>
        <w:rPr>
          <w:rFonts w:hint="eastAsia"/>
          <w:b w:val="0"/>
          <w:bCs/>
          <w:szCs w:val="21"/>
        </w:rPr>
        <w:t>说明：</w:t>
      </w:r>
      <w:r>
        <w:rPr>
          <w:b w:val="0"/>
          <w:bCs/>
        </w:rPr>
        <w:t>1</w:t>
      </w:r>
      <w:r>
        <w:rPr>
          <w:rFonts w:hint="eastAsia"/>
          <w:b w:val="0"/>
          <w:bCs/>
        </w:rPr>
        <w:t>、评分时，如对一项招标技术要求（以划分框为准）中的内容存在两处（或以上）负偏离的，在评分时只作一项负偏离扣分。</w:t>
      </w:r>
    </w:p>
    <w:p>
      <w:pPr>
        <w:ind w:firstLine="480" w:firstLineChars="200"/>
        <w:rPr>
          <w:b w:val="0"/>
          <w:bCs/>
          <w:szCs w:val="21"/>
        </w:rPr>
      </w:pPr>
      <w:r>
        <w:rPr>
          <w:b w:val="0"/>
          <w:bCs/>
          <w:szCs w:val="21"/>
        </w:rPr>
        <w:t>2</w:t>
      </w:r>
      <w:r>
        <w:rPr>
          <w:rFonts w:hint="eastAsia"/>
          <w:b w:val="0"/>
          <w:bCs/>
          <w:szCs w:val="21"/>
        </w:rPr>
        <w:t>、带“</w:t>
      </w:r>
      <w:r>
        <w:rPr>
          <w:rFonts w:ascii="宋体" w:hAnsi="宋体" w:cs="宋体" w:hint="eastAsia"/>
          <w:b w:val="0"/>
          <w:bCs/>
          <w:szCs w:val="21"/>
        </w:rPr>
        <w:t>★</w:t>
      </w:r>
      <w:r>
        <w:rPr>
          <w:rFonts w:hint="eastAsia"/>
          <w:b w:val="0"/>
          <w:bCs/>
          <w:szCs w:val="21"/>
        </w:rPr>
        <w:t>”指标项为实质性条款，如出现负偏离，将被视为未实质性满足招标文件要求作投标无效处理；带“</w:t>
      </w:r>
      <w:r>
        <w:rPr>
          <w:b w:val="0"/>
          <w:bCs/>
        </w:rPr>
        <w:t>▲</w:t>
      </w:r>
      <w:r>
        <w:rPr>
          <w:rFonts w:hint="eastAsia"/>
          <w:b w:val="0"/>
          <w:bCs/>
          <w:szCs w:val="21"/>
        </w:rPr>
        <w:t>”指标项为重要参数条款，负偏离时依相关评分准则内容作重点扣分处理。</w:t>
      </w:r>
    </w:p>
    <w:p>
      <w:pPr>
        <w:ind w:firstLine="480" w:firstLineChars="200"/>
        <w:rPr>
          <w:b w:val="0"/>
          <w:bCs/>
          <w:szCs w:val="21"/>
        </w:rPr>
      </w:pPr>
      <w:r>
        <w:rPr>
          <w:b w:val="0"/>
          <w:bCs/>
          <w:szCs w:val="21"/>
        </w:rPr>
        <w:t>3</w:t>
      </w:r>
      <w:r>
        <w:rPr>
          <w:rFonts w:hint="eastAsia"/>
          <w:b w:val="0"/>
          <w:bCs/>
          <w:szCs w:val="21"/>
        </w:rPr>
        <w:t>、</w:t>
      </w:r>
      <w:bookmarkStart w:id="42" w:name="_Hlk72585069"/>
      <w:r>
        <w:rPr>
          <w:rFonts w:hint="eastAsia"/>
          <w:b w:val="0"/>
          <w:bCs/>
          <w:szCs w:val="21"/>
        </w:rPr>
        <w:t>招标技术要求中，用</w:t>
      </w:r>
      <w:r>
        <w:rPr>
          <w:rFonts w:hint="eastAsia"/>
          <w:b w:val="0"/>
          <w:bCs/>
          <w:color w:val="FF0000"/>
          <w:szCs w:val="21"/>
        </w:rPr>
        <w:t>红色加粗字体标注</w:t>
      </w:r>
      <w:r>
        <w:rPr>
          <w:rFonts w:hint="eastAsia"/>
          <w:b w:val="0"/>
          <w:bCs/>
          <w:szCs w:val="21"/>
        </w:rPr>
        <w:t>的指标项均要求提供证明资料，</w:t>
      </w:r>
      <w:r>
        <w:rPr>
          <w:rFonts w:hint="eastAsia"/>
          <w:b w:val="0"/>
          <w:bCs/>
          <w:color w:val="FF0000"/>
          <w:szCs w:val="21"/>
        </w:rPr>
        <w:t>共</w:t>
      </w:r>
      <w:r>
        <w:rPr>
          <w:rFonts w:eastAsia="宋体" w:hint="eastAsia"/>
          <w:b w:val="0"/>
          <w:bCs/>
          <w:color w:val="FF0000"/>
          <w:szCs w:val="21"/>
          <w:lang w:val="en-US" w:eastAsia="zh-CN"/>
        </w:rPr>
        <w:t>25</w:t>
      </w:r>
      <w:r>
        <w:rPr>
          <w:rFonts w:hint="eastAsia"/>
          <w:b w:val="0"/>
          <w:bCs/>
          <w:color w:val="FF0000"/>
          <w:szCs w:val="21"/>
        </w:rPr>
        <w:t>项</w:t>
      </w:r>
      <w:r>
        <w:rPr>
          <w:rFonts w:hint="eastAsia"/>
          <w:b w:val="0"/>
          <w:bCs/>
          <w:szCs w:val="21"/>
        </w:rPr>
        <w:t>；其余指标项未要求提供证明资料，无需提供相关证明资料。</w:t>
      </w:r>
    </w:p>
    <w:p>
      <w:pPr>
        <w:ind w:firstLine="480" w:firstLineChars="200"/>
        <w:rPr>
          <w:b w:val="0"/>
          <w:bCs/>
          <w:szCs w:val="21"/>
        </w:rPr>
      </w:pPr>
      <w:r>
        <w:rPr>
          <w:rFonts w:hint="eastAsia"/>
          <w:b w:val="0"/>
          <w:bCs/>
          <w:color w:val="FF0000"/>
        </w:rPr>
        <w:t>4</w:t>
      </w:r>
      <w:r>
        <w:rPr>
          <w:b w:val="0"/>
          <w:bCs/>
          <w:color w:val="FF0000"/>
        </w:rPr>
        <w:t>、</w:t>
      </w:r>
      <w:r>
        <w:rPr>
          <w:rFonts w:hint="eastAsia"/>
          <w:b w:val="0"/>
          <w:bCs/>
          <w:color w:val="FF0000"/>
        </w:rPr>
        <w:t>涉及区间的技术要求，除特别注明以外，所投产品响应数值在招标文件要求的区间范围内即认定为满足该项技术要求。例：区间要求为0-20ML, 所投产品响应为0ML、10ML或20ML等（即在区间范围内），即为满足该项技术要求。</w:t>
      </w:r>
    </w:p>
    <w:tbl>
      <w:tblPr>
        <w:tblStyle w:val="TableNormal"/>
        <w:tblW w:w="8173" w:type="dxa"/>
        <w:tblInd w:w="0" w:type="dxa"/>
        <w:tblLayout w:type="fixed"/>
        <w:tblCellMar>
          <w:top w:w="0" w:type="dxa"/>
          <w:left w:w="108" w:type="dxa"/>
          <w:bottom w:w="0" w:type="dxa"/>
          <w:right w:w="108" w:type="dxa"/>
        </w:tblCellMar>
      </w:tblPr>
      <w:tblGrid>
        <w:gridCol w:w="1066"/>
        <w:gridCol w:w="1575"/>
        <w:gridCol w:w="5532"/>
      </w:tblGrid>
      <w:tr>
        <w:tblPrEx>
          <w:tblW w:w="8173" w:type="dxa"/>
          <w:tblInd w:w="0" w:type="dxa"/>
          <w:tblLayout w:type="fixed"/>
          <w:tblCellMar>
            <w:top w:w="0" w:type="dxa"/>
            <w:left w:w="108" w:type="dxa"/>
            <w:bottom w:w="0" w:type="dxa"/>
            <w:right w:w="108" w:type="dxa"/>
          </w:tblCellMar>
        </w:tblPrEx>
        <w:trPr>
          <w:trHeight w:val="450"/>
        </w:trPr>
        <w:tc>
          <w:tcPr>
            <w:tcW w:w="1066"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Cs/>
                <w:sz w:val="24"/>
                <w:szCs w:val="24"/>
              </w:rPr>
            </w:pPr>
            <w:bookmarkEnd w:id="42"/>
            <w:r>
              <w:rPr>
                <w:rFonts w:ascii="宋体" w:eastAsia="宋体" w:hAnsi="宋体" w:cs="宋体" w:hint="eastAsia"/>
                <w:bCs/>
                <w:sz w:val="24"/>
                <w:szCs w:val="24"/>
              </w:rPr>
              <w:t>序号</w:t>
            </w:r>
          </w:p>
        </w:tc>
        <w:tc>
          <w:tcPr>
            <w:tcW w:w="1575"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Cs/>
                <w:sz w:val="24"/>
                <w:szCs w:val="24"/>
              </w:rPr>
            </w:pPr>
            <w:r>
              <w:rPr>
                <w:rFonts w:ascii="宋体" w:eastAsia="宋体" w:hAnsi="宋体" w:cs="宋体" w:hint="eastAsia"/>
                <w:bCs/>
                <w:sz w:val="24"/>
                <w:szCs w:val="24"/>
              </w:rPr>
              <w:t>货物名称</w:t>
            </w:r>
          </w:p>
        </w:tc>
        <w:tc>
          <w:tcPr>
            <w:tcW w:w="5532"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bCs/>
                <w:sz w:val="24"/>
                <w:szCs w:val="24"/>
              </w:rPr>
            </w:pPr>
            <w:r>
              <w:rPr>
                <w:rFonts w:ascii="宋体" w:eastAsia="宋体" w:hAnsi="宋体" w:cs="宋体" w:hint="eastAsia"/>
                <w:bCs/>
                <w:sz w:val="24"/>
                <w:szCs w:val="24"/>
              </w:rPr>
              <w:t>招标技术要求</w:t>
            </w:r>
          </w:p>
        </w:tc>
      </w:tr>
      <w:tr>
        <w:tblPrEx>
          <w:tblW w:w="8173" w:type="dxa"/>
          <w:tblInd w:w="0" w:type="dxa"/>
          <w:tblLayout w:type="fixed"/>
          <w:tblCellMar>
            <w:top w:w="0" w:type="dxa"/>
            <w:left w:w="108" w:type="dxa"/>
            <w:bottom w:w="0" w:type="dxa"/>
            <w:right w:w="108" w:type="dxa"/>
          </w:tblCellMar>
        </w:tblPrEx>
        <w:trPr>
          <w:trHeight w:val="343"/>
        </w:trPr>
        <w:tc>
          <w:tcPr>
            <w:tcW w:w="1066" w:type="dxa"/>
            <w:tcBorders>
              <w:top w:val="single" w:sz="4" w:space="0" w:color="auto"/>
              <w:left w:val="single" w:sz="4" w:space="0" w:color="auto"/>
              <w:right w:val="single" w:sz="4" w:space="0" w:color="auto"/>
            </w:tcBorders>
            <w:vAlign w:val="center"/>
          </w:tcPr>
          <w:p>
            <w:pPr>
              <w:jc w:val="center"/>
              <w:rPr>
                <w:rFonts w:ascii="宋体" w:eastAsia="宋体" w:hAnsi="宋体" w:cs="宋体" w:hint="eastAsia"/>
                <w:bCs/>
                <w:sz w:val="24"/>
                <w:szCs w:val="24"/>
              </w:rPr>
            </w:pPr>
            <w:r>
              <w:rPr>
                <w:rFonts w:ascii="宋体" w:eastAsia="宋体" w:hAnsi="宋体" w:cs="宋体" w:hint="eastAsia"/>
                <w:b/>
                <w:sz w:val="24"/>
                <w:szCs w:val="24"/>
                <w:highlight w:val="none"/>
              </w:rPr>
              <w:t>★</w:t>
            </w:r>
            <w:r>
              <w:rPr>
                <w:rFonts w:ascii="宋体" w:eastAsia="宋体" w:hAnsi="宋体" w:cs="宋体" w:hint="eastAsia"/>
                <w:bCs/>
                <w:sz w:val="24"/>
                <w:szCs w:val="24"/>
                <w:highlight w:val="none"/>
              </w:rPr>
              <w:t>1</w:t>
            </w:r>
          </w:p>
        </w:tc>
        <w:tc>
          <w:tcPr>
            <w:tcW w:w="7107" w:type="dxa"/>
            <w:gridSpan w:val="2"/>
            <w:tcBorders>
              <w:top w:val="single" w:sz="4" w:space="0" w:color="auto"/>
              <w:left w:val="single" w:sz="4" w:space="0" w:color="auto"/>
              <w:right w:val="single" w:sz="4" w:space="0" w:color="auto"/>
            </w:tcBorders>
            <w:vAlign w:val="center"/>
          </w:tcPr>
          <w:p>
            <w:pPr>
              <w:rPr>
                <w:rFonts w:ascii="宋体" w:eastAsia="宋体" w:hAnsi="宋体" w:cs="宋体" w:hint="eastAsia"/>
                <w:bCs/>
                <w:sz w:val="24"/>
                <w:szCs w:val="24"/>
              </w:rPr>
            </w:pPr>
            <w:r>
              <w:rPr>
                <w:rFonts w:ascii="宋体" w:eastAsia="宋体" w:hAnsi="宋体" w:cs="宋体" w:hint="eastAsia"/>
                <w:bCs/>
                <w:sz w:val="24"/>
                <w:szCs w:val="24"/>
              </w:rPr>
              <w:t>为保证产品的兼容性、可持续升级性、及售后服务的优质性，达到最佳的使用效果，要求本项目配置清单中产品为同一品牌厂家生产。</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val="restart"/>
            <w:tcBorders>
              <w:top w:val="single" w:sz="4" w:space="0" w:color="auto"/>
              <w:left w:val="single" w:sz="4" w:space="0" w:color="auto"/>
              <w:right w:val="single" w:sz="4" w:space="0" w:color="auto"/>
            </w:tcBorders>
            <w:vAlign w:val="center"/>
          </w:tcPr>
          <w:p>
            <w:pPr>
              <w:jc w:val="center"/>
              <w:rPr>
                <w:rFonts w:ascii="宋体" w:eastAsia="宋体" w:hAnsi="宋体" w:cs="宋体" w:hint="eastAsia"/>
                <w:sz w:val="24"/>
                <w:szCs w:val="24"/>
              </w:rPr>
            </w:pPr>
            <w:r>
              <w:rPr>
                <w:rFonts w:ascii="宋体" w:eastAsia="宋体" w:hAnsi="宋体" w:cs="宋体" w:hint="eastAsia"/>
                <w:sz w:val="24"/>
                <w:szCs w:val="24"/>
              </w:rPr>
              <w:t>2</w:t>
            </w:r>
          </w:p>
        </w:tc>
        <w:tc>
          <w:tcPr>
            <w:tcW w:w="1575" w:type="dxa"/>
            <w:vMerge w:val="restart"/>
            <w:tcBorders>
              <w:top w:val="single" w:sz="4" w:space="0" w:color="auto"/>
              <w:left w:val="single" w:sz="4" w:space="0" w:color="auto"/>
              <w:right w:val="single" w:sz="4" w:space="0" w:color="auto"/>
            </w:tcBorders>
            <w:vAlign w:val="center"/>
          </w:tcPr>
          <w:p>
            <w:pPr>
              <w:jc w:val="center"/>
              <w:rPr>
                <w:rFonts w:ascii="宋体" w:eastAsia="宋体" w:hAnsi="宋体" w:cs="宋体" w:hint="eastAsia"/>
                <w:bCs/>
                <w:sz w:val="24"/>
                <w:szCs w:val="24"/>
              </w:rPr>
            </w:pPr>
            <w:r>
              <w:rPr>
                <w:rFonts w:ascii="宋体" w:eastAsia="宋体" w:hAnsi="宋体" w:cs="宋体" w:hint="eastAsia"/>
                <w:bCs/>
                <w:sz w:val="24"/>
                <w:szCs w:val="24"/>
              </w:rPr>
              <w:t>高速发药机</w:t>
            </w: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Cs/>
                <w:sz w:val="24"/>
                <w:szCs w:val="24"/>
              </w:rPr>
            </w:pPr>
            <w:r>
              <w:rPr>
                <w:rFonts w:ascii="宋体" w:eastAsia="宋体" w:hAnsi="宋体" w:cs="宋体" w:hint="eastAsia"/>
                <w:bCs/>
                <w:sz w:val="24"/>
                <w:szCs w:val="24"/>
              </w:rPr>
              <w:t>2.1.设备在接收his处方信息后独立运行，自动高速分发盒装药品。</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2.2.储药通道不低于180条，常规药品不少于5000盒。（按照平均厚度20mm计算，提供储药量计算公式）</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▲2.3.药品采用垂直叠加式储存。（提供现场使用照片证明）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▲2.4.存储结构：不少于上下双层模组，下层模组高度不低于600mm，上层模组高度不低于1100mm。（提供设备实际测量照片证明）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▲2.5.每个储位为可拆卸组合式，可根据储位尺寸需求手工调整。（提供现场使用照片证明）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hint="eastAsia"/>
                <w:bCs/>
                <w:sz w:val="24"/>
                <w:szCs w:val="24"/>
              </w:rPr>
            </w:pPr>
            <w:r>
              <w:rPr>
                <w:rFonts w:ascii="宋体" w:eastAsia="宋体" w:hAnsi="宋体" w:cs="宋体" w:hint="eastAsia"/>
                <w:bCs/>
                <w:sz w:val="24"/>
                <w:szCs w:val="24"/>
              </w:rPr>
              <w:t>2.6.整机出药速度≥3盒/秒。</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jc w:val="both"/>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▲2.7.整套设备包含两组储药模块，单模块配置不少于4个出药机械手装置。整套设备不少于8个出药机械手，多机械手可同时驱动高速出药。（提供现场单模组设备出药机械手照片）</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▲2.8.在设备出药口配置传输机构传输药品至指定窗口。为防止大批量药品堵塞传输线，出药传输装置为落地爬坡方式。（提供现场使用照片证明）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▲2.9.单处方在接收处方信息指令后高速出药到传输线出药口不大于8秒钟。（提供现场使用照片证明）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2.10.整体设备配置不小于18.5寸的操作触摸屏（提供现场使用照片证明）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▲2.11.具备根据使用量和库存信息提示批量上药功能，触摸屏操作补药。可维护管理药品的批号效期等信息（提供软件界面证明）。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2.12.上药速度不小于100盒/分钟/人。</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2.13.具备急停按扭/缺药报警/电机过热、过流、过载、自动故障显示和定位功能。</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2.14.具备同步功能，可与HIS系统或其他发药系统对接，按处方要求，单独批量出药，也可与其他发药系统同步出药。</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bottom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bottom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2.15.具备信息管理和提示功能，库存信息不足时可报警提示，可实现药品数量、效期和批号等信息管理。</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val="restart"/>
            <w:tcBorders>
              <w:top w:val="single" w:sz="4" w:space="0" w:color="auto"/>
              <w:left w:val="single" w:sz="4" w:space="0" w:color="auto"/>
              <w:right w:val="single" w:sz="4" w:space="0" w:color="auto"/>
            </w:tcBorders>
            <w:vAlign w:val="center"/>
          </w:tcPr>
          <w:p>
            <w:pPr>
              <w:jc w:val="center"/>
              <w:rPr>
                <w:rFonts w:ascii="宋体" w:eastAsia="宋体" w:hAnsi="宋体" w:cs="宋体" w:hint="eastAsia"/>
                <w:sz w:val="24"/>
                <w:szCs w:val="24"/>
              </w:rPr>
            </w:pPr>
            <w:r>
              <w:rPr>
                <w:rFonts w:ascii="宋体" w:eastAsia="宋体" w:hAnsi="宋体" w:cs="宋体" w:hint="eastAsia"/>
                <w:sz w:val="24"/>
                <w:szCs w:val="24"/>
              </w:rPr>
              <w:t>3</w:t>
            </w:r>
          </w:p>
        </w:tc>
        <w:tc>
          <w:tcPr>
            <w:tcW w:w="1575" w:type="dxa"/>
            <w:vMerge w:val="restart"/>
            <w:tcBorders>
              <w:top w:val="single" w:sz="4" w:space="0" w:color="auto"/>
              <w:left w:val="single" w:sz="4" w:space="0" w:color="auto"/>
              <w:right w:val="single" w:sz="4" w:space="0" w:color="auto"/>
            </w:tcBorders>
            <w:vAlign w:val="center"/>
          </w:tcPr>
          <w:p>
            <w:pPr>
              <w:jc w:val="center"/>
              <w:rPr>
                <w:rFonts w:ascii="宋体" w:eastAsia="宋体" w:hAnsi="宋体" w:cs="宋体" w:hint="eastAsia"/>
                <w:sz w:val="24"/>
                <w:szCs w:val="24"/>
              </w:rPr>
            </w:pPr>
            <w:r>
              <w:rPr>
                <w:rFonts w:ascii="宋体" w:eastAsia="宋体" w:hAnsi="宋体" w:cs="宋体" w:hint="eastAsia"/>
                <w:kern w:val="2"/>
                <w:sz w:val="24"/>
                <w:szCs w:val="24"/>
              </w:rPr>
              <w:t>无人自助药房</w:t>
            </w: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3.1.用于医院患者自助取药，设备实现处方类药品的存储、发放和管理功能，患者可自助取药。具备远程接收处方功能；患者缴费后凭借取药码在设备自助取药，设备自动调剂、核对、发药，患者全程无接触操作。（提供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▲3.2.进行处方药自动发放，符合处方药品调剂的双环节核对要求（提供双环节核对的说明）。无人药房控制软件可与医院 HIS 实现无缝连接，按照 HIS 处方信息发放药品。缴费完毕后处方信息发送至设备，患者扫码后设备自动拣选药品并进行视觉核对，核对无误后发放给患者。</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3.3.多种取药模式选择：凭缴费单刷单取药、自助缴费取药。</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3.4.药品存储品种数不少于90种。（提供照片证明）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▲3.5.采用叠加式密集存储方式，三层储药机构，能够实现药品的密集存储，最大限度的节省空间。（提供照片证明）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3.6.储药量不少于2000 盒（常规的盒装药品包装尺寸，厚度15mm计算，提供储药量计算公式）</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3.7.处方调剂过程跟踪，发药口有显示屏，可对处方进行实时跟踪，随时了解处方的调配进程。（提供照片证明）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3.8.单槽道储药量</w:t>
            </w:r>
            <w:r>
              <w:rPr>
                <w:rFonts w:ascii="宋体" w:eastAsia="宋体" w:hAnsi="宋体" w:cs="宋体" w:hint="eastAsia"/>
                <w:b/>
                <w:bCs/>
                <w:color w:val="FF0000"/>
                <w:sz w:val="24"/>
                <w:szCs w:val="24"/>
              </w:rPr>
              <w:tab/>
            </w:r>
            <w:r>
              <w:rPr>
                <w:rFonts w:ascii="宋体" w:eastAsia="宋体" w:hAnsi="宋体" w:cs="宋体" w:hint="eastAsia"/>
                <w:b/>
                <w:bCs/>
                <w:color w:val="FF0000"/>
                <w:sz w:val="24"/>
                <w:szCs w:val="24"/>
              </w:rPr>
              <w:t>平均不少于20 盒（平均尺寸）（提供实际槽道尺寸储药照片）</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▲3.9.发药方式为横向和纵向导轨装载发药机械手，快速拣选、核对所需要药品。机械手上具备双面视觉核对装置，具备自动打开出药斗的自动滑轨装置。（提供照片证明）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3.10.具备发药核对功能，机械手单盒拣选药品，视觉核对装置对拣选后的药品进行图像自动采集、自动核对、自动判断和自动反馈过程，核对无误后机械手拣选下一个所需药品。（提供设备发药核对的过程步骤解析图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▲3.11.具备多面核对功能，为确保药品核对的精准度，至少同时识别药盒两个面（提供现场使用照片证明）。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3.12.具有设备自动回收功能，经核对有误药品，送至回收箱，语音提示患者，并重新调剂、核对新的药品。</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3.13.处方发放速度小于25秒/处方（每张处方平均按3盒计算）</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▲3.14.设备规格尺寸：设备长度小于2200mm，宽度小于1200mm，高度小于2000mm。（提供现场使用照片）</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3.15.具备开机自检功能，具备开机自检功能，发现异常，报警提示。</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3.16.具备触摸屏操作补充药品、医嘱信息小票打印、语音提示等功能。</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3.17.具备安全装置和报警功能，具备急停按钮、缺药报警功能，具备电机过热、过流、过载、自动故障显示功能。</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b/>
                <w:bCs/>
                <w:color w:val="FF0000"/>
                <w:sz w:val="24"/>
                <w:szCs w:val="24"/>
              </w:rPr>
              <w:t>▲3.18.具备可扩展性，设备可模块化扩展。（提供不同客户使用不同模块数量的现场照片）</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3.19.同步功能与HIS系统信息同步</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tabs>
                <w:tab w:val="left" w:pos="886"/>
              </w:tabs>
              <w:rPr>
                <w:rFonts w:ascii="宋体" w:eastAsia="宋体" w:hAnsi="宋体" w:cs="宋体" w:hint="eastAsia"/>
                <w:sz w:val="24"/>
                <w:szCs w:val="24"/>
              </w:rPr>
            </w:pPr>
            <w:r>
              <w:rPr>
                <w:rFonts w:ascii="宋体" w:eastAsia="宋体" w:hAnsi="宋体" w:cs="宋体" w:hint="eastAsia"/>
                <w:sz w:val="24"/>
                <w:szCs w:val="24"/>
              </w:rPr>
              <w:t>3.20.具备物联网、远程控制功能，通过物联网技术，远程监控处方调配进度、药品的图片以及控制设备整个发药流程。</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b/>
                <w:bCs/>
                <w:color w:val="FF0000"/>
                <w:sz w:val="24"/>
                <w:szCs w:val="24"/>
              </w:rPr>
              <w:t>▲3.21.具备溯源跟踪功能，根据患者信息溯源发药全流程数据，涵盖每一盒药品核对图片、药斗每一次药品变化图片、患者正面视频、患者取药视频（提供现场使用照片）。</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bottom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bottom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3.22.具有远程管理软件，有库存预警等智能管理功能。</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val="restart"/>
            <w:tcBorders>
              <w:top w:val="single" w:sz="4" w:space="0" w:color="auto"/>
              <w:left w:val="single" w:sz="4" w:space="0" w:color="auto"/>
              <w:right w:val="single" w:sz="4" w:space="0" w:color="auto"/>
            </w:tcBorders>
            <w:vAlign w:val="center"/>
          </w:tcPr>
          <w:p>
            <w:pPr>
              <w:jc w:val="center"/>
              <w:rPr>
                <w:rFonts w:ascii="宋体" w:eastAsia="宋体" w:hAnsi="宋体" w:cs="宋体" w:hint="eastAsia"/>
                <w:sz w:val="24"/>
                <w:szCs w:val="24"/>
              </w:rPr>
            </w:pPr>
            <w:r>
              <w:rPr>
                <w:rFonts w:ascii="宋体" w:eastAsia="宋体" w:hAnsi="宋体" w:cs="宋体" w:hint="eastAsia"/>
                <w:sz w:val="24"/>
                <w:szCs w:val="24"/>
              </w:rPr>
              <w:t>4</w:t>
            </w:r>
          </w:p>
        </w:tc>
        <w:tc>
          <w:tcPr>
            <w:tcW w:w="1575" w:type="dxa"/>
            <w:vMerge w:val="restart"/>
            <w:tcBorders>
              <w:top w:val="single" w:sz="4" w:space="0" w:color="auto"/>
              <w:left w:val="single" w:sz="4" w:space="0" w:color="auto"/>
              <w:right w:val="single" w:sz="4" w:space="0" w:color="auto"/>
            </w:tcBorders>
            <w:vAlign w:val="center"/>
          </w:tcPr>
          <w:p>
            <w:pPr>
              <w:jc w:val="center"/>
              <w:rPr>
                <w:rFonts w:ascii="宋体" w:eastAsia="宋体" w:hAnsi="宋体" w:cs="宋体" w:hint="eastAsia"/>
                <w:sz w:val="24"/>
                <w:szCs w:val="24"/>
              </w:rPr>
            </w:pPr>
            <w:r>
              <w:rPr>
                <w:rFonts w:ascii="宋体" w:eastAsia="宋体" w:hAnsi="宋体" w:cs="宋体" w:hint="eastAsia"/>
                <w:sz w:val="24"/>
                <w:szCs w:val="24"/>
              </w:rPr>
              <w:t>拆零分装机</w:t>
            </w: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4.1.智能拆零分装机系统接收处方信息后，自动将指定数量的指定药品落入接药杯，并按处方信息打印标签。</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4.2.整机结构紧凑、自重轻、稳定性好、并充分考虑人机工程学的要求。</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b/>
                <w:bCs/>
                <w:color w:val="FF0000"/>
                <w:sz w:val="24"/>
                <w:szCs w:val="24"/>
              </w:rPr>
              <w:t>▲4.3.设备整机高度不高于1900mm，占地面积不大于0.75平方米（提供测量图片证明）</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4.4.电气控制方式有手动、自动和多机联网控制可供用户选择；安全保护功能齐全、可靠。</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4.5.具备开机自检功能，开机能够自动检测机器运行状态以及各部分是否工作正常，发现不能工作的部件及时提示报警。</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b/>
                <w:bCs/>
                <w:color w:val="FF0000"/>
                <w:sz w:val="24"/>
                <w:szCs w:val="24"/>
              </w:rPr>
              <w:t>▲4.6.出药方式为不少于2条通道出药，同一处方的多种药品，在相同通道同时出药，提高药师包药效率。（提供现场使用照片）</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4.7.本机主要由储药药盒、出药通道、打印装置、接药装置、电气装置等五部分构成。</w:t>
            </w:r>
          </w:p>
        </w:tc>
      </w:tr>
      <w:tr>
        <w:tblPrEx>
          <w:tblW w:w="8173" w:type="dxa"/>
          <w:tblInd w:w="0" w:type="dxa"/>
          <w:tblLayout w:type="fixed"/>
          <w:tblCellMar>
            <w:top w:w="0" w:type="dxa"/>
            <w:left w:w="108" w:type="dxa"/>
            <w:bottom w:w="0" w:type="dxa"/>
            <w:right w:w="108" w:type="dxa"/>
          </w:tblCellMar>
        </w:tblPrEx>
        <w:trPr>
          <w:trHeight w:val="221"/>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4.8.处理速度不小于180处方/小时。</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sz w:val="24"/>
                <w:szCs w:val="24"/>
              </w:rPr>
            </w:pPr>
            <w:r>
              <w:rPr>
                <w:rFonts w:ascii="宋体" w:eastAsia="宋体" w:hAnsi="宋体" w:cs="宋体" w:hint="eastAsia"/>
                <w:sz w:val="24"/>
                <w:szCs w:val="24"/>
              </w:rPr>
              <w:t>4.9.出药通道组件由光滑镜面不锈钢制成，并设有分药机构，实现灵活快速出药。</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pStyle w:val="CommentText"/>
              <w:rPr>
                <w:rFonts w:ascii="宋体" w:eastAsia="宋体" w:hAnsi="宋体" w:cs="宋体" w:hint="eastAsia"/>
                <w:sz w:val="24"/>
                <w:szCs w:val="24"/>
              </w:rPr>
            </w:pPr>
            <w:r>
              <w:rPr>
                <w:rFonts w:ascii="宋体" w:eastAsia="宋体" w:hAnsi="宋体" w:cs="宋体" w:hint="eastAsia"/>
                <w:sz w:val="24"/>
                <w:szCs w:val="24"/>
              </w:rPr>
              <w:t>4.10.重量≤200kg。</w:t>
            </w:r>
          </w:p>
        </w:tc>
      </w:tr>
      <w:tr>
        <w:tblPrEx>
          <w:tblW w:w="8173" w:type="dxa"/>
          <w:tblInd w:w="0" w:type="dxa"/>
          <w:tblLayout w:type="fixed"/>
          <w:tblCellMar>
            <w:top w:w="0" w:type="dxa"/>
            <w:left w:w="108" w:type="dxa"/>
            <w:bottom w:w="0" w:type="dxa"/>
            <w:right w:w="108" w:type="dxa"/>
          </w:tblCellMar>
        </w:tblPrEx>
        <w:trPr>
          <w:trHeight w:val="343"/>
        </w:trPr>
        <w:tc>
          <w:tcPr>
            <w:tcW w:w="1066" w:type="dxa"/>
            <w:vMerge/>
            <w:tcBorders>
              <w:left w:val="single" w:sz="4" w:space="0" w:color="auto"/>
              <w:bottom w:val="single" w:sz="4" w:space="0" w:color="auto"/>
              <w:right w:val="single" w:sz="4" w:space="0" w:color="auto"/>
            </w:tcBorders>
            <w:vAlign w:val="center"/>
          </w:tcPr>
          <w:p>
            <w:pPr>
              <w:jc w:val="center"/>
              <w:rPr>
                <w:rFonts w:ascii="宋体" w:eastAsia="宋体" w:hAnsi="宋体" w:cs="宋体" w:hint="eastAsia"/>
                <w:sz w:val="24"/>
                <w:szCs w:val="24"/>
              </w:rPr>
            </w:pPr>
          </w:p>
        </w:tc>
        <w:tc>
          <w:tcPr>
            <w:tcW w:w="1575" w:type="dxa"/>
            <w:vMerge/>
            <w:tcBorders>
              <w:left w:val="single" w:sz="4" w:space="0" w:color="auto"/>
              <w:bottom w:val="single" w:sz="4" w:space="0" w:color="auto"/>
              <w:right w:val="single" w:sz="4" w:space="0" w:color="auto"/>
            </w:tcBorders>
            <w:vAlign w:val="center"/>
          </w:tcPr>
          <w:p>
            <w:pPr>
              <w:jc w:val="center"/>
              <w:rPr>
                <w:rFonts w:ascii="宋体" w:eastAsia="宋体" w:hAnsi="宋体" w:cs="宋体" w:hint="eastAsia"/>
                <w:sz w:val="24"/>
                <w:szCs w:val="24"/>
              </w:rPr>
            </w:pPr>
          </w:p>
        </w:tc>
        <w:tc>
          <w:tcPr>
            <w:tcW w:w="5532"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b/>
                <w:bCs/>
                <w:color w:val="FF0000"/>
                <w:sz w:val="24"/>
                <w:szCs w:val="24"/>
              </w:rPr>
            </w:pPr>
            <w:r>
              <w:rPr>
                <w:rFonts w:ascii="宋体" w:eastAsia="宋体" w:hAnsi="宋体" w:cs="宋体" w:hint="eastAsia"/>
                <w:b/>
                <w:bCs/>
                <w:color w:val="FF0000"/>
                <w:sz w:val="24"/>
                <w:szCs w:val="24"/>
              </w:rPr>
              <w:t>▲4.11.储药品种数不少于78种。（提供现场使用照片）</w:t>
            </w:r>
          </w:p>
        </w:tc>
      </w:tr>
    </w:tbl>
    <w:p>
      <w:pPr>
        <w:rPr>
          <w:b/>
          <w:szCs w:val="21"/>
        </w:rPr>
      </w:pPr>
    </w:p>
    <w:p>
      <w:pPr>
        <w:pStyle w:val="Heading3"/>
        <w:spacing w:before="120" w:beforeLines="50" w:after="120" w:afterLines="50"/>
        <w:jc w:val="center"/>
        <w:rPr>
          <w:szCs w:val="28"/>
        </w:rPr>
      </w:pPr>
      <w:r>
        <w:rPr>
          <w:rFonts w:hint="eastAsia"/>
          <w:szCs w:val="28"/>
        </w:rPr>
        <w:t>五、商务要求</w:t>
      </w:r>
    </w:p>
    <w:p>
      <w:pPr>
        <w:ind w:firstLine="480" w:firstLineChars="200"/>
        <w:rPr>
          <w:b w:val="0"/>
          <w:bCs/>
        </w:rPr>
      </w:pPr>
      <w:r>
        <w:rPr>
          <w:rFonts w:hint="eastAsia"/>
          <w:b w:val="0"/>
          <w:bCs/>
          <w:szCs w:val="21"/>
        </w:rPr>
        <w:t>说明：</w:t>
      </w:r>
      <w:r>
        <w:rPr>
          <w:b w:val="0"/>
          <w:bCs/>
        </w:rPr>
        <w:t>1</w:t>
      </w:r>
      <w:r>
        <w:rPr>
          <w:rFonts w:hint="eastAsia"/>
          <w:b w:val="0"/>
          <w:bCs/>
        </w:rPr>
        <w:t>、评分时，如对一项招标商务要求（以划分框为准）中的内容存在两处（或以上）负偏离的，在评分时只作一项负偏离扣分。</w:t>
      </w:r>
    </w:p>
    <w:p>
      <w:pPr>
        <w:ind w:firstLine="480" w:firstLineChars="200"/>
        <w:rPr>
          <w:b w:val="0"/>
          <w:bCs/>
          <w:szCs w:val="21"/>
        </w:rPr>
      </w:pPr>
      <w:r>
        <w:rPr>
          <w:b w:val="0"/>
          <w:bCs/>
          <w:szCs w:val="21"/>
        </w:rPr>
        <w:t>2</w:t>
      </w:r>
      <w:r>
        <w:rPr>
          <w:rFonts w:hint="eastAsia"/>
          <w:b w:val="0"/>
          <w:bCs/>
          <w:szCs w:val="21"/>
        </w:rPr>
        <w:t>、带“</w:t>
      </w:r>
      <w:r>
        <w:rPr>
          <w:rFonts w:ascii="宋体" w:hAnsi="宋体" w:cs="宋体" w:hint="eastAsia"/>
          <w:b w:val="0"/>
          <w:bCs/>
          <w:szCs w:val="21"/>
        </w:rPr>
        <w:t>★</w:t>
      </w:r>
      <w:r>
        <w:rPr>
          <w:rFonts w:hint="eastAsia"/>
          <w:b w:val="0"/>
          <w:bCs/>
          <w:szCs w:val="21"/>
        </w:rPr>
        <w:t>”指标项为实质性条款，如出现负偏离，将被视为未实质性满足招标文件要求作投标无效处理；带“</w:t>
      </w:r>
      <w:r>
        <w:rPr>
          <w:b w:val="0"/>
          <w:bCs/>
        </w:rPr>
        <w:t>▲</w:t>
      </w:r>
      <w:r>
        <w:rPr>
          <w:rFonts w:hint="eastAsia"/>
          <w:b w:val="0"/>
          <w:bCs/>
          <w:szCs w:val="21"/>
        </w:rPr>
        <w:t>”指标项为重要参数，负偏离时依相关评分准则内容作重点扣分处理。</w:t>
      </w:r>
    </w:p>
    <w:tbl>
      <w:tblPr>
        <w:tblStyle w:val="TableNormal"/>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17"/>
        <w:gridCol w:w="1565"/>
        <w:gridCol w:w="5740"/>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97"/>
        </w:trPr>
        <w:tc>
          <w:tcPr>
            <w:tcW w:w="1217" w:type="dxa"/>
            <w:vAlign w:val="center"/>
          </w:tcPr>
          <w:p>
            <w:pPr>
              <w:jc w:val="center"/>
              <w:rPr>
                <w:rFonts w:ascii="宋体" w:eastAsia="宋体" w:hAnsi="宋体" w:cs="宋体" w:hint="eastAsia"/>
                <w:b/>
                <w:sz w:val="24"/>
                <w:szCs w:val="24"/>
              </w:rPr>
            </w:pPr>
            <w:r>
              <w:rPr>
                <w:rFonts w:ascii="宋体" w:eastAsia="宋体" w:hAnsi="宋体" w:cs="宋体" w:hint="eastAsia"/>
                <w:b/>
                <w:sz w:val="24"/>
                <w:szCs w:val="24"/>
              </w:rPr>
              <w:t>序号</w:t>
            </w:r>
          </w:p>
        </w:tc>
        <w:tc>
          <w:tcPr>
            <w:tcW w:w="1565" w:type="dxa"/>
            <w:vAlign w:val="center"/>
          </w:tcPr>
          <w:p>
            <w:pPr>
              <w:jc w:val="center"/>
              <w:rPr>
                <w:rFonts w:ascii="宋体" w:eastAsia="宋体" w:hAnsi="宋体" w:cs="宋体" w:hint="eastAsia"/>
                <w:b/>
                <w:sz w:val="24"/>
                <w:szCs w:val="24"/>
              </w:rPr>
            </w:pPr>
            <w:r>
              <w:rPr>
                <w:rFonts w:ascii="宋体" w:eastAsia="宋体" w:hAnsi="宋体" w:cs="宋体" w:hint="eastAsia"/>
                <w:b/>
                <w:sz w:val="24"/>
                <w:szCs w:val="24"/>
              </w:rPr>
              <w:t>目录</w:t>
            </w:r>
          </w:p>
        </w:tc>
        <w:tc>
          <w:tcPr>
            <w:tcW w:w="5740" w:type="dxa"/>
            <w:vAlign w:val="center"/>
          </w:tcPr>
          <w:p>
            <w:pPr>
              <w:jc w:val="center"/>
              <w:rPr>
                <w:rFonts w:ascii="宋体" w:eastAsia="宋体" w:hAnsi="宋体" w:cs="宋体" w:hint="eastAsia"/>
                <w:b/>
                <w:sz w:val="24"/>
                <w:szCs w:val="24"/>
              </w:rPr>
            </w:pPr>
            <w:r>
              <w:rPr>
                <w:rFonts w:ascii="宋体" w:eastAsia="宋体" w:hAnsi="宋体" w:cs="宋体" w:hint="eastAsia"/>
                <w:b/>
                <w:sz w:val="24"/>
                <w:szCs w:val="24"/>
              </w:rPr>
              <w:t>商务需求</w:t>
            </w:r>
          </w:p>
        </w:tc>
      </w:tr>
      <w:tr>
        <w:tblPrEx>
          <w:tblW w:w="8522" w:type="dxa"/>
          <w:tblInd w:w="0" w:type="dxa"/>
          <w:tblLayout w:type="fixed"/>
          <w:tblCellMar>
            <w:top w:w="0" w:type="dxa"/>
            <w:left w:w="108" w:type="dxa"/>
            <w:bottom w:w="0" w:type="dxa"/>
            <w:right w:w="108" w:type="dxa"/>
          </w:tblCellMar>
        </w:tblPrEx>
        <w:trPr>
          <w:trHeight w:val="280"/>
        </w:trPr>
        <w:tc>
          <w:tcPr>
            <w:tcW w:w="8522" w:type="dxa"/>
            <w:gridSpan w:val="3"/>
          </w:tcPr>
          <w:p>
            <w:pPr>
              <w:rPr>
                <w:rFonts w:ascii="宋体" w:eastAsia="宋体" w:hAnsi="宋体" w:cs="宋体" w:hint="eastAsia"/>
                <w:b/>
                <w:sz w:val="24"/>
                <w:szCs w:val="24"/>
              </w:rPr>
            </w:pPr>
            <w:r>
              <w:rPr>
                <w:rFonts w:ascii="宋体" w:eastAsia="宋体" w:hAnsi="宋体" w:cs="宋体" w:hint="eastAsia"/>
                <w:b/>
                <w:sz w:val="24"/>
                <w:szCs w:val="24"/>
              </w:rPr>
              <w:t>（一）免费保修期内售后服务要求</w:t>
            </w:r>
          </w:p>
        </w:tc>
      </w:tr>
      <w:tr>
        <w:tblPrEx>
          <w:tblW w:w="8522" w:type="dxa"/>
          <w:tblInd w:w="0" w:type="dxa"/>
          <w:tblLayout w:type="fixed"/>
          <w:tblCellMar>
            <w:top w:w="0" w:type="dxa"/>
            <w:left w:w="108" w:type="dxa"/>
            <w:bottom w:w="0" w:type="dxa"/>
            <w:right w:w="108" w:type="dxa"/>
          </w:tblCellMar>
        </w:tblPrEx>
        <w:trPr>
          <w:trHeight w:val="723"/>
        </w:trPr>
        <w:tc>
          <w:tcPr>
            <w:tcW w:w="1217" w:type="dxa"/>
            <w:vMerge w:val="restart"/>
            <w:vAlign w:val="center"/>
          </w:tcPr>
          <w:p>
            <w:pPr>
              <w:jc w:val="center"/>
              <w:rPr>
                <w:rFonts w:ascii="宋体" w:eastAsia="宋体" w:hAnsi="宋体" w:cs="宋体" w:hint="eastAsia"/>
                <w:b/>
                <w:sz w:val="24"/>
                <w:szCs w:val="24"/>
              </w:rPr>
            </w:pPr>
            <w:r>
              <w:rPr>
                <w:rFonts w:ascii="宋体" w:eastAsia="宋体" w:hAnsi="宋体" w:cs="宋体" w:hint="eastAsia"/>
                <w:color w:val="000000"/>
                <w:sz w:val="24"/>
                <w:szCs w:val="24"/>
              </w:rPr>
              <w:t>1</w:t>
            </w:r>
          </w:p>
        </w:tc>
        <w:tc>
          <w:tcPr>
            <w:tcW w:w="1565" w:type="dxa"/>
            <w:vMerge w:val="restart"/>
            <w:vAlign w:val="center"/>
          </w:tcPr>
          <w:p>
            <w:pPr>
              <w:jc w:val="center"/>
              <w:rPr>
                <w:rFonts w:ascii="宋体" w:eastAsia="宋体" w:hAnsi="宋体" w:cs="宋体" w:hint="eastAsia"/>
                <w:b/>
                <w:sz w:val="24"/>
                <w:szCs w:val="24"/>
              </w:rPr>
            </w:pPr>
            <w:r>
              <w:rPr>
                <w:rFonts w:ascii="宋体" w:eastAsia="宋体" w:hAnsi="宋体" w:cs="宋体" w:hint="eastAsia"/>
                <w:color w:val="000000" w:themeColor="text1"/>
                <w:sz w:val="24"/>
                <w:szCs w:val="24"/>
              </w:rPr>
              <w:t>维修响应及维护服务</w:t>
            </w:r>
          </w:p>
        </w:tc>
        <w:tc>
          <w:tcPr>
            <w:tcW w:w="5740" w:type="dxa"/>
          </w:tcPr>
          <w:p>
            <w:pPr>
              <w:rPr>
                <w:rFonts w:ascii="宋体" w:eastAsia="宋体" w:hAnsi="宋体" w:cs="宋体" w:hint="eastAsia"/>
                <w:sz w:val="24"/>
                <w:szCs w:val="24"/>
              </w:rPr>
            </w:pPr>
            <w:r>
              <w:rPr>
                <w:rFonts w:ascii="宋体" w:eastAsia="宋体" w:hAnsi="宋体" w:cs="宋体" w:hint="eastAsia"/>
                <w:b/>
                <w:color w:val="000000" w:themeColor="text1"/>
                <w:sz w:val="24"/>
                <w:szCs w:val="24"/>
              </w:rPr>
              <w:t xml:space="preserve">1.1 </w:t>
            </w:r>
            <w:r>
              <w:rPr>
                <w:rFonts w:ascii="宋体" w:eastAsia="宋体" w:hAnsi="宋体" w:cs="宋体" w:hint="eastAsia"/>
                <w:bCs/>
                <w:color w:val="000000" w:themeColor="text1"/>
                <w:sz w:val="24"/>
                <w:szCs w:val="24"/>
              </w:rPr>
              <w:t>各投标人应在投标文件中列明各主机、配件和易耗品的保修期限。</w:t>
            </w:r>
          </w:p>
        </w:tc>
      </w:tr>
      <w:tr>
        <w:tblPrEx>
          <w:tblW w:w="8522" w:type="dxa"/>
          <w:tblInd w:w="0" w:type="dxa"/>
          <w:tblLayout w:type="fixed"/>
          <w:tblCellMar>
            <w:top w:w="0" w:type="dxa"/>
            <w:left w:w="108" w:type="dxa"/>
            <w:bottom w:w="0" w:type="dxa"/>
            <w:right w:w="108" w:type="dxa"/>
          </w:tblCellMar>
        </w:tblPrEx>
        <w:trPr>
          <w:trHeight w:val="723"/>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sz w:val="24"/>
                <w:szCs w:val="24"/>
              </w:rPr>
            </w:pPr>
          </w:p>
        </w:tc>
        <w:tc>
          <w:tcPr>
            <w:tcW w:w="5740" w:type="dxa"/>
          </w:tcPr>
          <w:p>
            <w:pPr>
              <w:rPr>
                <w:rFonts w:ascii="宋体" w:eastAsia="宋体" w:hAnsi="宋体" w:cs="宋体" w:hint="eastAsia"/>
                <w:bCs/>
                <w:color w:val="000000"/>
                <w:sz w:val="24"/>
                <w:szCs w:val="24"/>
              </w:rPr>
            </w:pPr>
            <w:r>
              <w:rPr>
                <w:rFonts w:ascii="宋体" w:eastAsia="宋体" w:hAnsi="宋体" w:cs="宋体" w:hint="eastAsia"/>
                <w:b/>
                <w:color w:val="000000" w:themeColor="text1"/>
                <w:sz w:val="24"/>
                <w:szCs w:val="24"/>
              </w:rPr>
              <w:t>★1.2</w:t>
            </w:r>
            <w:r>
              <w:rPr>
                <w:rFonts w:ascii="宋体" w:eastAsia="宋体" w:hAnsi="宋体" w:cs="宋体" w:hint="eastAsia"/>
                <w:bCs/>
                <w:color w:val="000000" w:themeColor="text1"/>
                <w:sz w:val="24"/>
                <w:szCs w:val="24"/>
              </w:rPr>
              <w:t>承诺提供整机免费保</w:t>
            </w:r>
            <w:r>
              <w:rPr>
                <w:rFonts w:ascii="宋体" w:eastAsia="宋体" w:hAnsi="宋体" w:cs="宋体" w:hint="eastAsia"/>
                <w:bCs/>
                <w:color w:val="000000" w:themeColor="text1"/>
                <w:sz w:val="24"/>
                <w:szCs w:val="24"/>
                <w:highlight w:val="none"/>
              </w:rPr>
              <w:t>修期不少于</w:t>
            </w:r>
            <w:r>
              <w:rPr>
                <w:rFonts w:ascii="宋体" w:eastAsia="宋体" w:hAnsi="宋体" w:cs="宋体" w:hint="eastAsia"/>
                <w:bCs/>
                <w:color w:val="000000" w:themeColor="text1"/>
                <w:sz w:val="24"/>
                <w:szCs w:val="24"/>
                <w:highlight w:val="none"/>
                <w:u w:val="single"/>
              </w:rPr>
              <w:t xml:space="preserve">2 </w:t>
            </w:r>
            <w:r>
              <w:rPr>
                <w:rFonts w:ascii="宋体" w:eastAsia="宋体" w:hAnsi="宋体" w:cs="宋体" w:hint="eastAsia"/>
                <w:bCs/>
                <w:color w:val="000000" w:themeColor="text1"/>
                <w:sz w:val="24"/>
                <w:szCs w:val="24"/>
                <w:highlight w:val="none"/>
              </w:rPr>
              <w:t>年，终身维修，保修期内,年度定期预防性维护保养次数应不</w:t>
            </w:r>
            <w:r>
              <w:rPr>
                <w:rFonts w:ascii="宋体" w:eastAsia="宋体" w:hAnsi="宋体" w:cs="宋体" w:hint="eastAsia"/>
                <w:bCs/>
                <w:color w:val="000000" w:themeColor="text1"/>
                <w:sz w:val="24"/>
                <w:szCs w:val="24"/>
              </w:rPr>
              <w:t xml:space="preserve">少于 3 次。保修期内免费 更换零配件、免工时费。 </w:t>
            </w:r>
          </w:p>
        </w:tc>
      </w:tr>
      <w:tr>
        <w:tblPrEx>
          <w:tblW w:w="8522" w:type="dxa"/>
          <w:tblInd w:w="0" w:type="dxa"/>
          <w:tblLayout w:type="fixed"/>
          <w:tblCellMar>
            <w:top w:w="0" w:type="dxa"/>
            <w:left w:w="108" w:type="dxa"/>
            <w:bottom w:w="0" w:type="dxa"/>
            <w:right w:w="108" w:type="dxa"/>
          </w:tblCellMar>
        </w:tblPrEx>
        <w:trPr>
          <w:trHeight w:val="723"/>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sz w:val="24"/>
                <w:szCs w:val="24"/>
              </w:rPr>
            </w:pPr>
          </w:p>
        </w:tc>
        <w:tc>
          <w:tcPr>
            <w:tcW w:w="5740" w:type="dxa"/>
          </w:tcPr>
          <w:p>
            <w:pPr>
              <w:rPr>
                <w:rFonts w:ascii="宋体" w:eastAsia="宋体" w:hAnsi="宋体" w:cs="宋体" w:hint="eastAsia"/>
                <w:bCs/>
                <w:color w:val="000000"/>
                <w:sz w:val="24"/>
                <w:szCs w:val="24"/>
              </w:rPr>
            </w:pPr>
            <w:r>
              <w:rPr>
                <w:rFonts w:ascii="宋体" w:eastAsia="宋体" w:hAnsi="宋体" w:cs="宋体" w:hint="eastAsia"/>
                <w:b/>
                <w:color w:val="000000" w:themeColor="text1"/>
                <w:sz w:val="24"/>
                <w:szCs w:val="24"/>
              </w:rPr>
              <w:t xml:space="preserve">1.3 </w:t>
            </w:r>
            <w:r>
              <w:rPr>
                <w:rFonts w:ascii="宋体" w:eastAsia="宋体" w:hAnsi="宋体" w:cs="宋体" w:hint="eastAsia"/>
                <w:bCs/>
                <w:color w:val="000000" w:themeColor="text1"/>
                <w:sz w:val="24"/>
                <w:szCs w:val="24"/>
              </w:rPr>
              <w:t>由设备制造商提供售后服务，</w:t>
            </w:r>
            <w:r>
              <w:rPr>
                <w:rFonts w:ascii="宋体" w:eastAsia="宋体" w:hAnsi="宋体" w:cs="宋体" w:hint="eastAsia"/>
                <w:bCs/>
                <w:color w:val="000000" w:themeColor="text1"/>
                <w:sz w:val="24"/>
                <w:szCs w:val="24"/>
                <w:u w:val="single"/>
              </w:rPr>
              <w:t xml:space="preserve">4 </w:t>
            </w:r>
            <w:r>
              <w:rPr>
                <w:rFonts w:ascii="宋体" w:eastAsia="宋体" w:hAnsi="宋体" w:cs="宋体" w:hint="eastAsia"/>
                <w:bCs/>
                <w:color w:val="000000" w:themeColor="text1"/>
                <w:sz w:val="24"/>
                <w:szCs w:val="24"/>
              </w:rPr>
              <w:t>小时内响应，</w:t>
            </w:r>
            <w:r>
              <w:rPr>
                <w:rFonts w:ascii="宋体" w:eastAsia="宋体" w:hAnsi="宋体" w:cs="宋体" w:hint="eastAsia"/>
                <w:bCs/>
                <w:color w:val="000000" w:themeColor="text1"/>
                <w:sz w:val="24"/>
                <w:szCs w:val="24"/>
                <w:u w:val="single"/>
              </w:rPr>
              <w:t xml:space="preserve">24 </w:t>
            </w:r>
            <w:r>
              <w:rPr>
                <w:rFonts w:ascii="宋体" w:eastAsia="宋体" w:hAnsi="宋体" w:cs="宋体" w:hint="eastAsia"/>
                <w:bCs/>
                <w:color w:val="000000" w:themeColor="text1"/>
                <w:sz w:val="24"/>
                <w:szCs w:val="24"/>
              </w:rPr>
              <w:t xml:space="preserve">小时维修到位（不可抗力情况除外）,否则提供备用机,消耗品和零配件供应及时。 </w:t>
            </w:r>
          </w:p>
        </w:tc>
      </w:tr>
      <w:tr>
        <w:tblPrEx>
          <w:tblW w:w="8522" w:type="dxa"/>
          <w:tblInd w:w="0" w:type="dxa"/>
          <w:tblLayout w:type="fixed"/>
          <w:tblCellMar>
            <w:top w:w="0" w:type="dxa"/>
            <w:left w:w="108" w:type="dxa"/>
            <w:bottom w:w="0" w:type="dxa"/>
            <w:right w:w="108" w:type="dxa"/>
          </w:tblCellMar>
        </w:tblPrEx>
        <w:trPr>
          <w:trHeight w:val="723"/>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sz w:val="24"/>
                <w:szCs w:val="24"/>
              </w:rPr>
            </w:pPr>
          </w:p>
        </w:tc>
        <w:tc>
          <w:tcPr>
            <w:tcW w:w="5740" w:type="dxa"/>
          </w:tcPr>
          <w:p>
            <w:pPr>
              <w:rPr>
                <w:rFonts w:ascii="宋体" w:eastAsia="宋体" w:hAnsi="宋体" w:cs="宋体" w:hint="eastAsia"/>
                <w:bCs/>
                <w:color w:val="000000"/>
                <w:sz w:val="24"/>
                <w:szCs w:val="24"/>
              </w:rPr>
            </w:pPr>
            <w:r>
              <w:rPr>
                <w:rFonts w:ascii="宋体" w:eastAsia="宋体" w:hAnsi="宋体" w:cs="宋体" w:hint="eastAsia"/>
                <w:b/>
                <w:color w:val="000000" w:themeColor="text1"/>
                <w:sz w:val="24"/>
                <w:szCs w:val="24"/>
              </w:rPr>
              <w:t>1.4</w:t>
            </w:r>
            <w:r>
              <w:rPr>
                <w:rFonts w:ascii="宋体" w:eastAsia="宋体" w:hAnsi="宋体" w:cs="宋体" w:hint="eastAsia"/>
                <w:color w:val="000000" w:themeColor="text1"/>
                <w:sz w:val="24"/>
                <w:szCs w:val="24"/>
              </w:rPr>
              <w:t>投标人负责货物的终身维护</w:t>
            </w:r>
            <w:r>
              <w:rPr>
                <w:rFonts w:ascii="宋体" w:eastAsia="宋体" w:hAnsi="宋体" w:cs="宋体" w:hint="eastAsia"/>
                <w:bCs/>
                <w:color w:val="000000" w:themeColor="text1"/>
                <w:sz w:val="24"/>
                <w:szCs w:val="24"/>
              </w:rPr>
              <w:t>，保证</w:t>
            </w:r>
            <w:r>
              <w:rPr>
                <w:rFonts w:ascii="宋体" w:eastAsia="宋体" w:hAnsi="宋体" w:cs="宋体" w:hint="eastAsia"/>
                <w:bCs/>
                <w:color w:val="000000" w:themeColor="text1"/>
                <w:sz w:val="24"/>
                <w:szCs w:val="24"/>
                <w:highlight w:val="none"/>
                <w:u w:val="single"/>
              </w:rPr>
              <w:t xml:space="preserve"> 5 </w:t>
            </w:r>
            <w:r>
              <w:rPr>
                <w:rFonts w:ascii="宋体" w:eastAsia="宋体" w:hAnsi="宋体" w:cs="宋体" w:hint="eastAsia"/>
                <w:bCs/>
                <w:color w:val="000000" w:themeColor="text1"/>
                <w:sz w:val="24"/>
                <w:szCs w:val="24"/>
                <w:highlight w:val="none"/>
              </w:rPr>
              <w:t>年</w:t>
            </w:r>
            <w:r>
              <w:rPr>
                <w:rFonts w:ascii="宋体" w:eastAsia="宋体" w:hAnsi="宋体" w:cs="宋体" w:hint="eastAsia"/>
                <w:bCs/>
                <w:color w:val="000000" w:themeColor="text1"/>
                <w:sz w:val="24"/>
                <w:szCs w:val="24"/>
              </w:rPr>
              <w:t>以上供应维修配件，终身免费提供软件升级服务。在免费保修期后，维修只收取零配件费用，不收取其他任何费用。</w:t>
            </w:r>
          </w:p>
        </w:tc>
      </w:tr>
      <w:tr>
        <w:tblPrEx>
          <w:tblW w:w="8522" w:type="dxa"/>
          <w:tblInd w:w="0" w:type="dxa"/>
          <w:tblLayout w:type="fixed"/>
          <w:tblCellMar>
            <w:top w:w="0" w:type="dxa"/>
            <w:left w:w="108" w:type="dxa"/>
            <w:bottom w:w="0" w:type="dxa"/>
            <w:right w:w="108" w:type="dxa"/>
          </w:tblCellMar>
        </w:tblPrEx>
        <w:trPr>
          <w:trHeight w:val="723"/>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sz w:val="24"/>
                <w:szCs w:val="24"/>
              </w:rPr>
            </w:pPr>
          </w:p>
        </w:tc>
        <w:tc>
          <w:tcPr>
            <w:tcW w:w="5740" w:type="dxa"/>
          </w:tcPr>
          <w:p>
            <w:pPr>
              <w:rPr>
                <w:rFonts w:ascii="宋体" w:eastAsia="宋体" w:hAnsi="宋体" w:cs="宋体" w:hint="eastAsia"/>
                <w:bCs/>
                <w:color w:val="000000"/>
                <w:sz w:val="24"/>
                <w:szCs w:val="24"/>
              </w:rPr>
            </w:pPr>
            <w:r>
              <w:rPr>
                <w:rFonts w:ascii="宋体" w:eastAsia="宋体" w:hAnsi="宋体" w:cs="宋体" w:hint="eastAsia"/>
                <w:b/>
                <w:color w:val="000000" w:themeColor="text1"/>
                <w:sz w:val="24"/>
                <w:szCs w:val="24"/>
              </w:rPr>
              <w:t>1.5</w:t>
            </w:r>
            <w:r>
              <w:rPr>
                <w:rFonts w:ascii="宋体" w:eastAsia="宋体" w:hAnsi="宋体" w:cs="宋体" w:hint="eastAsia"/>
                <w:color w:val="000000" w:themeColor="text1"/>
                <w:sz w:val="24"/>
                <w:szCs w:val="24"/>
              </w:rPr>
              <w:t>需免费提供标准DICOM格式及开放接口，并与医院H</w:t>
            </w:r>
            <w:r>
              <w:rPr>
                <w:rFonts w:ascii="宋体" w:eastAsia="宋体" w:hAnsi="宋体" w:cs="宋体" w:hint="eastAsia"/>
                <w:color w:val="000000" w:themeColor="text1"/>
                <w:sz w:val="24"/>
                <w:szCs w:val="24"/>
                <w:highlight w:val="none"/>
              </w:rPr>
              <w:t>IS</w:t>
            </w:r>
            <w:r>
              <w:rPr>
                <w:rFonts w:ascii="宋体" w:eastAsia="宋体" w:hAnsi="宋体" w:cs="宋体" w:hint="eastAsia"/>
                <w:strike w:val="0"/>
                <w:dstrike w:val="0"/>
                <w:color w:val="000000" w:themeColor="text1"/>
                <w:sz w:val="24"/>
                <w:szCs w:val="24"/>
                <w:highlight w:val="none"/>
              </w:rPr>
              <w:t>等</w:t>
            </w:r>
            <w:r>
              <w:rPr>
                <w:rFonts w:ascii="宋体" w:eastAsia="宋体" w:hAnsi="宋体" w:cs="宋体" w:hint="eastAsia"/>
                <w:strike w:val="0"/>
                <w:dstrike w:val="0"/>
                <w:color w:val="000000" w:themeColor="text1"/>
                <w:sz w:val="24"/>
                <w:szCs w:val="24"/>
                <w:highlight w:val="none"/>
                <w:lang w:val="en-US" w:eastAsia="zh-CN"/>
              </w:rPr>
              <w:t>信息化软件</w:t>
            </w:r>
            <w:r>
              <w:rPr>
                <w:rFonts w:ascii="宋体" w:eastAsia="宋体" w:hAnsi="宋体" w:cs="宋体" w:hint="eastAsia"/>
                <w:strike w:val="0"/>
                <w:dstrike w:val="0"/>
                <w:color w:val="000000" w:themeColor="text1"/>
                <w:sz w:val="24"/>
                <w:szCs w:val="24"/>
                <w:highlight w:val="none"/>
              </w:rPr>
              <w:t>系统</w:t>
            </w:r>
            <w:r>
              <w:rPr>
                <w:rFonts w:ascii="宋体" w:eastAsia="宋体" w:hAnsi="宋体" w:cs="宋体" w:hint="eastAsia"/>
                <w:color w:val="000000" w:themeColor="text1"/>
                <w:sz w:val="24"/>
                <w:szCs w:val="24"/>
                <w:highlight w:val="none"/>
              </w:rPr>
              <w:t>进行</w:t>
            </w:r>
            <w:r>
              <w:rPr>
                <w:rFonts w:ascii="宋体" w:eastAsia="宋体" w:hAnsi="宋体" w:cs="宋体" w:hint="eastAsia"/>
                <w:color w:val="000000" w:themeColor="text1"/>
                <w:sz w:val="24"/>
                <w:szCs w:val="24"/>
              </w:rPr>
              <w:t>无缝对接，符合实时数据采集上传和局域网存储功能，产生费用由中标单位自行承担</w:t>
            </w:r>
            <w:r>
              <w:rPr>
                <w:rStyle w:val="CommentReference"/>
                <w:rFonts w:ascii="宋体" w:eastAsia="宋体" w:hAnsi="宋体" w:cs="宋体" w:hint="eastAsia"/>
                <w:color w:val="000000" w:themeColor="text1"/>
                <w:sz w:val="24"/>
                <w:szCs w:val="24"/>
              </w:rPr>
              <w:t>。</w:t>
            </w:r>
          </w:p>
        </w:tc>
      </w:tr>
      <w:tr>
        <w:tblPrEx>
          <w:tblW w:w="8522" w:type="dxa"/>
          <w:tblInd w:w="0" w:type="dxa"/>
          <w:tblLayout w:type="fixed"/>
          <w:tblCellMar>
            <w:top w:w="0" w:type="dxa"/>
            <w:left w:w="108" w:type="dxa"/>
            <w:bottom w:w="0" w:type="dxa"/>
            <w:right w:w="108" w:type="dxa"/>
          </w:tblCellMar>
        </w:tblPrEx>
        <w:trPr>
          <w:trHeight w:val="723"/>
        </w:trPr>
        <w:tc>
          <w:tcPr>
            <w:tcW w:w="1217" w:type="dxa"/>
            <w:vAlign w:val="center"/>
          </w:tcPr>
          <w:p>
            <w:pPr>
              <w:jc w:val="center"/>
              <w:rPr>
                <w:rFonts w:ascii="宋体" w:eastAsia="宋体" w:hAnsi="宋体" w:cs="宋体" w:hint="eastAsia"/>
                <w:color w:val="000000"/>
                <w:sz w:val="24"/>
                <w:szCs w:val="24"/>
              </w:rPr>
            </w:pPr>
            <w:r>
              <w:rPr>
                <w:rFonts w:ascii="宋体" w:eastAsia="宋体" w:hAnsi="宋体" w:cs="宋体" w:hint="eastAsia"/>
                <w:color w:val="000000"/>
                <w:sz w:val="24"/>
                <w:szCs w:val="24"/>
              </w:rPr>
              <w:t>2</w:t>
            </w:r>
          </w:p>
        </w:tc>
        <w:tc>
          <w:tcPr>
            <w:tcW w:w="1565" w:type="dxa"/>
            <w:vAlign w:val="center"/>
          </w:tcPr>
          <w:p>
            <w:pPr>
              <w:jc w:val="center"/>
              <w:rPr>
                <w:rFonts w:ascii="宋体" w:eastAsia="宋体" w:hAnsi="宋体" w:cs="宋体" w:hint="eastAsia"/>
                <w:bCs/>
                <w:sz w:val="24"/>
                <w:szCs w:val="24"/>
              </w:rPr>
            </w:pPr>
            <w:r>
              <w:rPr>
                <w:rFonts w:ascii="宋体" w:eastAsia="宋体" w:hAnsi="宋体" w:cs="宋体" w:hint="eastAsia"/>
                <w:sz w:val="24"/>
                <w:szCs w:val="24"/>
              </w:rPr>
              <w:t>质量保证</w:t>
            </w:r>
          </w:p>
        </w:tc>
        <w:tc>
          <w:tcPr>
            <w:tcW w:w="5740" w:type="dxa"/>
            <w:vAlign w:val="center"/>
          </w:tcPr>
          <w:p>
            <w:pPr>
              <w:rPr>
                <w:rFonts w:ascii="宋体" w:eastAsia="宋体" w:hAnsi="宋体" w:cs="宋体" w:hint="eastAsia"/>
                <w:bCs/>
                <w:color w:val="000000"/>
                <w:sz w:val="24"/>
                <w:szCs w:val="24"/>
              </w:rPr>
            </w:pPr>
            <w:r>
              <w:rPr>
                <w:rFonts w:ascii="宋体" w:eastAsia="宋体" w:hAnsi="宋体" w:cs="宋体" w:hint="eastAsia"/>
                <w:b/>
                <w:sz w:val="24"/>
                <w:szCs w:val="24"/>
              </w:rPr>
              <w:t>2.1</w:t>
            </w:r>
            <w:r>
              <w:rPr>
                <w:rFonts w:ascii="宋体" w:eastAsia="宋体" w:hAnsi="宋体" w:cs="宋体" w:hint="eastAsia"/>
                <w:bCs/>
                <w:sz w:val="24"/>
                <w:szCs w:val="24"/>
              </w:rPr>
              <w:t>在保修期内, 投标人应确保年开机率在95%</w:t>
            </w:r>
            <w:r>
              <w:rPr>
                <w:rFonts w:ascii="宋体" w:eastAsia="宋体" w:hAnsi="宋体" w:cs="宋体" w:hint="eastAsia"/>
                <w:sz w:val="24"/>
                <w:szCs w:val="24"/>
              </w:rPr>
              <w:t>（含95%）</w:t>
            </w:r>
            <w:r>
              <w:rPr>
                <w:rFonts w:ascii="宋体" w:eastAsia="宋体" w:hAnsi="宋体" w:cs="宋体" w:hint="eastAsia"/>
                <w:bCs/>
                <w:sz w:val="24"/>
                <w:szCs w:val="24"/>
              </w:rPr>
              <w:t>以上, 若不能达到此开机率，将作以下处理：a. 年开机率在90</w:t>
            </w:r>
            <w:r>
              <w:rPr>
                <w:rFonts w:ascii="宋体" w:eastAsia="宋体" w:hAnsi="宋体" w:cs="宋体" w:hint="eastAsia"/>
                <w:sz w:val="24"/>
                <w:szCs w:val="24"/>
              </w:rPr>
              <w:t>（含90%）</w:t>
            </w:r>
            <w:r>
              <w:rPr>
                <w:rFonts w:ascii="宋体" w:eastAsia="宋体" w:hAnsi="宋体" w:cs="宋体" w:hint="eastAsia"/>
                <w:bCs/>
                <w:sz w:val="24"/>
                <w:szCs w:val="24"/>
              </w:rPr>
              <w:t>-95%之间按一赔</w:t>
            </w:r>
            <w:r>
              <w:rPr>
                <w:rFonts w:ascii="宋体" w:eastAsia="宋体" w:hAnsi="宋体" w:cs="宋体" w:hint="eastAsia"/>
                <w:bCs/>
                <w:sz w:val="24"/>
                <w:szCs w:val="24"/>
                <w:u w:val="single"/>
              </w:rPr>
              <w:t xml:space="preserve">2  </w:t>
            </w:r>
            <w:r>
              <w:rPr>
                <w:rFonts w:ascii="宋体" w:eastAsia="宋体" w:hAnsi="宋体" w:cs="宋体" w:hint="eastAsia"/>
                <w:bCs/>
                <w:sz w:val="24"/>
                <w:szCs w:val="24"/>
              </w:rPr>
              <w:t>延长保修期；b. 年开机率在85</w:t>
            </w:r>
            <w:r>
              <w:rPr>
                <w:rFonts w:ascii="宋体" w:eastAsia="宋体" w:hAnsi="宋体" w:cs="宋体" w:hint="eastAsia"/>
                <w:sz w:val="24"/>
                <w:szCs w:val="24"/>
              </w:rPr>
              <w:t>（含85%）</w:t>
            </w:r>
            <w:r>
              <w:rPr>
                <w:rFonts w:ascii="宋体" w:eastAsia="宋体" w:hAnsi="宋体" w:cs="宋体" w:hint="eastAsia"/>
                <w:bCs/>
                <w:sz w:val="24"/>
                <w:szCs w:val="24"/>
              </w:rPr>
              <w:t>-90%之间按一赔</w:t>
            </w:r>
            <w:r>
              <w:rPr>
                <w:rFonts w:ascii="宋体" w:eastAsia="宋体" w:hAnsi="宋体" w:cs="宋体" w:hint="eastAsia"/>
                <w:bCs/>
                <w:sz w:val="24"/>
                <w:szCs w:val="24"/>
                <w:u w:val="single"/>
              </w:rPr>
              <w:t xml:space="preserve"> 3</w:t>
            </w:r>
            <w:r>
              <w:rPr>
                <w:rFonts w:ascii="宋体" w:eastAsia="宋体" w:hAnsi="宋体" w:cs="宋体" w:hint="eastAsia"/>
                <w:bCs/>
                <w:sz w:val="24"/>
                <w:szCs w:val="24"/>
              </w:rPr>
              <w:t>延长保修期；c. 年开机率低于85%，投标人必须无条件更换新机，并重新计算保修期，以及赔偿用户的直接经济损失和间接经济损失。注：年开机率=（365-停机天数）/365）</w:t>
            </w:r>
          </w:p>
        </w:tc>
      </w:tr>
      <w:tr>
        <w:tblPrEx>
          <w:tblW w:w="8522" w:type="dxa"/>
          <w:tblInd w:w="0" w:type="dxa"/>
          <w:tblLayout w:type="fixed"/>
          <w:tblCellMar>
            <w:top w:w="0" w:type="dxa"/>
            <w:left w:w="108" w:type="dxa"/>
            <w:bottom w:w="0" w:type="dxa"/>
            <w:right w:w="108" w:type="dxa"/>
          </w:tblCellMar>
        </w:tblPrEx>
        <w:trPr>
          <w:trHeight w:val="723"/>
        </w:trPr>
        <w:tc>
          <w:tcPr>
            <w:tcW w:w="1217" w:type="dxa"/>
            <w:vMerge w:val="restart"/>
            <w:vAlign w:val="center"/>
          </w:tcPr>
          <w:p>
            <w:pPr>
              <w:jc w:val="center"/>
              <w:rPr>
                <w:rFonts w:ascii="宋体" w:eastAsia="宋体" w:hAnsi="宋体" w:cs="宋体" w:hint="eastAsia"/>
                <w:color w:val="000000"/>
                <w:sz w:val="24"/>
                <w:szCs w:val="24"/>
              </w:rPr>
            </w:pPr>
            <w:r>
              <w:rPr>
                <w:rFonts w:ascii="宋体" w:eastAsia="宋体" w:hAnsi="宋体" w:cs="宋体" w:hint="eastAsia"/>
                <w:color w:val="000000"/>
                <w:sz w:val="24"/>
                <w:szCs w:val="24"/>
              </w:rPr>
              <w:t>3</w:t>
            </w:r>
          </w:p>
        </w:tc>
        <w:tc>
          <w:tcPr>
            <w:tcW w:w="1565" w:type="dxa"/>
            <w:vMerge w:val="restart"/>
            <w:vAlign w:val="center"/>
          </w:tcPr>
          <w:p>
            <w:pPr>
              <w:jc w:val="center"/>
              <w:rPr>
                <w:rFonts w:ascii="宋体" w:eastAsia="宋体" w:hAnsi="宋体" w:cs="宋体" w:hint="eastAsia"/>
                <w:bCs/>
                <w:sz w:val="24"/>
                <w:szCs w:val="24"/>
              </w:rPr>
            </w:pPr>
            <w:r>
              <w:rPr>
                <w:rFonts w:ascii="宋体" w:eastAsia="宋体" w:hAnsi="宋体" w:cs="宋体" w:hint="eastAsia"/>
                <w:sz w:val="24"/>
                <w:szCs w:val="24"/>
              </w:rPr>
              <w:t>其他</w:t>
            </w:r>
          </w:p>
        </w:tc>
        <w:tc>
          <w:tcPr>
            <w:tcW w:w="5740" w:type="dxa"/>
            <w:vAlign w:val="center"/>
          </w:tcPr>
          <w:p>
            <w:pPr>
              <w:rPr>
                <w:rFonts w:ascii="宋体" w:eastAsia="宋体" w:hAnsi="宋体" w:cs="宋体" w:hint="eastAsia"/>
                <w:b/>
                <w:sz w:val="24"/>
                <w:szCs w:val="24"/>
              </w:rPr>
            </w:pPr>
            <w:r>
              <w:rPr>
                <w:rFonts w:ascii="宋体" w:eastAsia="宋体" w:hAnsi="宋体" w:cs="宋体" w:hint="eastAsia"/>
                <w:b/>
                <w:sz w:val="24"/>
                <w:szCs w:val="24"/>
              </w:rPr>
              <w:t>3.1</w:t>
            </w:r>
            <w:r>
              <w:rPr>
                <w:rFonts w:ascii="宋体" w:eastAsia="宋体" w:hAnsi="宋体" w:cs="宋体" w:hint="eastAsia"/>
                <w:bCs/>
                <w:sz w:val="24"/>
                <w:szCs w:val="24"/>
              </w:rPr>
              <w:t>投标人应按其投标文件中的承诺，进行其他售后服务工作。</w:t>
            </w:r>
          </w:p>
        </w:tc>
      </w:tr>
      <w:tr>
        <w:tblPrEx>
          <w:tblW w:w="8522" w:type="dxa"/>
          <w:tblInd w:w="0" w:type="dxa"/>
          <w:tblLayout w:type="fixed"/>
          <w:tblCellMar>
            <w:top w:w="0" w:type="dxa"/>
            <w:left w:w="108" w:type="dxa"/>
            <w:bottom w:w="0" w:type="dxa"/>
            <w:right w:w="108" w:type="dxa"/>
          </w:tblCellMar>
        </w:tblPrEx>
        <w:trPr>
          <w:trHeight w:val="723"/>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sz w:val="24"/>
                <w:szCs w:val="24"/>
              </w:rPr>
            </w:pPr>
          </w:p>
        </w:tc>
        <w:tc>
          <w:tcPr>
            <w:tcW w:w="5740" w:type="dxa"/>
            <w:vAlign w:val="center"/>
          </w:tcPr>
          <w:p>
            <w:pPr>
              <w:rPr>
                <w:rFonts w:ascii="宋体" w:eastAsia="宋体" w:hAnsi="宋体" w:cs="宋体" w:hint="eastAsia"/>
                <w:bCs/>
                <w:color w:val="000000"/>
                <w:sz w:val="24"/>
                <w:szCs w:val="24"/>
              </w:rPr>
            </w:pPr>
            <w:r>
              <w:rPr>
                <w:rFonts w:ascii="宋体" w:eastAsia="宋体" w:hAnsi="宋体" w:cs="宋体" w:hint="eastAsia"/>
                <w:b/>
                <w:sz w:val="24"/>
                <w:szCs w:val="24"/>
              </w:rPr>
              <w:t>3.2</w:t>
            </w:r>
            <w:r>
              <w:rPr>
                <w:rFonts w:ascii="宋体" w:eastAsia="宋体" w:hAnsi="宋体" w:cs="宋体" w:hint="eastAsia"/>
                <w:bCs/>
                <w:sz w:val="24"/>
                <w:szCs w:val="24"/>
              </w:rPr>
              <w:t>为保障用户利益，设备生产厂家或其全资子公司需在广东配备有常驻人员，需提供常驻人员的缴纳社保的证明。</w:t>
            </w:r>
          </w:p>
        </w:tc>
      </w:tr>
      <w:tr>
        <w:tblPrEx>
          <w:tblW w:w="8522" w:type="dxa"/>
          <w:tblInd w:w="0" w:type="dxa"/>
          <w:tblLayout w:type="fixed"/>
          <w:tblCellMar>
            <w:top w:w="0" w:type="dxa"/>
            <w:left w:w="108" w:type="dxa"/>
            <w:bottom w:w="0" w:type="dxa"/>
            <w:right w:w="108" w:type="dxa"/>
          </w:tblCellMar>
        </w:tblPrEx>
        <w:trPr>
          <w:trHeight w:val="280"/>
        </w:trPr>
        <w:tc>
          <w:tcPr>
            <w:tcW w:w="8522" w:type="dxa"/>
            <w:gridSpan w:val="3"/>
          </w:tcPr>
          <w:p>
            <w:pPr>
              <w:spacing w:line="300" w:lineRule="exact"/>
              <w:rPr>
                <w:rFonts w:ascii="宋体" w:eastAsia="宋体" w:hAnsi="宋体" w:cs="宋体" w:hint="eastAsia"/>
                <w:b/>
                <w:sz w:val="24"/>
                <w:szCs w:val="24"/>
              </w:rPr>
            </w:pPr>
            <w:r>
              <w:rPr>
                <w:rFonts w:ascii="宋体" w:eastAsia="宋体" w:hAnsi="宋体" w:cs="宋体" w:hint="eastAsia"/>
                <w:b/>
                <w:sz w:val="24"/>
                <w:szCs w:val="24"/>
              </w:rPr>
              <w:t>（二）免费保修期外售后服务要求</w:t>
            </w:r>
          </w:p>
        </w:tc>
      </w:tr>
      <w:tr>
        <w:tblPrEx>
          <w:tblW w:w="8522" w:type="dxa"/>
          <w:tblInd w:w="0" w:type="dxa"/>
          <w:tblLayout w:type="fixed"/>
          <w:tblCellMar>
            <w:top w:w="0" w:type="dxa"/>
            <w:left w:w="108" w:type="dxa"/>
            <w:bottom w:w="0" w:type="dxa"/>
            <w:right w:w="108" w:type="dxa"/>
          </w:tblCellMar>
        </w:tblPrEx>
        <w:trPr>
          <w:trHeight w:val="350"/>
        </w:trPr>
        <w:tc>
          <w:tcPr>
            <w:tcW w:w="1217" w:type="dxa"/>
            <w:vMerge w:val="restart"/>
            <w:vAlign w:val="center"/>
          </w:tcPr>
          <w:p>
            <w:pPr>
              <w:jc w:val="center"/>
              <w:rPr>
                <w:rFonts w:ascii="宋体" w:eastAsia="宋体" w:hAnsi="宋体" w:cs="宋体" w:hint="eastAsia"/>
                <w:b/>
                <w:sz w:val="24"/>
                <w:szCs w:val="24"/>
              </w:rPr>
            </w:pPr>
            <w:r>
              <w:rPr>
                <w:rFonts w:ascii="宋体" w:eastAsia="宋体" w:hAnsi="宋体" w:cs="宋体" w:hint="eastAsia"/>
                <w:color w:val="000000"/>
                <w:sz w:val="24"/>
                <w:szCs w:val="24"/>
              </w:rPr>
              <w:t>1</w:t>
            </w:r>
          </w:p>
        </w:tc>
        <w:tc>
          <w:tcPr>
            <w:tcW w:w="1565" w:type="dxa"/>
            <w:vMerge w:val="restart"/>
            <w:vAlign w:val="center"/>
          </w:tcPr>
          <w:p>
            <w:pPr>
              <w:jc w:val="center"/>
              <w:rPr>
                <w:rFonts w:ascii="宋体" w:eastAsia="宋体" w:hAnsi="宋体" w:cs="宋体" w:hint="eastAsia"/>
                <w:b/>
                <w:sz w:val="24"/>
                <w:szCs w:val="24"/>
              </w:rPr>
            </w:pPr>
            <w:r>
              <w:rPr>
                <w:rFonts w:ascii="宋体" w:eastAsia="宋体" w:hAnsi="宋体" w:cs="宋体" w:hint="eastAsia"/>
                <w:bCs/>
                <w:color w:val="000000"/>
                <w:sz w:val="24"/>
                <w:szCs w:val="24"/>
              </w:rPr>
              <w:t>免费保修期外售后要求</w:t>
            </w:r>
          </w:p>
        </w:tc>
        <w:tc>
          <w:tcPr>
            <w:tcW w:w="5740" w:type="dxa"/>
          </w:tcPr>
          <w:p>
            <w:pPr>
              <w:spacing w:line="300" w:lineRule="exact"/>
              <w:rPr>
                <w:rFonts w:ascii="宋体" w:eastAsia="宋体" w:hAnsi="宋体" w:cs="宋体" w:hint="eastAsia"/>
                <w:sz w:val="24"/>
                <w:szCs w:val="24"/>
              </w:rPr>
            </w:pPr>
            <w:r>
              <w:rPr>
                <w:rFonts w:ascii="宋体" w:eastAsia="宋体" w:hAnsi="宋体" w:cs="宋体" w:hint="eastAsia"/>
                <w:b/>
                <w:bCs/>
                <w:sz w:val="24"/>
                <w:szCs w:val="24"/>
              </w:rPr>
              <w:t>1.1</w:t>
            </w:r>
            <w:r>
              <w:rPr>
                <w:rFonts w:ascii="宋体" w:eastAsia="宋体" w:hAnsi="宋体" w:cs="宋体" w:hint="eastAsia"/>
                <w:sz w:val="24"/>
                <w:szCs w:val="24"/>
              </w:rPr>
              <w:t>由设备制造商提供售后服务，</w:t>
            </w:r>
            <w:r>
              <w:rPr>
                <w:rFonts w:ascii="宋体" w:eastAsia="宋体" w:hAnsi="宋体" w:cs="宋体" w:hint="eastAsia"/>
                <w:bCs/>
                <w:sz w:val="24"/>
                <w:szCs w:val="24"/>
                <w:u w:val="single"/>
              </w:rPr>
              <w:t xml:space="preserve"> 4 </w:t>
            </w:r>
            <w:r>
              <w:rPr>
                <w:rFonts w:ascii="宋体" w:eastAsia="宋体" w:hAnsi="宋体" w:cs="宋体" w:hint="eastAsia"/>
                <w:sz w:val="24"/>
                <w:szCs w:val="24"/>
              </w:rPr>
              <w:t>小时内响应</w:t>
            </w:r>
            <w:r>
              <w:rPr>
                <w:rFonts w:ascii="宋体" w:eastAsia="宋体" w:hAnsi="宋体" w:cs="宋体" w:hint="eastAsia"/>
                <w:bCs/>
                <w:sz w:val="24"/>
                <w:szCs w:val="24"/>
                <w:u w:val="single"/>
              </w:rPr>
              <w:t xml:space="preserve">24  </w:t>
            </w:r>
            <w:r>
              <w:rPr>
                <w:rFonts w:ascii="宋体" w:eastAsia="宋体" w:hAnsi="宋体" w:cs="宋体" w:hint="eastAsia"/>
                <w:sz w:val="24"/>
                <w:szCs w:val="24"/>
              </w:rPr>
              <w:t>小时维修到位（不可抗力情况除外）。消耗品和零配件供应及时，特殊情况下可提供备用机。</w:t>
            </w:r>
          </w:p>
        </w:tc>
      </w:tr>
      <w:tr>
        <w:tblPrEx>
          <w:tblW w:w="8522" w:type="dxa"/>
          <w:tblInd w:w="0" w:type="dxa"/>
          <w:tblLayout w:type="fixed"/>
          <w:tblCellMar>
            <w:top w:w="0" w:type="dxa"/>
            <w:left w:w="108" w:type="dxa"/>
            <w:bottom w:w="0" w:type="dxa"/>
            <w:right w:w="108" w:type="dxa"/>
          </w:tblCellMar>
        </w:tblPrEx>
        <w:trPr>
          <w:trHeight w:val="350"/>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spacing w:line="300" w:lineRule="exact"/>
              <w:rPr>
                <w:rFonts w:ascii="宋体" w:eastAsia="宋体" w:hAnsi="宋体" w:cs="宋体" w:hint="eastAsia"/>
                <w:bCs/>
                <w:color w:val="000000"/>
                <w:sz w:val="24"/>
                <w:szCs w:val="24"/>
              </w:rPr>
            </w:pPr>
            <w:r>
              <w:rPr>
                <w:rFonts w:ascii="宋体" w:eastAsia="宋体" w:hAnsi="宋体" w:cs="宋体" w:hint="eastAsia"/>
                <w:b/>
                <w:bCs/>
                <w:sz w:val="24"/>
                <w:szCs w:val="24"/>
              </w:rPr>
              <w:t>1.2</w:t>
            </w:r>
            <w:r>
              <w:rPr>
                <w:rFonts w:ascii="宋体" w:eastAsia="宋体" w:hAnsi="宋体" w:cs="宋体" w:hint="eastAsia"/>
                <w:sz w:val="24"/>
                <w:szCs w:val="24"/>
              </w:rPr>
              <w:t>保修期满后，投标人应以优惠价供应维修零配件、消耗品和延续保修合同。价格最高的前5项零配件、消耗品和延续保修合同的报价明细必须填写于《零配件、消耗品和延续保修合同报价明清单》中。</w:t>
            </w:r>
          </w:p>
        </w:tc>
      </w:tr>
      <w:tr>
        <w:tblPrEx>
          <w:tblW w:w="8522" w:type="dxa"/>
          <w:tblInd w:w="0" w:type="dxa"/>
          <w:tblLayout w:type="fixed"/>
          <w:tblCellMar>
            <w:top w:w="0" w:type="dxa"/>
            <w:left w:w="108" w:type="dxa"/>
            <w:bottom w:w="0" w:type="dxa"/>
            <w:right w:w="108" w:type="dxa"/>
          </w:tblCellMar>
        </w:tblPrEx>
        <w:trPr>
          <w:trHeight w:val="350"/>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spacing w:line="300" w:lineRule="exact"/>
              <w:rPr>
                <w:rFonts w:ascii="宋体" w:eastAsia="宋体" w:hAnsi="宋体" w:cs="宋体" w:hint="eastAsia"/>
                <w:bCs/>
                <w:color w:val="000000"/>
                <w:sz w:val="24"/>
                <w:szCs w:val="24"/>
              </w:rPr>
            </w:pPr>
            <w:r>
              <w:rPr>
                <w:rFonts w:ascii="宋体" w:eastAsia="宋体" w:hAnsi="宋体" w:cs="宋体" w:hint="eastAsia"/>
                <w:b/>
                <w:bCs/>
                <w:sz w:val="24"/>
                <w:szCs w:val="24"/>
              </w:rPr>
              <w:t>1.3</w:t>
            </w:r>
            <w:r>
              <w:rPr>
                <w:rFonts w:ascii="宋体" w:eastAsia="宋体" w:hAnsi="宋体" w:cs="宋体" w:hint="eastAsia"/>
                <w:sz w:val="24"/>
                <w:szCs w:val="24"/>
              </w:rPr>
              <w:t>采购人可与投标人就优惠价进行谈判，但优惠价不得高于投标人在投标文件的《零配件、消耗品和延续保修合同报价明清单》中承诺的维修零配件、消耗品和延续保修合同的报价。</w:t>
            </w:r>
          </w:p>
        </w:tc>
      </w:tr>
      <w:tr>
        <w:tblPrEx>
          <w:tblW w:w="8522" w:type="dxa"/>
          <w:tblInd w:w="0" w:type="dxa"/>
          <w:tblLayout w:type="fixed"/>
          <w:tblCellMar>
            <w:top w:w="0" w:type="dxa"/>
            <w:left w:w="108" w:type="dxa"/>
            <w:bottom w:w="0" w:type="dxa"/>
            <w:right w:w="108" w:type="dxa"/>
          </w:tblCellMar>
        </w:tblPrEx>
        <w:trPr>
          <w:trHeight w:val="350"/>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rPr>
                <w:rFonts w:ascii="宋体" w:eastAsia="宋体" w:hAnsi="宋体" w:cs="宋体" w:hint="eastAsia"/>
                <w:bCs/>
                <w:color w:val="000000"/>
                <w:sz w:val="24"/>
                <w:szCs w:val="24"/>
              </w:rPr>
            </w:pPr>
            <w:r>
              <w:rPr>
                <w:rFonts w:ascii="宋体" w:eastAsia="宋体" w:hAnsi="宋体" w:cs="宋体" w:hint="eastAsia"/>
                <w:b/>
                <w:bCs/>
                <w:sz w:val="24"/>
                <w:szCs w:val="24"/>
              </w:rPr>
              <w:t>1.4</w:t>
            </w:r>
            <w:r>
              <w:rPr>
                <w:rFonts w:ascii="宋体" w:eastAsia="宋体" w:hAnsi="宋体" w:cs="宋体" w:hint="eastAsia"/>
                <w:sz w:val="24"/>
                <w:szCs w:val="24"/>
              </w:rPr>
              <w:t>设备制造商维修的货物经采购人验收合格，且设备制造商提供维修专用发票后，采购人支付维修费用。</w:t>
            </w:r>
          </w:p>
        </w:tc>
      </w:tr>
      <w:tr>
        <w:tblPrEx>
          <w:tblW w:w="8522" w:type="dxa"/>
          <w:tblInd w:w="0" w:type="dxa"/>
          <w:tblLayout w:type="fixed"/>
          <w:tblCellMar>
            <w:top w:w="0" w:type="dxa"/>
            <w:left w:w="108" w:type="dxa"/>
            <w:bottom w:w="0" w:type="dxa"/>
            <w:right w:w="108" w:type="dxa"/>
          </w:tblCellMar>
        </w:tblPrEx>
        <w:trPr>
          <w:trHeight w:val="350"/>
        </w:trPr>
        <w:tc>
          <w:tcPr>
            <w:tcW w:w="1217" w:type="dxa"/>
            <w:vMerge/>
            <w:vAlign w:val="center"/>
          </w:tcPr>
          <w:p>
            <w:pPr>
              <w:jc w:val="center"/>
              <w:rPr>
                <w:rFonts w:ascii="宋体" w:eastAsia="宋体" w:hAnsi="宋体" w:cs="宋体" w:hint="eastAsia"/>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rPr>
                <w:rFonts w:ascii="宋体" w:eastAsia="宋体" w:hAnsi="宋体" w:cs="宋体" w:hint="eastAsia"/>
                <w:bCs/>
                <w:color w:val="000000"/>
                <w:sz w:val="24"/>
                <w:szCs w:val="24"/>
              </w:rPr>
            </w:pPr>
            <w:r>
              <w:rPr>
                <w:rFonts w:ascii="宋体" w:eastAsia="宋体" w:hAnsi="宋体" w:cs="宋体" w:hint="eastAsia"/>
                <w:b/>
                <w:bCs/>
                <w:sz w:val="24"/>
                <w:szCs w:val="24"/>
              </w:rPr>
              <w:t>1.5</w:t>
            </w:r>
            <w:r>
              <w:rPr>
                <w:rFonts w:ascii="宋体" w:eastAsia="宋体" w:hAnsi="宋体" w:cs="宋体" w:hint="eastAsia"/>
                <w:sz w:val="24"/>
                <w:szCs w:val="24"/>
              </w:rPr>
              <w:t>投标人及设备制造商不得以任何理由不按时进行维修，不得要求采购人购买所谓“保修服务”（即：不论设备有无故障先买保修服务），不得在设备中嵌设任何不利于采购人使用与维修设备的障碍。</w:t>
            </w:r>
          </w:p>
        </w:tc>
      </w:tr>
      <w:tr>
        <w:tblPrEx>
          <w:tblW w:w="8522" w:type="dxa"/>
          <w:tblInd w:w="0" w:type="dxa"/>
          <w:tblLayout w:type="fixed"/>
          <w:tblCellMar>
            <w:top w:w="0" w:type="dxa"/>
            <w:left w:w="108" w:type="dxa"/>
            <w:bottom w:w="0" w:type="dxa"/>
            <w:right w:w="108" w:type="dxa"/>
          </w:tblCellMar>
        </w:tblPrEx>
        <w:trPr>
          <w:trHeight w:val="350"/>
        </w:trPr>
        <w:tc>
          <w:tcPr>
            <w:tcW w:w="8522" w:type="dxa"/>
            <w:gridSpan w:val="3"/>
          </w:tcPr>
          <w:p>
            <w:pPr>
              <w:rPr>
                <w:rFonts w:ascii="宋体" w:eastAsia="宋体" w:hAnsi="宋体" w:cs="宋体" w:hint="eastAsia"/>
                <w:b/>
                <w:sz w:val="24"/>
                <w:szCs w:val="24"/>
              </w:rPr>
            </w:pPr>
            <w:r>
              <w:rPr>
                <w:rFonts w:ascii="宋体" w:eastAsia="宋体" w:hAnsi="宋体" w:cs="宋体" w:hint="eastAsia"/>
                <w:b/>
                <w:sz w:val="24"/>
                <w:szCs w:val="24"/>
              </w:rPr>
              <w:t>（三）其他商务要求</w:t>
            </w:r>
          </w:p>
        </w:tc>
      </w:tr>
      <w:tr>
        <w:tblPrEx>
          <w:tblW w:w="8522" w:type="dxa"/>
          <w:tblInd w:w="0" w:type="dxa"/>
          <w:tblLayout w:type="fixed"/>
          <w:tblCellMar>
            <w:top w:w="0" w:type="dxa"/>
            <w:left w:w="108" w:type="dxa"/>
            <w:bottom w:w="0" w:type="dxa"/>
            <w:right w:w="108" w:type="dxa"/>
          </w:tblCellMar>
        </w:tblPrEx>
        <w:trPr>
          <w:trHeight w:val="350"/>
        </w:trPr>
        <w:tc>
          <w:tcPr>
            <w:tcW w:w="1217" w:type="dxa"/>
            <w:vMerge w:val="restart"/>
            <w:vAlign w:val="center"/>
          </w:tcPr>
          <w:p>
            <w:pPr>
              <w:jc w:val="center"/>
              <w:rPr>
                <w:rFonts w:ascii="宋体" w:eastAsia="宋体" w:hAnsi="宋体" w:cs="宋体" w:hint="eastAsia"/>
                <w:b/>
                <w:sz w:val="24"/>
                <w:szCs w:val="24"/>
              </w:rPr>
            </w:pPr>
            <w:r>
              <w:rPr>
                <w:rFonts w:ascii="宋体" w:eastAsia="宋体" w:hAnsi="宋体" w:cs="宋体" w:hint="eastAsia"/>
                <w:color w:val="000000"/>
                <w:sz w:val="24"/>
                <w:szCs w:val="24"/>
              </w:rPr>
              <w:t>1</w:t>
            </w:r>
          </w:p>
        </w:tc>
        <w:tc>
          <w:tcPr>
            <w:tcW w:w="1565" w:type="dxa"/>
            <w:vMerge w:val="restart"/>
            <w:vAlign w:val="center"/>
          </w:tcPr>
          <w:p>
            <w:pPr>
              <w:jc w:val="center"/>
              <w:rPr>
                <w:rFonts w:ascii="宋体" w:eastAsia="宋体" w:hAnsi="宋体" w:cs="宋体" w:hint="eastAsia"/>
                <w:sz w:val="24"/>
                <w:szCs w:val="24"/>
              </w:rPr>
            </w:pPr>
            <w:r>
              <w:rPr>
                <w:rFonts w:ascii="宋体" w:eastAsia="宋体" w:hAnsi="宋体" w:cs="宋体" w:hint="eastAsia"/>
                <w:color w:val="000000"/>
                <w:sz w:val="24"/>
                <w:szCs w:val="24"/>
              </w:rPr>
              <w:t>关于交货</w:t>
            </w:r>
          </w:p>
        </w:tc>
        <w:tc>
          <w:tcPr>
            <w:tcW w:w="5740" w:type="dxa"/>
          </w:tcPr>
          <w:p>
            <w:pPr>
              <w:rPr>
                <w:rFonts w:ascii="宋体" w:eastAsia="宋体" w:hAnsi="宋体" w:cs="宋体" w:hint="eastAsia"/>
                <w:b/>
                <w:sz w:val="24"/>
                <w:szCs w:val="24"/>
              </w:rPr>
            </w:pPr>
            <w:r>
              <w:rPr>
                <w:rFonts w:ascii="宋体" w:eastAsia="宋体" w:hAnsi="宋体" w:cs="宋体" w:hint="eastAsia"/>
                <w:b/>
                <w:sz w:val="24"/>
                <w:szCs w:val="24"/>
              </w:rPr>
              <w:t>1.1</w:t>
            </w:r>
            <w:r>
              <w:rPr>
                <w:rFonts w:ascii="宋体" w:eastAsia="宋体" w:hAnsi="宋体" w:cs="宋体" w:hint="eastAsia"/>
                <w:bCs/>
                <w:sz w:val="24"/>
                <w:szCs w:val="24"/>
              </w:rPr>
              <w:t>交货地点：投标人应提供货物的技术文件，包括但不限于设备配置清单、产品说明书、图纸、操作手册、维护手册（含维修密码及接口数据）、质量保证文件、服务指南等，所有外文资料须提供中文译本。文件应随货物一并交付至采购人指定地点。</w:t>
            </w:r>
          </w:p>
        </w:tc>
      </w:tr>
      <w:tr>
        <w:tblPrEx>
          <w:tblW w:w="8522" w:type="dxa"/>
          <w:tblInd w:w="0" w:type="dxa"/>
          <w:tblLayout w:type="fixed"/>
          <w:tblCellMar>
            <w:top w:w="0" w:type="dxa"/>
            <w:left w:w="108" w:type="dxa"/>
            <w:bottom w:w="0" w:type="dxa"/>
            <w:right w:w="108" w:type="dxa"/>
          </w:tblCellMar>
        </w:tblPrEx>
        <w:trPr>
          <w:trHeight w:val="451"/>
        </w:trPr>
        <w:tc>
          <w:tcPr>
            <w:tcW w:w="1217" w:type="dxa"/>
            <w:vMerge/>
            <w:vAlign w:val="center"/>
          </w:tcPr>
          <w:p>
            <w:pPr>
              <w:jc w:val="center"/>
              <w:rPr>
                <w:rFonts w:ascii="宋体" w:eastAsia="宋体" w:hAnsi="宋体" w:cs="宋体" w:hint="eastAsia"/>
                <w:b/>
                <w:sz w:val="24"/>
                <w:szCs w:val="24"/>
              </w:rPr>
            </w:pPr>
          </w:p>
        </w:tc>
        <w:tc>
          <w:tcPr>
            <w:tcW w:w="1565" w:type="dxa"/>
            <w:vMerge/>
            <w:vAlign w:val="center"/>
          </w:tcPr>
          <w:p>
            <w:pPr>
              <w:jc w:val="center"/>
              <w:rPr>
                <w:rFonts w:ascii="宋体" w:eastAsia="宋体" w:hAnsi="宋体" w:cs="宋体" w:hint="eastAsia"/>
                <w:sz w:val="24"/>
                <w:szCs w:val="24"/>
              </w:rPr>
            </w:pPr>
          </w:p>
        </w:tc>
        <w:tc>
          <w:tcPr>
            <w:tcW w:w="5740" w:type="dxa"/>
          </w:tcPr>
          <w:p>
            <w:pPr>
              <w:rPr>
                <w:rFonts w:ascii="宋体" w:eastAsia="宋体" w:hAnsi="宋体" w:cs="宋体" w:hint="eastAsia"/>
                <w:bCs/>
                <w:sz w:val="24"/>
                <w:szCs w:val="24"/>
              </w:rPr>
            </w:pPr>
            <w:r>
              <w:rPr>
                <w:rFonts w:ascii="宋体" w:eastAsia="宋体" w:hAnsi="宋体" w:cs="宋体" w:hint="eastAsia"/>
                <w:b/>
                <w:sz w:val="24"/>
                <w:szCs w:val="24"/>
              </w:rPr>
              <w:t>1.2</w:t>
            </w:r>
            <w:r>
              <w:rPr>
                <w:rFonts w:ascii="宋体" w:eastAsia="宋体" w:hAnsi="宋体" w:cs="宋体" w:hint="eastAsia"/>
                <w:spacing w:val="-3"/>
                <w:sz w:val="24"/>
                <w:szCs w:val="24"/>
              </w:rPr>
              <w:t>提供的货物必须为全新、经检验合格的产品。产品如需要计量检定的应提供相关计量检定部门出具的合法检定报告。其中，进口设备必须具有</w:t>
            </w:r>
            <w:r>
              <w:rPr>
                <w:rFonts w:ascii="宋体" w:eastAsia="宋体" w:hAnsi="宋体" w:cs="宋体" w:hint="eastAsia"/>
                <w:sz w:val="24"/>
                <w:szCs w:val="24"/>
              </w:rPr>
              <w:t>报关证明</w:t>
            </w:r>
            <w:r>
              <w:rPr>
                <w:rFonts w:ascii="宋体" w:eastAsia="宋体" w:hAnsi="宋体" w:cs="宋体" w:hint="eastAsia"/>
                <w:spacing w:val="-3"/>
                <w:sz w:val="24"/>
                <w:szCs w:val="24"/>
              </w:rPr>
              <w:t>文件、</w:t>
            </w:r>
            <w:r>
              <w:rPr>
                <w:rFonts w:ascii="宋体" w:eastAsia="宋体" w:hAnsi="宋体" w:cs="宋体" w:hint="eastAsia"/>
                <w:sz w:val="24"/>
                <w:szCs w:val="24"/>
              </w:rPr>
              <w:t>原产地证明和</w:t>
            </w:r>
            <w:r>
              <w:rPr>
                <w:rFonts w:ascii="宋体" w:eastAsia="宋体" w:hAnsi="宋体" w:cs="宋体" w:hint="eastAsia"/>
                <w:spacing w:val="-3"/>
                <w:sz w:val="24"/>
                <w:szCs w:val="24"/>
              </w:rPr>
              <w:t>商检合格证明文件。</w:t>
            </w:r>
          </w:p>
        </w:tc>
      </w:tr>
      <w:tr>
        <w:tblPrEx>
          <w:tblW w:w="8522" w:type="dxa"/>
          <w:tblInd w:w="0" w:type="dxa"/>
          <w:tblLayout w:type="fixed"/>
          <w:tblCellMar>
            <w:top w:w="0" w:type="dxa"/>
            <w:left w:w="108" w:type="dxa"/>
            <w:bottom w:w="0" w:type="dxa"/>
            <w:right w:w="108" w:type="dxa"/>
          </w:tblCellMar>
        </w:tblPrEx>
        <w:trPr>
          <w:trHeight w:val="272"/>
        </w:trPr>
        <w:tc>
          <w:tcPr>
            <w:tcW w:w="1217" w:type="dxa"/>
            <w:vMerge/>
            <w:vAlign w:val="center"/>
          </w:tcPr>
          <w:p>
            <w:pPr>
              <w:jc w:val="center"/>
              <w:rPr>
                <w:rFonts w:ascii="宋体" w:eastAsia="宋体" w:hAnsi="宋体" w:cs="宋体" w:hint="eastAsia"/>
                <w:b/>
                <w:sz w:val="24"/>
                <w:szCs w:val="24"/>
              </w:rPr>
            </w:pPr>
          </w:p>
        </w:tc>
        <w:tc>
          <w:tcPr>
            <w:tcW w:w="1565" w:type="dxa"/>
            <w:vMerge/>
            <w:vAlign w:val="center"/>
          </w:tcPr>
          <w:p>
            <w:pPr>
              <w:jc w:val="center"/>
              <w:rPr>
                <w:rFonts w:ascii="宋体" w:eastAsia="宋体" w:hAnsi="宋体" w:cs="宋体" w:hint="eastAsia"/>
                <w:sz w:val="24"/>
                <w:szCs w:val="24"/>
              </w:rPr>
            </w:pPr>
          </w:p>
        </w:tc>
        <w:tc>
          <w:tcPr>
            <w:tcW w:w="5740" w:type="dxa"/>
          </w:tcPr>
          <w:p>
            <w:pPr>
              <w:rPr>
                <w:rFonts w:ascii="宋体" w:eastAsia="宋体" w:hAnsi="宋体" w:cs="宋体" w:hint="eastAsia"/>
                <w:bCs/>
                <w:sz w:val="24"/>
                <w:szCs w:val="24"/>
              </w:rPr>
            </w:pPr>
            <w:r>
              <w:rPr>
                <w:rFonts w:ascii="宋体" w:eastAsia="宋体" w:hAnsi="宋体" w:cs="宋体" w:hint="eastAsia"/>
                <w:bCs/>
                <w:sz w:val="24"/>
                <w:szCs w:val="24"/>
              </w:rPr>
              <w:t>★</w:t>
            </w:r>
            <w:r>
              <w:rPr>
                <w:rFonts w:ascii="宋体" w:eastAsia="宋体" w:hAnsi="宋体" w:cs="宋体" w:hint="eastAsia"/>
                <w:b/>
                <w:sz w:val="24"/>
                <w:szCs w:val="24"/>
              </w:rPr>
              <w:t>1.3</w:t>
            </w:r>
            <w:r>
              <w:rPr>
                <w:rFonts w:ascii="宋体" w:eastAsia="宋体" w:hAnsi="宋体" w:cs="宋体" w:hint="eastAsia"/>
                <w:bCs/>
                <w:sz w:val="24"/>
                <w:szCs w:val="24"/>
              </w:rPr>
              <w:t>签订合</w:t>
            </w:r>
            <w:r>
              <w:rPr>
                <w:rFonts w:ascii="宋体" w:eastAsia="宋体" w:hAnsi="宋体" w:cs="宋体" w:hint="eastAsia"/>
                <w:bCs/>
                <w:sz w:val="24"/>
                <w:szCs w:val="24"/>
                <w:highlight w:val="none"/>
              </w:rPr>
              <w:t>同后</w:t>
            </w:r>
            <w:r>
              <w:rPr>
                <w:rFonts w:ascii="宋体" w:eastAsia="宋体" w:hAnsi="宋体" w:cs="宋体" w:hint="eastAsia"/>
                <w:bCs/>
                <w:sz w:val="24"/>
                <w:szCs w:val="24"/>
                <w:highlight w:val="none"/>
                <w:u w:val="single"/>
              </w:rPr>
              <w:t xml:space="preserve"> </w:t>
            </w:r>
            <w:r>
              <w:rPr>
                <w:rFonts w:ascii="宋体" w:eastAsia="宋体" w:hAnsi="宋体" w:cs="宋体" w:hint="eastAsia"/>
                <w:bCs/>
                <w:sz w:val="24"/>
                <w:szCs w:val="24"/>
                <w:highlight w:val="none"/>
                <w:u w:val="single"/>
                <w:lang w:val="en-US" w:eastAsia="zh-CN"/>
              </w:rPr>
              <w:t>30</w:t>
            </w:r>
            <w:r>
              <w:rPr>
                <w:rFonts w:ascii="宋体" w:eastAsia="宋体" w:hAnsi="宋体" w:cs="宋体" w:hint="eastAsia"/>
                <w:bCs/>
                <w:sz w:val="24"/>
                <w:szCs w:val="24"/>
                <w:highlight w:val="none"/>
                <w:u w:val="single"/>
              </w:rPr>
              <w:t xml:space="preserve"> </w:t>
            </w:r>
            <w:r>
              <w:rPr>
                <w:rFonts w:ascii="宋体" w:eastAsia="宋体" w:hAnsi="宋体" w:cs="宋体" w:hint="eastAsia"/>
                <w:bCs/>
                <w:sz w:val="24"/>
                <w:szCs w:val="24"/>
                <w:highlight w:val="none"/>
              </w:rPr>
              <w:t>天（日历日）内交货。交货地址：</w:t>
            </w:r>
            <w:r>
              <w:rPr>
                <w:rFonts w:ascii="宋体" w:eastAsia="宋体" w:hAnsi="宋体" w:cs="宋体" w:hint="eastAsia"/>
                <w:sz w:val="24"/>
                <w:szCs w:val="24"/>
                <w:highlight w:val="none"/>
              </w:rPr>
              <w:t>深圳市眼科医院</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restart"/>
            <w:vAlign w:val="center"/>
          </w:tcPr>
          <w:p>
            <w:pPr>
              <w:jc w:val="center"/>
              <w:rPr>
                <w:rFonts w:ascii="宋体" w:eastAsia="宋体" w:hAnsi="宋体" w:cs="宋体" w:hint="eastAsia"/>
                <w:b/>
                <w:sz w:val="24"/>
                <w:szCs w:val="24"/>
              </w:rPr>
            </w:pPr>
            <w:r>
              <w:rPr>
                <w:rFonts w:ascii="宋体" w:eastAsia="宋体" w:hAnsi="宋体" w:cs="宋体" w:hint="eastAsia"/>
                <w:bCs/>
                <w:color w:val="000000"/>
                <w:sz w:val="24"/>
                <w:szCs w:val="24"/>
              </w:rPr>
              <w:t>2</w:t>
            </w:r>
          </w:p>
        </w:tc>
        <w:tc>
          <w:tcPr>
            <w:tcW w:w="1565" w:type="dxa"/>
            <w:vMerge w:val="restart"/>
            <w:vAlign w:val="center"/>
          </w:tcPr>
          <w:p>
            <w:pPr>
              <w:jc w:val="center"/>
              <w:rPr>
                <w:rFonts w:ascii="宋体" w:eastAsia="宋体" w:hAnsi="宋体" w:cs="宋体" w:hint="eastAsia"/>
                <w:sz w:val="24"/>
                <w:szCs w:val="24"/>
              </w:rPr>
            </w:pPr>
            <w:r>
              <w:rPr>
                <w:rFonts w:ascii="宋体" w:eastAsia="宋体" w:hAnsi="宋体" w:cs="宋体" w:hint="eastAsia"/>
                <w:sz w:val="24"/>
                <w:szCs w:val="24"/>
              </w:rPr>
              <w:t>运输、安装调试及验收</w:t>
            </w:r>
          </w:p>
        </w:tc>
        <w:tc>
          <w:tcPr>
            <w:tcW w:w="5740" w:type="dxa"/>
          </w:tcPr>
          <w:p>
            <w:pPr>
              <w:spacing w:line="340" w:lineRule="exact"/>
              <w:rPr>
                <w:rFonts w:ascii="宋体" w:eastAsia="宋体" w:hAnsi="宋体" w:cs="宋体" w:hint="eastAsia"/>
                <w:bCs/>
                <w:sz w:val="24"/>
                <w:szCs w:val="24"/>
              </w:rPr>
            </w:pPr>
            <w:r>
              <w:rPr>
                <w:rFonts w:ascii="宋体" w:eastAsia="宋体" w:hAnsi="宋体" w:cs="宋体" w:hint="eastAsia"/>
                <w:b/>
                <w:sz w:val="24"/>
                <w:szCs w:val="24"/>
              </w:rPr>
              <w:t>2.1</w:t>
            </w:r>
            <w:r>
              <w:rPr>
                <w:rFonts w:ascii="宋体" w:eastAsia="宋体" w:hAnsi="宋体" w:cs="宋体" w:hint="eastAsia"/>
                <w:bCs/>
                <w:sz w:val="24"/>
                <w:szCs w:val="24"/>
              </w:rPr>
              <w:t>投标人负责将货物安全无损运抵采购人指定地点,并承担设备的包装、运输、保险、装卸、安装调试、培训、商检及计量检测、关税、增值税和进口代理等费用。</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spacing w:line="340" w:lineRule="exact"/>
              <w:rPr>
                <w:rFonts w:ascii="宋体" w:eastAsia="宋体" w:hAnsi="宋体" w:cs="宋体" w:hint="eastAsia"/>
                <w:color w:val="000000"/>
                <w:sz w:val="24"/>
                <w:szCs w:val="24"/>
              </w:rPr>
            </w:pPr>
            <w:r>
              <w:rPr>
                <w:rFonts w:ascii="宋体" w:eastAsia="宋体" w:hAnsi="宋体" w:cs="宋体" w:hint="eastAsia"/>
                <w:b/>
                <w:sz w:val="24"/>
                <w:szCs w:val="24"/>
              </w:rPr>
              <w:t>2.2</w:t>
            </w:r>
            <w:r>
              <w:rPr>
                <w:rFonts w:ascii="宋体" w:eastAsia="宋体" w:hAnsi="宋体" w:cs="宋体" w:hint="eastAsia"/>
                <w:bCs/>
                <w:sz w:val="24"/>
                <w:szCs w:val="24"/>
              </w:rPr>
              <w:t>由采购人按合同和招标、投标文件约定的要求和标准及中华人民共和国现行的验收规范和评定标准进行交货验收。</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spacing w:line="340" w:lineRule="exact"/>
              <w:rPr>
                <w:rFonts w:ascii="宋体" w:eastAsia="宋体" w:hAnsi="宋体" w:cs="宋体" w:hint="eastAsia"/>
                <w:color w:val="000000"/>
                <w:sz w:val="24"/>
                <w:szCs w:val="24"/>
              </w:rPr>
            </w:pPr>
            <w:r>
              <w:rPr>
                <w:rFonts w:ascii="宋体" w:eastAsia="宋体" w:hAnsi="宋体" w:cs="宋体" w:hint="eastAsia"/>
                <w:b/>
                <w:sz w:val="24"/>
                <w:szCs w:val="24"/>
              </w:rPr>
              <w:t xml:space="preserve">2.3 </w:t>
            </w:r>
            <w:r>
              <w:rPr>
                <w:rFonts w:ascii="宋体" w:eastAsia="宋体" w:hAnsi="宋体" w:cs="宋体" w:hint="eastAsia"/>
                <w:bCs/>
                <w:sz w:val="24"/>
                <w:szCs w:val="24"/>
              </w:rPr>
              <w:t>投标人货物经过双方检验认可后，签署验收报告，产品保修期自验收合格之日起算，由投标人提供产品保修文件。</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spacing w:line="340" w:lineRule="exact"/>
              <w:rPr>
                <w:rFonts w:ascii="宋体" w:eastAsia="宋体" w:hAnsi="宋体" w:cs="宋体" w:hint="eastAsia"/>
                <w:bCs/>
                <w:sz w:val="24"/>
                <w:szCs w:val="24"/>
              </w:rPr>
            </w:pPr>
            <w:r>
              <w:rPr>
                <w:rFonts w:ascii="宋体" w:eastAsia="宋体" w:hAnsi="宋体" w:cs="宋体" w:hint="eastAsia"/>
                <w:b/>
                <w:sz w:val="24"/>
                <w:szCs w:val="24"/>
              </w:rPr>
              <w:t>2.4</w:t>
            </w:r>
            <w:r>
              <w:rPr>
                <w:rFonts w:ascii="宋体" w:eastAsia="宋体" w:hAnsi="宋体" w:cs="宋体" w:hint="eastAsia"/>
                <w:bCs/>
                <w:sz w:val="24"/>
                <w:szCs w:val="24"/>
              </w:rPr>
              <w:t>当满足以下条件时，采购人才向中标人签发货物验收报告：</w:t>
            </w:r>
          </w:p>
          <w:p>
            <w:pPr>
              <w:rPr>
                <w:rFonts w:ascii="宋体" w:eastAsia="宋体" w:hAnsi="宋体" w:cs="宋体" w:hint="eastAsia"/>
                <w:bCs/>
                <w:sz w:val="24"/>
                <w:szCs w:val="24"/>
              </w:rPr>
            </w:pPr>
            <w:r>
              <w:rPr>
                <w:rFonts w:ascii="宋体" w:eastAsia="宋体" w:hAnsi="宋体" w:cs="宋体" w:hint="eastAsia"/>
                <w:bCs/>
                <w:sz w:val="24"/>
                <w:szCs w:val="24"/>
              </w:rPr>
              <w:t>（1）设备全新,外观无伤痕变形或明显修饰痕迹。</w:t>
            </w:r>
          </w:p>
          <w:p>
            <w:pPr>
              <w:rPr>
                <w:rFonts w:ascii="宋体" w:eastAsia="宋体" w:hAnsi="宋体" w:cs="宋体" w:hint="eastAsia"/>
                <w:bCs/>
                <w:sz w:val="24"/>
                <w:szCs w:val="24"/>
              </w:rPr>
            </w:pPr>
            <w:r>
              <w:rPr>
                <w:rFonts w:ascii="宋体" w:eastAsia="宋体" w:hAnsi="宋体" w:cs="宋体" w:hint="eastAsia"/>
                <w:bCs/>
                <w:sz w:val="24"/>
                <w:szCs w:val="24"/>
              </w:rPr>
              <w:t>（2）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pPr>
              <w:rPr>
                <w:rFonts w:ascii="宋体" w:eastAsia="宋体" w:hAnsi="宋体" w:cs="宋体" w:hint="eastAsia"/>
                <w:bCs/>
                <w:sz w:val="24"/>
                <w:szCs w:val="24"/>
              </w:rPr>
            </w:pPr>
            <w:r>
              <w:rPr>
                <w:rFonts w:ascii="宋体" w:eastAsia="宋体" w:hAnsi="宋体" w:cs="宋体" w:hint="eastAsia"/>
                <w:bCs/>
                <w:sz w:val="24"/>
                <w:szCs w:val="24"/>
              </w:rPr>
              <w:t>（3）技术文件资料、备件等已按规定数量移交完毕。</w:t>
            </w:r>
          </w:p>
          <w:p>
            <w:pPr>
              <w:rPr>
                <w:rFonts w:ascii="宋体" w:eastAsia="宋体" w:hAnsi="宋体" w:cs="宋体" w:hint="eastAsia"/>
                <w:bCs/>
                <w:sz w:val="24"/>
                <w:szCs w:val="24"/>
              </w:rPr>
            </w:pPr>
            <w:r>
              <w:rPr>
                <w:rFonts w:ascii="宋体" w:eastAsia="宋体" w:hAnsi="宋体" w:cs="宋体" w:hint="eastAsia"/>
                <w:bCs/>
                <w:sz w:val="24"/>
                <w:szCs w:val="24"/>
              </w:rPr>
              <w:t>（4）按照招标书要求及投标文件提供的技术要求验收必须合格。</w:t>
            </w:r>
          </w:p>
          <w:p>
            <w:pPr>
              <w:spacing w:line="340" w:lineRule="exact"/>
              <w:rPr>
                <w:rFonts w:ascii="宋体" w:eastAsia="宋体" w:hAnsi="宋体" w:cs="宋体" w:hint="eastAsia"/>
                <w:bCs/>
                <w:sz w:val="24"/>
                <w:szCs w:val="24"/>
              </w:rPr>
            </w:pPr>
            <w:r>
              <w:rPr>
                <w:rFonts w:ascii="宋体" w:eastAsia="宋体" w:hAnsi="宋体" w:cs="宋体" w:hint="eastAsia"/>
                <w:bCs/>
                <w:sz w:val="24"/>
                <w:szCs w:val="24"/>
              </w:rPr>
              <w:t>（5）投标人提供的各种文件载明的内容必须真实，其技术数据采购人有权要求投标人无偿提供采购人认可的第三方按照双方同意的试验方法进行检测。检测结果必须证明投标人提供的技术数据是真实的，否则视为不合格。</w:t>
            </w:r>
          </w:p>
          <w:p>
            <w:pPr>
              <w:spacing w:line="340" w:lineRule="exact"/>
              <w:rPr>
                <w:rFonts w:ascii="宋体" w:eastAsia="宋体" w:hAnsi="宋体" w:cs="宋体" w:hint="eastAsia"/>
                <w:bCs/>
                <w:sz w:val="24"/>
                <w:szCs w:val="24"/>
              </w:rPr>
            </w:pPr>
            <w:r>
              <w:rPr>
                <w:rFonts w:ascii="宋体" w:eastAsia="宋体" w:hAnsi="宋体" w:cs="宋体" w:hint="eastAsia"/>
                <w:bCs/>
                <w:sz w:val="24"/>
                <w:szCs w:val="24"/>
              </w:rPr>
              <w:t>（6）货物具备产品合格证。</w:t>
            </w:r>
          </w:p>
          <w:p>
            <w:pPr>
              <w:spacing w:line="340" w:lineRule="exact"/>
              <w:rPr>
                <w:rFonts w:ascii="宋体" w:eastAsia="宋体" w:hAnsi="宋体" w:cs="宋体" w:hint="eastAsia"/>
                <w:color w:val="000000"/>
                <w:sz w:val="24"/>
                <w:szCs w:val="24"/>
              </w:rPr>
            </w:pPr>
            <w:r>
              <w:rPr>
                <w:rFonts w:ascii="宋体" w:eastAsia="宋体" w:hAnsi="宋体" w:cs="宋体" w:hint="eastAsia"/>
                <w:bCs/>
                <w:sz w:val="24"/>
                <w:szCs w:val="24"/>
              </w:rPr>
              <w:t>（7）在货物安装调试合格后，所有技术指标达到技术规范书要求，经验收合格后，双方共同签署验收报告。</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restart"/>
            <w:vAlign w:val="center"/>
          </w:tcPr>
          <w:p>
            <w:pPr>
              <w:jc w:val="center"/>
              <w:rPr>
                <w:rFonts w:ascii="宋体" w:eastAsia="宋体" w:hAnsi="宋体" w:cs="宋体" w:hint="eastAsia"/>
                <w:bCs/>
                <w:color w:val="000000"/>
                <w:sz w:val="24"/>
                <w:szCs w:val="24"/>
              </w:rPr>
            </w:pPr>
            <w:r>
              <w:rPr>
                <w:rFonts w:ascii="宋体" w:eastAsia="宋体" w:hAnsi="宋体" w:cs="宋体" w:hint="eastAsia"/>
                <w:bCs/>
                <w:color w:val="000000"/>
                <w:sz w:val="24"/>
                <w:szCs w:val="24"/>
              </w:rPr>
              <w:t>3</w:t>
            </w:r>
          </w:p>
        </w:tc>
        <w:tc>
          <w:tcPr>
            <w:tcW w:w="1565" w:type="dxa"/>
            <w:vMerge w:val="restart"/>
            <w:vAlign w:val="center"/>
          </w:tcPr>
          <w:p>
            <w:pPr>
              <w:jc w:val="center"/>
              <w:rPr>
                <w:rFonts w:ascii="宋体" w:eastAsia="宋体" w:hAnsi="宋体" w:cs="宋体" w:hint="eastAsia"/>
                <w:bCs/>
                <w:color w:val="000000"/>
                <w:sz w:val="24"/>
                <w:szCs w:val="24"/>
              </w:rPr>
            </w:pPr>
            <w:r>
              <w:rPr>
                <w:rFonts w:ascii="宋体" w:eastAsia="宋体" w:hAnsi="宋体" w:cs="宋体" w:hint="eastAsia"/>
                <w:bCs/>
                <w:color w:val="000000"/>
                <w:sz w:val="24"/>
                <w:szCs w:val="24"/>
              </w:rPr>
              <w:t>关于违约</w:t>
            </w:r>
          </w:p>
        </w:tc>
        <w:tc>
          <w:tcPr>
            <w:tcW w:w="5740" w:type="dxa"/>
          </w:tcPr>
          <w:p>
            <w:pPr>
              <w:rPr>
                <w:rFonts w:ascii="宋体" w:eastAsia="宋体" w:hAnsi="宋体" w:cs="宋体" w:hint="eastAsia"/>
                <w:color w:val="000000"/>
                <w:sz w:val="24"/>
                <w:szCs w:val="24"/>
              </w:rPr>
            </w:pPr>
            <w:r>
              <w:rPr>
                <w:rFonts w:ascii="宋体" w:eastAsia="宋体" w:hAnsi="宋体" w:cs="宋体" w:hint="eastAsia"/>
                <w:b/>
                <w:sz w:val="24"/>
                <w:szCs w:val="24"/>
              </w:rPr>
              <w:t>3.1</w:t>
            </w:r>
            <w:r>
              <w:rPr>
                <w:rFonts w:ascii="宋体" w:eastAsia="宋体" w:hAnsi="宋体" w:cs="宋体" w:hint="eastAsia"/>
                <w:bCs/>
                <w:sz w:val="24"/>
                <w:szCs w:val="24"/>
              </w:rPr>
              <w:t>如投标人未按照投标文件中承诺的时间交货或提供服务，投标人应承担延期交货和延期服务的违约责任，并赔偿采购人因此造成的实际经济损失。实际经济损失超出履约保证金额，采购人有权终止合同。</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rPr>
                <w:rFonts w:ascii="宋体" w:eastAsia="宋体" w:hAnsi="宋体" w:cs="宋体" w:hint="eastAsia"/>
                <w:color w:val="000000"/>
                <w:sz w:val="24"/>
                <w:szCs w:val="24"/>
              </w:rPr>
            </w:pPr>
            <w:r>
              <w:rPr>
                <w:rFonts w:ascii="宋体" w:eastAsia="宋体" w:hAnsi="宋体" w:cs="宋体" w:hint="eastAsia"/>
                <w:b/>
                <w:sz w:val="24"/>
                <w:szCs w:val="24"/>
              </w:rPr>
              <w:t>3.2</w:t>
            </w:r>
            <w:r>
              <w:rPr>
                <w:rFonts w:ascii="宋体" w:eastAsia="宋体" w:hAnsi="宋体" w:cs="宋体" w:hint="eastAsia"/>
                <w:bCs/>
                <w:sz w:val="24"/>
                <w:szCs w:val="24"/>
              </w:rPr>
              <w:t>投标人所交设备的品种、型号、规格、质量、功能、技术参数等方面不能实质性满足招标文件要约的，采购人有权拒绝收货，投标人向采购人偿付项目采购金额千分之</w:t>
            </w:r>
            <w:r>
              <w:rPr>
                <w:rFonts w:ascii="宋体" w:eastAsia="宋体" w:hAnsi="宋体" w:cs="宋体" w:hint="eastAsia"/>
                <w:bCs/>
                <w:sz w:val="24"/>
                <w:szCs w:val="24"/>
                <w:u w:val="single"/>
              </w:rPr>
              <w:t xml:space="preserve">  十  </w:t>
            </w:r>
            <w:r>
              <w:rPr>
                <w:rFonts w:ascii="宋体" w:eastAsia="宋体" w:hAnsi="宋体" w:cs="宋体" w:hint="eastAsia"/>
                <w:bCs/>
                <w:sz w:val="24"/>
                <w:szCs w:val="24"/>
              </w:rPr>
              <w:t>（千分之十以上千分之二十以下）的违约金；造成严重后果的，根据《深圳经济特区政府采购条例》第五十七条第（二）款规定，由主管部门对中标人进行处罚。</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rPr>
                <w:rFonts w:ascii="宋体" w:eastAsia="宋体" w:hAnsi="宋体" w:cs="宋体" w:hint="eastAsia"/>
                <w:color w:val="000000"/>
                <w:sz w:val="24"/>
                <w:szCs w:val="24"/>
              </w:rPr>
            </w:pPr>
            <w:r>
              <w:rPr>
                <w:rFonts w:ascii="宋体" w:eastAsia="宋体" w:hAnsi="宋体" w:cs="宋体" w:hint="eastAsia"/>
                <w:b/>
                <w:sz w:val="24"/>
                <w:szCs w:val="24"/>
              </w:rPr>
              <w:t>3.3</w:t>
            </w:r>
            <w:r>
              <w:rPr>
                <w:rFonts w:ascii="宋体" w:eastAsia="宋体" w:hAnsi="宋体" w:cs="宋体" w:hint="eastAsia"/>
                <w:bCs/>
                <w:sz w:val="24"/>
                <w:szCs w:val="24"/>
              </w:rPr>
              <w:t>投标人不能交付设备的，投标人向采购人偿付项目采购金额千分之</w:t>
            </w:r>
            <w:r>
              <w:rPr>
                <w:rFonts w:ascii="宋体" w:eastAsia="宋体" w:hAnsi="宋体" w:cs="宋体" w:hint="eastAsia"/>
                <w:bCs/>
                <w:sz w:val="24"/>
                <w:szCs w:val="24"/>
                <w:u w:val="single"/>
              </w:rPr>
              <w:t xml:space="preserve">  十  </w:t>
            </w:r>
            <w:r>
              <w:rPr>
                <w:rFonts w:ascii="宋体" w:eastAsia="宋体" w:hAnsi="宋体" w:cs="宋体" w:hint="eastAsia"/>
                <w:bCs/>
                <w:sz w:val="24"/>
                <w:szCs w:val="24"/>
              </w:rPr>
              <w:t>（千分之十以上千分之二十以下）的违约金；造成严重后果的，根据《深圳经济特区政府采购条例》第五十七条第（二）款规定，由主管部门对中标人进行处罚。</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rPr>
                <w:rFonts w:ascii="宋体" w:eastAsia="宋体" w:hAnsi="宋体" w:cs="宋体" w:hint="eastAsia"/>
                <w:color w:val="000000"/>
                <w:sz w:val="24"/>
                <w:szCs w:val="24"/>
              </w:rPr>
            </w:pPr>
            <w:r>
              <w:rPr>
                <w:rFonts w:ascii="宋体" w:eastAsia="宋体" w:hAnsi="宋体" w:cs="宋体" w:hint="eastAsia"/>
                <w:b/>
                <w:sz w:val="24"/>
                <w:szCs w:val="24"/>
              </w:rPr>
              <w:t>3.4</w:t>
            </w:r>
            <w:r>
              <w:rPr>
                <w:rFonts w:ascii="宋体" w:eastAsia="宋体" w:hAnsi="宋体" w:cs="宋体" w:hint="eastAsia"/>
                <w:bCs/>
                <w:sz w:val="24"/>
                <w:szCs w:val="24"/>
              </w:rPr>
              <w:t>投标人逾期未交设备的，投标人向采购人每日偿付设备款千分之</w:t>
            </w:r>
            <w:r>
              <w:rPr>
                <w:rFonts w:ascii="宋体" w:eastAsia="宋体" w:hAnsi="宋体" w:cs="宋体" w:hint="eastAsia"/>
                <w:bCs/>
                <w:sz w:val="24"/>
                <w:szCs w:val="24"/>
                <w:u w:val="single"/>
              </w:rPr>
              <w:t xml:space="preserve"> 十 </w:t>
            </w:r>
            <w:r>
              <w:rPr>
                <w:rFonts w:ascii="宋体" w:eastAsia="宋体" w:hAnsi="宋体" w:cs="宋体" w:hint="eastAsia"/>
                <w:bCs/>
                <w:sz w:val="24"/>
                <w:szCs w:val="24"/>
              </w:rPr>
              <w:t>（千分之十以上千分之二十以下）的违约金。</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rPr>
                <w:rFonts w:ascii="宋体" w:eastAsia="宋体" w:hAnsi="宋体" w:cs="宋体" w:hint="eastAsia"/>
                <w:color w:val="000000"/>
                <w:sz w:val="24"/>
                <w:szCs w:val="24"/>
              </w:rPr>
            </w:pPr>
            <w:r>
              <w:rPr>
                <w:rFonts w:ascii="宋体" w:eastAsia="宋体" w:hAnsi="宋体" w:cs="宋体" w:hint="eastAsia"/>
                <w:b/>
                <w:sz w:val="24"/>
                <w:szCs w:val="24"/>
              </w:rPr>
              <w:t>3.5</w:t>
            </w:r>
            <w:r>
              <w:rPr>
                <w:rFonts w:ascii="宋体" w:eastAsia="宋体" w:hAnsi="宋体" w:cs="宋体" w:hint="eastAsia"/>
                <w:bCs/>
                <w:sz w:val="24"/>
                <w:szCs w:val="24"/>
              </w:rPr>
              <w:t>违约金先从由投标人履约保证金中扣除，若有不足部分则由中标人补齐。</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rPr>
                <w:rFonts w:ascii="宋体" w:eastAsia="宋体" w:hAnsi="宋体" w:cs="宋体" w:hint="eastAsia"/>
                <w:color w:val="000000"/>
                <w:sz w:val="24"/>
                <w:szCs w:val="24"/>
              </w:rPr>
            </w:pPr>
            <w:r>
              <w:rPr>
                <w:rFonts w:ascii="宋体" w:eastAsia="宋体" w:hAnsi="宋体" w:cs="宋体" w:hint="eastAsia"/>
                <w:b/>
                <w:sz w:val="24"/>
                <w:szCs w:val="24"/>
              </w:rPr>
              <w:t>3.6</w:t>
            </w:r>
            <w:r>
              <w:rPr>
                <w:rFonts w:ascii="宋体" w:eastAsia="宋体" w:hAnsi="宋体" w:cs="宋体" w:hint="eastAsia"/>
                <w:bCs/>
                <w:sz w:val="24"/>
                <w:szCs w:val="24"/>
              </w:rPr>
              <w:t>中标人逾期交货的，将被没收履约保证金并按主管部门相关规定处理。</w:t>
            </w:r>
          </w:p>
        </w:tc>
      </w:tr>
      <w:tr>
        <w:tblPrEx>
          <w:tblW w:w="8522" w:type="dxa"/>
          <w:tblInd w:w="0" w:type="dxa"/>
          <w:tblLayout w:type="fixed"/>
          <w:tblCellMar>
            <w:top w:w="0" w:type="dxa"/>
            <w:left w:w="108" w:type="dxa"/>
            <w:bottom w:w="0" w:type="dxa"/>
            <w:right w:w="108" w:type="dxa"/>
          </w:tblCellMar>
        </w:tblPrEx>
        <w:trPr>
          <w:trHeight w:val="680"/>
        </w:trPr>
        <w:tc>
          <w:tcPr>
            <w:tcW w:w="1217" w:type="dxa"/>
            <w:vMerge/>
            <w:vAlign w:val="center"/>
          </w:tcPr>
          <w:p>
            <w:pPr>
              <w:jc w:val="center"/>
              <w:rPr>
                <w:rFonts w:ascii="宋体" w:eastAsia="宋体" w:hAnsi="宋体" w:cs="宋体" w:hint="eastAsia"/>
                <w:bCs/>
                <w:color w:val="000000"/>
                <w:sz w:val="24"/>
                <w:szCs w:val="24"/>
              </w:rPr>
            </w:pPr>
          </w:p>
        </w:tc>
        <w:tc>
          <w:tcPr>
            <w:tcW w:w="1565" w:type="dxa"/>
            <w:vMerge/>
            <w:vAlign w:val="center"/>
          </w:tcPr>
          <w:p>
            <w:pPr>
              <w:jc w:val="center"/>
              <w:rPr>
                <w:rFonts w:ascii="宋体" w:eastAsia="宋体" w:hAnsi="宋体" w:cs="宋体" w:hint="eastAsia"/>
                <w:bCs/>
                <w:color w:val="000000"/>
                <w:sz w:val="24"/>
                <w:szCs w:val="24"/>
              </w:rPr>
            </w:pPr>
          </w:p>
        </w:tc>
        <w:tc>
          <w:tcPr>
            <w:tcW w:w="5740" w:type="dxa"/>
          </w:tcPr>
          <w:p>
            <w:pPr>
              <w:rPr>
                <w:rFonts w:ascii="宋体" w:eastAsia="宋体" w:hAnsi="宋体" w:cs="宋体" w:hint="eastAsia"/>
                <w:color w:val="000000"/>
                <w:sz w:val="24"/>
                <w:szCs w:val="24"/>
              </w:rPr>
            </w:pPr>
            <w:r>
              <w:rPr>
                <w:rFonts w:ascii="宋体" w:eastAsia="宋体" w:hAnsi="宋体" w:cs="宋体" w:hint="eastAsia"/>
                <w:b/>
                <w:sz w:val="24"/>
                <w:szCs w:val="24"/>
              </w:rPr>
              <w:t>3.7</w:t>
            </w:r>
            <w:r>
              <w:rPr>
                <w:rFonts w:ascii="宋体" w:eastAsia="宋体" w:hAnsi="宋体" w:cs="宋体" w:hint="eastAsia"/>
                <w:bCs/>
                <w:sz w:val="24"/>
                <w:szCs w:val="24"/>
              </w:rPr>
              <w:t>中标人所交付产品、工程或服务不符合其投标承诺的，或在投标阶段为了中标而盲目虚假承诺、低价恶性竞争，在履约阶段则通过偷工减料、以次充好而获取利润的，将被没收履约保证金，并被履约评价工作实施机构评为履约等级“差”并按主管部门相关规定处理。</w:t>
            </w:r>
          </w:p>
        </w:tc>
      </w:tr>
      <w:tr>
        <w:tblPrEx>
          <w:tblW w:w="8522" w:type="dxa"/>
          <w:tblInd w:w="0" w:type="dxa"/>
          <w:tblLayout w:type="fixed"/>
          <w:tblCellMar>
            <w:top w:w="0" w:type="dxa"/>
            <w:left w:w="108" w:type="dxa"/>
            <w:bottom w:w="0" w:type="dxa"/>
            <w:right w:w="108" w:type="dxa"/>
          </w:tblCellMar>
        </w:tblPrEx>
        <w:trPr>
          <w:trHeight w:val="90"/>
        </w:trPr>
        <w:tc>
          <w:tcPr>
            <w:tcW w:w="1217" w:type="dxa"/>
            <w:vAlign w:val="center"/>
          </w:tcPr>
          <w:p>
            <w:pPr>
              <w:jc w:val="center"/>
              <w:rPr>
                <w:rFonts w:ascii="宋体" w:eastAsia="宋体" w:hAnsi="宋体" w:cs="宋体" w:hint="eastAsia"/>
                <w:bCs/>
                <w:color w:val="000000"/>
                <w:sz w:val="24"/>
                <w:szCs w:val="24"/>
              </w:rPr>
            </w:pPr>
            <w:r>
              <w:rPr>
                <w:rFonts w:ascii="宋体" w:eastAsia="宋体" w:hAnsi="宋体" w:cs="宋体" w:hint="eastAsia"/>
                <w:bCs/>
                <w:color w:val="000000"/>
                <w:sz w:val="24"/>
                <w:szCs w:val="24"/>
              </w:rPr>
              <w:t>4</w:t>
            </w:r>
          </w:p>
        </w:tc>
        <w:tc>
          <w:tcPr>
            <w:tcW w:w="1565" w:type="dxa"/>
            <w:vAlign w:val="center"/>
          </w:tcPr>
          <w:p>
            <w:pPr>
              <w:jc w:val="center"/>
              <w:rPr>
                <w:rFonts w:ascii="宋体" w:eastAsia="宋体" w:hAnsi="宋体" w:cs="宋体" w:hint="eastAsia"/>
                <w:bCs/>
                <w:color w:val="auto"/>
                <w:sz w:val="24"/>
                <w:szCs w:val="24"/>
                <w:highlight w:val="none"/>
              </w:rPr>
            </w:pPr>
            <w:r>
              <w:rPr>
                <w:rFonts w:ascii="宋体" w:eastAsia="宋体" w:hAnsi="宋体" w:cs="宋体" w:hint="eastAsia"/>
                <w:color w:val="auto"/>
                <w:sz w:val="24"/>
                <w:szCs w:val="24"/>
                <w:highlight w:val="none"/>
              </w:rPr>
              <w:t>关于付款</w:t>
            </w:r>
          </w:p>
        </w:tc>
        <w:tc>
          <w:tcPr>
            <w:tcW w:w="5740" w:type="dxa"/>
          </w:tcPr>
          <w:p>
            <w:pPr>
              <w:pStyle w:val="ListParagraph"/>
              <w:ind w:firstLine="0" w:firstLineChars="0"/>
              <w:rPr>
                <w:rFonts w:ascii="宋体" w:eastAsia="宋体" w:hAnsi="宋体" w:cs="宋体" w:hint="eastAsia"/>
                <w:color w:val="auto"/>
                <w:sz w:val="24"/>
                <w:szCs w:val="24"/>
                <w:highlight w:val="none"/>
              </w:rPr>
            </w:pPr>
            <w:r>
              <w:rPr>
                <w:rFonts w:ascii="宋体" w:eastAsia="宋体" w:hAnsi="宋体" w:cs="宋体" w:hint="eastAsia"/>
                <w:bCs/>
                <w:color w:val="auto"/>
                <w:sz w:val="24"/>
                <w:szCs w:val="24"/>
                <w:highlight w:val="none"/>
              </w:rPr>
              <w:t>本合同签订后，</w:t>
            </w:r>
            <w:r>
              <w:rPr>
                <w:rFonts w:ascii="宋体" w:eastAsia="宋体" w:hAnsi="宋体" w:cs="宋体" w:hint="eastAsia"/>
                <w:bCs/>
                <w:color w:val="auto"/>
                <w:sz w:val="24"/>
                <w:szCs w:val="24"/>
                <w:highlight w:val="none"/>
                <w:lang w:val="en-US" w:eastAsia="zh-CN"/>
              </w:rPr>
              <w:t>乙方需在10个工作日内向甲方提交履约保证金，在设备安装完成经甲方</w:t>
            </w:r>
            <w:r>
              <w:rPr>
                <w:rFonts w:ascii="宋体" w:eastAsia="宋体" w:hAnsi="宋体" w:cs="宋体" w:hint="eastAsia"/>
                <w:bCs/>
                <w:color w:val="auto"/>
                <w:sz w:val="24"/>
                <w:szCs w:val="24"/>
                <w:highlight w:val="none"/>
              </w:rPr>
              <w:t>验收合格</w:t>
            </w:r>
            <w:r>
              <w:rPr>
                <w:rFonts w:ascii="宋体" w:eastAsia="宋体" w:hAnsi="宋体" w:cs="宋体" w:hint="eastAsia"/>
                <w:bCs/>
                <w:color w:val="auto"/>
                <w:sz w:val="24"/>
                <w:szCs w:val="24"/>
                <w:highlight w:val="none"/>
                <w:lang w:val="en-US" w:eastAsia="zh-CN"/>
              </w:rPr>
              <w:t>后，</w:t>
            </w:r>
            <w:r>
              <w:rPr>
                <w:rFonts w:ascii="宋体" w:eastAsia="宋体" w:hAnsi="宋体" w:cs="宋体" w:hint="eastAsia"/>
                <w:bCs/>
                <w:color w:val="auto"/>
                <w:sz w:val="24"/>
                <w:szCs w:val="24"/>
                <w:highlight w:val="none"/>
              </w:rPr>
              <w:t>乙方提供</w:t>
            </w:r>
            <w:r>
              <w:rPr>
                <w:rFonts w:ascii="宋体" w:eastAsia="宋体" w:hAnsi="宋体" w:cs="宋体" w:hint="eastAsia"/>
                <w:bCs/>
                <w:color w:val="auto"/>
                <w:sz w:val="24"/>
                <w:szCs w:val="24"/>
                <w:highlight w:val="none"/>
                <w:lang w:val="en-US" w:eastAsia="zh-CN"/>
              </w:rPr>
              <w:t>全</w:t>
            </w:r>
            <w:r>
              <w:rPr>
                <w:rFonts w:ascii="宋体" w:eastAsia="宋体" w:hAnsi="宋体" w:cs="宋体" w:hint="eastAsia"/>
                <w:bCs/>
                <w:color w:val="auto"/>
                <w:sz w:val="24"/>
                <w:szCs w:val="24"/>
                <w:highlight w:val="none"/>
              </w:rPr>
              <w:t>额合法有效发票后30个工作日内，向乙方支付</w:t>
            </w:r>
            <w:r>
              <w:rPr>
                <w:rFonts w:ascii="宋体" w:eastAsia="宋体" w:hAnsi="宋体" w:cs="宋体" w:hint="eastAsia"/>
                <w:bCs/>
                <w:color w:val="auto"/>
                <w:sz w:val="24"/>
                <w:szCs w:val="24"/>
                <w:highlight w:val="none"/>
                <w:lang w:val="en-US" w:eastAsia="zh-CN"/>
              </w:rPr>
              <w:t>全额贷款</w:t>
            </w:r>
            <w:r>
              <w:rPr>
                <w:rFonts w:ascii="宋体" w:eastAsia="宋体" w:hAnsi="宋体" w:cs="宋体" w:hint="eastAsia"/>
                <w:bCs/>
                <w:color w:val="auto"/>
                <w:sz w:val="24"/>
                <w:szCs w:val="24"/>
                <w:highlight w:val="none"/>
              </w:rPr>
              <w:t>，合同总金额的5%作为履约保证金。履约保证金在合同期满两年后或保修期满后（先到为准），由甲方书面确认并扣除有关违约金或损失赔偿后30个工作日内，甲方无息退还乙方5%履约保证金。采购人因财政审批导致迟延付款的，不视为甲方违约，中标人仍应按照本合同约定履行义务。</w:t>
            </w:r>
          </w:p>
        </w:tc>
      </w:tr>
      <w:tr>
        <w:tblPrEx>
          <w:tblW w:w="8522" w:type="dxa"/>
          <w:tblInd w:w="0" w:type="dxa"/>
          <w:tblLayout w:type="fixed"/>
          <w:tblCellMar>
            <w:top w:w="0" w:type="dxa"/>
            <w:left w:w="108" w:type="dxa"/>
            <w:bottom w:w="0" w:type="dxa"/>
            <w:right w:w="108" w:type="dxa"/>
          </w:tblCellMar>
        </w:tblPrEx>
        <w:trPr>
          <w:trHeight w:val="680"/>
        </w:trPr>
        <w:tc>
          <w:tcPr>
            <w:tcW w:w="1217" w:type="dxa"/>
            <w:vAlign w:val="center"/>
          </w:tcPr>
          <w:p>
            <w:pPr>
              <w:jc w:val="center"/>
              <w:rPr>
                <w:rFonts w:ascii="宋体" w:eastAsia="宋体" w:hAnsi="宋体" w:cs="宋体" w:hint="eastAsia"/>
                <w:bCs/>
                <w:color w:val="000000"/>
                <w:sz w:val="24"/>
                <w:szCs w:val="24"/>
              </w:rPr>
            </w:pPr>
            <w:r>
              <w:rPr>
                <w:rFonts w:ascii="宋体" w:eastAsia="宋体" w:hAnsi="宋体" w:cs="宋体" w:hint="eastAsia"/>
                <w:bCs/>
                <w:color w:val="000000"/>
                <w:sz w:val="24"/>
                <w:szCs w:val="24"/>
              </w:rPr>
              <w:t>5</w:t>
            </w:r>
          </w:p>
        </w:tc>
        <w:tc>
          <w:tcPr>
            <w:tcW w:w="1565" w:type="dxa"/>
            <w:vAlign w:val="center"/>
          </w:tcPr>
          <w:p>
            <w:pPr>
              <w:jc w:val="center"/>
              <w:rPr>
                <w:rFonts w:ascii="宋体" w:eastAsia="宋体" w:hAnsi="宋体" w:cs="宋体" w:hint="eastAsia"/>
                <w:bCs/>
                <w:color w:val="000000"/>
                <w:sz w:val="24"/>
                <w:szCs w:val="24"/>
              </w:rPr>
            </w:pPr>
            <w:r>
              <w:rPr>
                <w:rFonts w:ascii="宋体" w:eastAsia="宋体" w:hAnsi="宋体" w:cs="宋体" w:hint="eastAsia"/>
                <w:sz w:val="24"/>
                <w:szCs w:val="24"/>
              </w:rPr>
              <w:t>报价要求</w:t>
            </w:r>
          </w:p>
        </w:tc>
        <w:tc>
          <w:tcPr>
            <w:tcW w:w="5740" w:type="dxa"/>
          </w:tcPr>
          <w:p>
            <w:pPr>
              <w:rPr>
                <w:rFonts w:ascii="宋体" w:eastAsia="宋体" w:hAnsi="宋体" w:cs="宋体" w:hint="eastAsia"/>
                <w:color w:val="000000"/>
                <w:sz w:val="24"/>
                <w:szCs w:val="24"/>
              </w:rPr>
            </w:pPr>
            <w:r>
              <w:rPr>
                <w:rFonts w:ascii="宋体" w:eastAsia="宋体" w:hAnsi="宋体" w:cs="宋体" w:hint="eastAsia"/>
                <w:bCs/>
                <w:sz w:val="24"/>
                <w:szCs w:val="24"/>
              </w:rPr>
              <w:t xml:space="preserve">投标总价必须是完成该项目的一切费用总和，包括设备费、运输费、装卸费、保险费、技术培训费、设备安装费、调试费、售后服务费、国家规定的各项税费等全部费用； </w:t>
            </w:r>
          </w:p>
        </w:tc>
      </w:tr>
    </w:tbl>
    <w:p>
      <w:pPr>
        <w:pStyle w:val="NormalIndent"/>
        <w:spacing w:before="60" w:beforeLines="25" w:after="60" w:afterLines="25"/>
        <w:ind w:firstLine="449" w:firstLineChars="187"/>
        <w:rPr>
          <w:rFonts w:ascii="宋体" w:hAnsi="宋体"/>
          <w:szCs w:val="21"/>
        </w:rPr>
      </w:pPr>
    </w:p>
    <w:p>
      <w:pPr>
        <w:pStyle w:val="NormalIndent"/>
        <w:spacing w:before="60" w:beforeLines="25" w:after="60" w:afterLines="25"/>
        <w:ind w:firstLine="449" w:firstLineChars="187"/>
        <w:rPr>
          <w:rFonts w:ascii="宋体" w:hAnsi="宋体"/>
          <w:szCs w:val="21"/>
        </w:rPr>
      </w:pPr>
    </w:p>
    <w:p>
      <w:pPr>
        <w:pStyle w:val="Heading3"/>
        <w:spacing w:before="120" w:beforeLines="50" w:after="120" w:afterLines="50"/>
        <w:jc w:val="center"/>
        <w:rPr>
          <w:szCs w:val="28"/>
        </w:rPr>
      </w:pPr>
      <w:r>
        <w:rPr>
          <w:rFonts w:hint="eastAsia"/>
          <w:szCs w:val="28"/>
        </w:rPr>
        <w:t>六、其他重要条款</w:t>
      </w:r>
    </w:p>
    <w:p>
      <w:pPr>
        <w:ind w:firstLine="48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宋体" w:hAnsi="宋体"/>
          <w:szCs w:val="21"/>
        </w:rPr>
      </w:pPr>
      <w:r>
        <w:rPr>
          <w:bCs/>
          <w:szCs w:val="21"/>
        </w:rPr>
        <w:t>2</w:t>
      </w:r>
      <w:r>
        <w:rPr>
          <w:rFonts w:hint="eastAsia"/>
          <w:bCs/>
          <w:szCs w:val="21"/>
        </w:rPr>
        <w:t>、投标人应充分了解项目的位置、情况、道路及任何其它足以影响投标报价的情况，任何因忽视或误解项目情况而导致的索赔或服务期限延长申请将不获批准。</w:t>
      </w:r>
    </w:p>
    <w:p>
      <w:pPr>
        <w:ind w:firstLine="48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bCs/>
          <w:szCs w:val="21"/>
        </w:rPr>
      </w:pPr>
      <w:r>
        <w:rPr>
          <w:bCs/>
          <w:szCs w:val="21"/>
        </w:rPr>
        <w:t>4</w:t>
      </w:r>
      <w:r>
        <w:rPr>
          <w:rFonts w:hint="eastAsia"/>
          <w:bCs/>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ind w:firstLine="480" w:firstLineChars="200"/>
        <w:rPr>
          <w:bCs/>
          <w:szCs w:val="21"/>
        </w:rPr>
      </w:pPr>
      <w:r>
        <w:rPr>
          <w:bCs/>
          <w:szCs w:val="21"/>
        </w:rPr>
        <w:t>5</w:t>
      </w:r>
      <w:r>
        <w:rPr>
          <w:rFonts w:hint="eastAsia"/>
          <w:bCs/>
          <w:szCs w:val="21"/>
        </w:rPr>
        <w:t>、除政府采购合同继续履行将损害国家利益和社会公共利益外，双方当事人不得擅自变更、中止或者终止合同。</w:t>
      </w:r>
    </w:p>
    <w:p>
      <w:pPr>
        <w:ind w:firstLine="480" w:firstLineChars="200"/>
        <w:rPr>
          <w:bCs/>
          <w:szCs w:val="21"/>
        </w:rPr>
      </w:pPr>
      <w:r>
        <w:rPr>
          <w:bCs/>
          <w:szCs w:val="21"/>
        </w:rPr>
        <w:t>6</w:t>
      </w:r>
      <w:r>
        <w:rPr>
          <w:rFonts w:hint="eastAsia"/>
          <w:bCs/>
          <w:szCs w:val="21"/>
        </w:rPr>
        <w:t>、“信用中国”、“中国政府采购网”、“深圳信用网”以及“深圳市政府采购监管网”为供应商信用信息的查询渠道，相关信息以开标当日的查询结果为准。</w:t>
      </w:r>
    </w:p>
    <w:p>
      <w:bookmarkStart w:id="43" w:name="OLE_LINK17"/>
    </w:p>
    <w:p>
      <w:pPr>
        <w:bidi w:val="0"/>
      </w:pPr>
      <w:bookmarkEnd w:id="43"/>
      <w:bookmarkStart w:id="44" w:name="_Hlk86246764"/>
    </w:p>
    <w:p>
      <w:pPr>
        <w:bidi w:val="0"/>
      </w:pPr>
    </w:p>
    <w:p>
      <w:pPr>
        <w:bidi w:val="0"/>
      </w:pPr>
    </w:p>
    <w:p>
      <w:pPr>
        <w:bidi w:val="0"/>
      </w:pPr>
    </w:p>
    <w:p>
      <w:pPr>
        <w:bidi w:val="0"/>
      </w:pPr>
    </w:p>
    <w:p>
      <w:pPr>
        <w:bidi w:val="0"/>
      </w:pPr>
    </w:p>
    <w:p>
      <w:pPr>
        <w:pStyle w:val="a2"/>
      </w:pPr>
    </w:p>
    <w:p>
      <w:pPr>
        <w:pStyle w:val="a2"/>
      </w:pPr>
    </w:p>
    <w:p>
      <w:pPr>
        <w:pStyle w:val="a2"/>
      </w:pPr>
    </w:p>
    <w:p>
      <w:pPr>
        <w:bidi w:val="0"/>
      </w:pPr>
    </w:p>
    <w:p>
      <w:pPr>
        <w:bidi w:val="0"/>
      </w:pPr>
    </w:p>
    <w:p>
      <w:pPr>
        <w:bidi w:val="0"/>
      </w:pPr>
    </w:p>
    <w:p>
      <w:pPr>
        <w:bidi w:val="0"/>
      </w:pPr>
    </w:p>
    <w:p>
      <w:pPr>
        <w:bidi w:val="0"/>
      </w:pPr>
    </w:p>
    <w:p>
      <w:pPr>
        <w:pStyle w:val="a0"/>
      </w:pPr>
    </w:p>
    <w:p>
      <w:pPr>
        <w:bidi w:val="0"/>
      </w:pPr>
    </w:p>
    <w:p>
      <w:pPr>
        <w:bidi w:val="0"/>
      </w:pPr>
    </w:p>
    <w:p>
      <w:pPr>
        <w:pStyle w:val="Heading2"/>
        <w:rPr>
          <w:sz w:val="28"/>
          <w:szCs w:val="28"/>
        </w:rPr>
      </w:pPr>
      <w:r>
        <w:rPr>
          <w:rFonts w:hint="eastAsia"/>
          <w:sz w:val="28"/>
          <w:szCs w:val="28"/>
        </w:rPr>
        <w:t>第四章 投标文件组成要求及格式</w:t>
      </w:r>
    </w:p>
    <w:p>
      <w:pPr>
        <w:rPr>
          <w:rStyle w:val="3Char"/>
          <w:sz w:val="24"/>
        </w:rPr>
      </w:pPr>
    </w:p>
    <w:p>
      <w:pPr>
        <w:rPr>
          <w:rStyle w:val="3Char"/>
          <w:sz w:val="24"/>
        </w:rPr>
      </w:pPr>
      <w:r>
        <w:rPr>
          <w:rStyle w:val="3Char"/>
          <w:rFonts w:hint="eastAsia"/>
          <w:sz w:val="24"/>
        </w:rPr>
        <w:t>特别提醒：</w:t>
      </w:r>
    </w:p>
    <w:p>
      <w:pPr>
        <w:ind w:firstLine="480" w:firstLineChars="200"/>
        <w:rPr>
          <w:rFonts w:ascii="仿宋_GB2312" w:eastAsia="仿宋_GB2312"/>
        </w:rPr>
      </w:pPr>
      <w:r>
        <w:rPr>
          <w:rFonts w:ascii="仿宋_GB2312" w:eastAsia="仿宋_GB2312"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仿宋_GB2312" w:eastAsia="仿宋_GB2312"/>
        </w:rPr>
      </w:pPr>
      <w:r>
        <w:rPr>
          <w:rFonts w:ascii="仿宋_GB2312" w:eastAsia="仿宋_GB2312" w:hint="eastAsia"/>
        </w:rPr>
        <w:t xml:space="preserve">    投标文件正文（信息公开部分）必须编制于“投标书目录”部分，投标文件附件（非信息公开部分）必须编制于“投标书附件”部分，如下图所示。</w:t>
      </w:r>
    </w:p>
    <w:p>
      <w:pPr>
        <w:rPr>
          <w:rFonts w:ascii="宋体" w:hAnsi="宋体" w:cs="宋体"/>
        </w:rPr>
      </w:pPr>
      <w:r>
        <w:rPr>
          <w:rFonts w:ascii="仿宋_GB2312" w:eastAsia="仿宋_GB2312"/>
        </w:rPr>
        <w:drawing>
          <wp:inline distT="0" distB="0" distL="114300" distR="114300">
            <wp:extent cx="5278755" cy="4126230"/>
            <wp:effectExtent l="0" t="0" r="17145" b="7620"/>
            <wp:docPr id="1"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应用程序&#10;&#10;描述已自动生成"/>
                    <pic:cNvPicPr>
                      <a:picLocks noChangeAspect="1"/>
                    </pic:cNvPicPr>
                  </pic:nvPicPr>
                  <pic:blipFill>
                    <a:blip xmlns:r="http://schemas.openxmlformats.org/officeDocument/2006/relationships" r:embed="rId4"/>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rPr>
      </w:pPr>
    </w:p>
    <w:p>
      <w:pPr>
        <w:jc w:val="center"/>
        <w:rPr>
          <w:rFonts w:ascii="仿宋_GB2312" w:eastAsia="仿宋_GB2312"/>
        </w:rPr>
      </w:pPr>
    </w:p>
    <w:p>
      <w:pPr>
        <w:ind w:firstLine="480" w:firstLineChars="200"/>
        <w:rPr>
          <w:rFonts w:ascii="仿宋_GB2312" w:eastAsia="仿宋_GB2312"/>
        </w:rPr>
      </w:pPr>
      <w:bookmarkStart w:id="45" w:name="_Hlk72257167"/>
      <w:r>
        <w:rPr>
          <w:rFonts w:ascii="仿宋_GB2312" w:eastAsia="仿宋_GB2312" w:hint="eastAsia"/>
        </w:rPr>
        <w:t>招标机构公布投标文件正文（信息公开部分）时为计算机截取信息自动公布，</w:t>
      </w:r>
      <w:r>
        <w:rPr>
          <w:rFonts w:ascii="仿宋_GB2312" w:eastAsia="仿宋_GB2312" w:hint="eastAsia"/>
          <w:b/>
          <w:bCs/>
        </w:rPr>
        <w:t>如投标人误将涉及个人隐私的信息放入投标文件正文，相关后果由投标人自负；</w:t>
      </w:r>
      <w:r>
        <w:rPr>
          <w:rFonts w:ascii="仿宋_GB2312" w:eastAsia="仿宋_GB2312" w:hint="eastAsia"/>
        </w:rPr>
        <w:t>如投标人将必须放于投标文件正文（信息公开部分）的内容放入投标文件附件（非信息公开部分），将作投标无效处理。</w:t>
      </w:r>
    </w:p>
    <w:p>
      <w:pPr>
        <w:rPr>
          <w:rFonts w:ascii="仿宋_GB2312" w:eastAsia="仿宋_GB2312"/>
        </w:rPr>
      </w:pPr>
      <w:bookmarkEnd w:id="44"/>
      <w:bookmarkEnd w:id="45"/>
      <w:r>
        <w:rPr>
          <w:rFonts w:ascii="仿宋_GB2312" w:eastAsia="仿宋_GB2312"/>
        </w:rPr>
        <w:br w:type="page"/>
      </w:r>
    </w:p>
    <w:p>
      <w:pPr>
        <w:rPr>
          <w:rStyle w:val="3Char"/>
          <w:sz w:val="28"/>
          <w:szCs w:val="28"/>
        </w:rPr>
      </w:pPr>
      <w:r>
        <w:rPr>
          <w:rStyle w:val="3Char"/>
          <w:rFonts w:hint="eastAsia"/>
          <w:sz w:val="28"/>
          <w:szCs w:val="28"/>
        </w:rPr>
        <w:t>投标文件组成：</w:t>
      </w:r>
    </w:p>
    <w:p>
      <w:pPr>
        <w:ind w:firstLine="1200" w:firstLineChars="500"/>
        <w:rPr>
          <w:rFonts w:ascii="宋体" w:hAnsi="宋体"/>
        </w:rPr>
      </w:pPr>
      <w:bookmarkStart w:id="46" w:name="_Hlk72257253"/>
      <w:r>
        <w:rPr>
          <w:rFonts w:ascii="宋体" w:hAnsi="宋体" w:hint="eastAsia"/>
        </w:rPr>
        <w:t>1.投标文件正文</w:t>
      </w:r>
      <w:r>
        <w:rPr>
          <w:rFonts w:ascii="宋体" w:hAnsi="宋体" w:hint="eastAsia"/>
          <w:b/>
          <w:color w:val="FF0000"/>
        </w:rPr>
        <w:t>（信息公开部分）</w:t>
      </w:r>
      <w:r>
        <w:rPr>
          <w:rFonts w:ascii="宋体" w:hAnsi="宋体" w:hint="eastAsia"/>
        </w:rPr>
        <w:t>，主要包括以下内容：</w:t>
      </w:r>
    </w:p>
    <w:p>
      <w:pPr>
        <w:ind w:left="821" w:firstLine="1620" w:leftChars="342" w:firstLineChars="675"/>
        <w:rPr>
          <w:szCs w:val="21"/>
        </w:rPr>
      </w:pPr>
      <w:r>
        <w:rPr>
          <w:rFonts w:hint="eastAsia"/>
          <w:szCs w:val="21"/>
        </w:rPr>
        <w:t>（1）</w:t>
      </w:r>
      <w:bookmarkStart w:id="47" w:name="_Hlk72070784"/>
      <w:r>
        <w:rPr>
          <w:rFonts w:hint="eastAsia"/>
          <w:szCs w:val="21"/>
        </w:rPr>
        <w:t>投标函</w:t>
      </w:r>
      <w:bookmarkEnd w:id="47"/>
    </w:p>
    <w:p>
      <w:pPr>
        <w:ind w:left="821" w:firstLine="1620" w:leftChars="342" w:firstLineChars="675"/>
        <w:rPr>
          <w:szCs w:val="21"/>
        </w:rPr>
      </w:pPr>
      <w:r>
        <w:rPr>
          <w:rFonts w:hint="eastAsia"/>
          <w:szCs w:val="21"/>
        </w:rPr>
        <w:t>（2）</w:t>
      </w:r>
      <w:bookmarkStart w:id="48" w:name="_Hlk72062521"/>
      <w:r>
        <w:rPr>
          <w:rFonts w:hint="eastAsia"/>
          <w:szCs w:val="21"/>
        </w:rPr>
        <w:t>政府采购投标及履约承诺函</w:t>
      </w:r>
      <w:bookmarkEnd w:id="48"/>
    </w:p>
    <w:p>
      <w:pPr>
        <w:ind w:left="821" w:firstLine="1620" w:leftChars="342" w:firstLineChars="675"/>
        <w:rPr>
          <w:szCs w:val="21"/>
        </w:rPr>
      </w:pPr>
      <w:r>
        <w:rPr>
          <w:rFonts w:hint="eastAsia"/>
          <w:szCs w:val="21"/>
        </w:rPr>
        <w:t>（</w:t>
      </w:r>
      <w:r>
        <w:rPr>
          <w:szCs w:val="21"/>
        </w:rPr>
        <w:t>3</w:t>
      </w:r>
      <w:r>
        <w:rPr>
          <w:rFonts w:hint="eastAsia"/>
          <w:szCs w:val="21"/>
        </w:rPr>
        <w:t>）投标人情况及资格证明文件</w:t>
      </w:r>
    </w:p>
    <w:p>
      <w:pPr>
        <w:ind w:left="821" w:firstLine="1620" w:leftChars="342" w:firstLineChars="675"/>
        <w:rPr>
          <w:szCs w:val="21"/>
        </w:rPr>
      </w:pPr>
      <w:bookmarkStart w:id="49" w:name="_Hlk72257201"/>
      <w:r>
        <w:rPr>
          <w:rFonts w:hint="eastAsia"/>
          <w:szCs w:val="21"/>
        </w:rPr>
        <w:t>（</w:t>
      </w:r>
      <w:r>
        <w:rPr>
          <w:szCs w:val="21"/>
        </w:rPr>
        <w:t>4</w:t>
      </w:r>
      <w:r>
        <w:rPr>
          <w:rFonts w:hint="eastAsia"/>
          <w:szCs w:val="21"/>
        </w:rPr>
        <w:t>）项目详细报价</w:t>
      </w:r>
    </w:p>
    <w:p>
      <w:pPr>
        <w:ind w:left="821" w:firstLine="1620" w:leftChars="342" w:firstLineChars="675"/>
        <w:rPr>
          <w:rFonts w:eastAsia="宋体" w:hint="default"/>
          <w:szCs w:val="21"/>
          <w:lang w:val="en-US" w:eastAsia="zh-CN"/>
        </w:rPr>
      </w:pPr>
      <w:r>
        <w:rPr>
          <w:rFonts w:eastAsia="宋体" w:hint="eastAsia"/>
          <w:szCs w:val="21"/>
        </w:rPr>
        <w:t>（5）</w:t>
      </w:r>
      <w:r>
        <w:rPr>
          <w:rFonts w:eastAsia="宋体" w:hint="eastAsia"/>
          <w:szCs w:val="21"/>
          <w:lang w:val="en-US" w:eastAsia="zh-CN"/>
        </w:rPr>
        <w:t>同类业绩</w:t>
      </w:r>
    </w:p>
    <w:p>
      <w:pPr>
        <w:ind w:left="821" w:firstLine="1620" w:leftChars="342" w:firstLineChars="675"/>
      </w:pPr>
      <w:r>
        <w:rPr>
          <w:rFonts w:eastAsia="宋体" w:hint="eastAsia"/>
          <w:szCs w:val="21"/>
        </w:rPr>
        <w:t>（6）投标人认为信息公开部分需要加以说明的其他内容</w:t>
      </w:r>
    </w:p>
    <w:p>
      <w:pPr>
        <w:ind w:firstLine="1200" w:firstLineChars="500"/>
        <w:rPr>
          <w:rFonts w:ascii="宋体" w:hAnsi="宋体"/>
        </w:rPr>
      </w:pPr>
      <w:bookmarkEnd w:id="49"/>
      <w:r>
        <w:rPr>
          <w:rFonts w:ascii="宋体" w:hAnsi="宋体" w:hint="eastAsia"/>
        </w:rPr>
        <w:t>2.投标文件附件</w:t>
      </w:r>
      <w:r>
        <w:rPr>
          <w:rFonts w:ascii="宋体" w:hAnsi="宋体" w:hint="eastAsia"/>
          <w:b/>
          <w:color w:val="FF0000"/>
        </w:rPr>
        <w:t>（信息不公开部分）</w:t>
      </w:r>
      <w:r>
        <w:rPr>
          <w:rFonts w:ascii="宋体" w:hAnsi="宋体" w:hint="eastAsia"/>
        </w:rPr>
        <w:t>：主要包括以下内容：</w:t>
      </w:r>
    </w:p>
    <w:p>
      <w:pPr>
        <w:ind w:firstLine="2400" w:firstLineChars="1000"/>
        <w:rPr>
          <w:szCs w:val="21"/>
        </w:rPr>
      </w:pPr>
      <w:r>
        <w:rPr>
          <w:rFonts w:hint="eastAsia"/>
          <w:szCs w:val="21"/>
        </w:rPr>
        <w:t>（1）法定代表人（负责人）证明书</w:t>
      </w:r>
    </w:p>
    <w:p>
      <w:pPr>
        <w:ind w:left="821" w:firstLine="1620" w:leftChars="342" w:firstLineChars="675"/>
        <w:rPr>
          <w:szCs w:val="21"/>
        </w:rPr>
      </w:pPr>
      <w:r>
        <w:rPr>
          <w:rFonts w:hint="eastAsia"/>
          <w:szCs w:val="21"/>
        </w:rPr>
        <w:t>（2）投标文件签署授权委托书</w:t>
      </w:r>
    </w:p>
    <w:p>
      <w:pPr>
        <w:ind w:left="821" w:firstLine="1620" w:leftChars="342" w:firstLineChars="675"/>
        <w:rPr>
          <w:szCs w:val="21"/>
        </w:rPr>
      </w:pPr>
      <w:r>
        <w:rPr>
          <w:rFonts w:hint="eastAsia"/>
          <w:szCs w:val="21"/>
        </w:rPr>
        <w:t>（3）实质性条款响应情况表</w:t>
      </w:r>
    </w:p>
    <w:p>
      <w:pPr>
        <w:ind w:left="821" w:firstLine="1620" w:leftChars="342" w:firstLineChars="675"/>
        <w:rPr>
          <w:szCs w:val="21"/>
        </w:rPr>
      </w:pPr>
      <w:r>
        <w:rPr>
          <w:rFonts w:hint="eastAsia"/>
          <w:szCs w:val="21"/>
        </w:rPr>
        <w:t>（</w:t>
      </w:r>
      <w:r>
        <w:rPr>
          <w:szCs w:val="21"/>
        </w:rPr>
        <w:t>4</w:t>
      </w:r>
      <w:r>
        <w:rPr>
          <w:rFonts w:hint="eastAsia"/>
          <w:szCs w:val="21"/>
        </w:rPr>
        <w:t>）技术要求偏离表</w:t>
      </w:r>
    </w:p>
    <w:p>
      <w:pPr>
        <w:ind w:left="821" w:firstLine="1620" w:leftChars="342" w:firstLineChars="675"/>
        <w:rPr>
          <w:szCs w:val="21"/>
        </w:rPr>
      </w:pPr>
      <w:r>
        <w:rPr>
          <w:rFonts w:hint="eastAsia"/>
          <w:szCs w:val="21"/>
        </w:rPr>
        <w:t>（</w:t>
      </w:r>
      <w:r>
        <w:rPr>
          <w:szCs w:val="21"/>
        </w:rPr>
        <w:t>5</w:t>
      </w:r>
      <w:r>
        <w:rPr>
          <w:rFonts w:hint="eastAsia"/>
          <w:szCs w:val="21"/>
        </w:rPr>
        <w:t>）商务要求偏离表</w:t>
      </w:r>
    </w:p>
    <w:p>
      <w:pPr>
        <w:ind w:left="821" w:firstLine="1620" w:leftChars="342" w:firstLineChars="675"/>
        <w:rPr>
          <w:szCs w:val="21"/>
        </w:rPr>
      </w:pPr>
      <w:r>
        <w:rPr>
          <w:rFonts w:hint="eastAsia"/>
          <w:szCs w:val="21"/>
        </w:rPr>
        <w:t>（</w:t>
      </w:r>
      <w:r>
        <w:rPr>
          <w:szCs w:val="21"/>
        </w:rPr>
        <w:t>6</w:t>
      </w:r>
      <w:r>
        <w:rPr>
          <w:rFonts w:hint="eastAsia"/>
          <w:szCs w:val="21"/>
        </w:rPr>
        <w:t>）</w:t>
      </w:r>
      <w:r>
        <w:rPr>
          <w:rFonts w:ascii="宋体" w:hAnsi="宋体" w:cs="宋体" w:hint="eastAsia"/>
        </w:rPr>
        <w:t>技术保障措施</w:t>
      </w:r>
    </w:p>
    <w:p>
      <w:pPr>
        <w:ind w:left="821" w:firstLine="1620" w:leftChars="342" w:firstLineChars="675"/>
        <w:rPr>
          <w:szCs w:val="21"/>
        </w:rPr>
      </w:pPr>
      <w:r>
        <w:rPr>
          <w:rFonts w:hint="eastAsia"/>
          <w:szCs w:val="21"/>
        </w:rPr>
        <w:t>（7）售后服务方案</w:t>
      </w:r>
    </w:p>
    <w:p>
      <w:pPr>
        <w:ind w:left="821" w:firstLine="1620" w:leftChars="342" w:firstLineChars="675"/>
        <w:rPr>
          <w:szCs w:val="21"/>
        </w:rPr>
      </w:pPr>
      <w:r>
        <w:rPr>
          <w:rFonts w:hint="eastAsia"/>
          <w:szCs w:val="21"/>
        </w:rPr>
        <w:t>（8）投标人认为信息不公开部分需要加以说明的其他内容</w:t>
      </w:r>
      <w:bookmarkEnd w:id="46"/>
    </w:p>
    <w:p>
      <w:pPr>
        <w:ind w:firstLine="485" w:firstLineChars="202"/>
        <w:rPr>
          <w:rFonts w:ascii="宋体" w:hAnsi="宋体"/>
          <w:b/>
          <w:szCs w:val="21"/>
        </w:rPr>
      </w:pPr>
      <w:bookmarkStart w:id="50" w:name="_Hlk72257771"/>
      <w:r>
        <w:rPr>
          <w:rFonts w:ascii="宋体" w:hAnsi="宋体" w:hint="eastAsia"/>
          <w:b/>
          <w:szCs w:val="21"/>
        </w:rPr>
        <w:t>备注：</w:t>
      </w:r>
    </w:p>
    <w:p>
      <w:pPr>
        <w:ind w:firstLine="485" w:firstLineChars="202"/>
        <w:rPr>
          <w:rFonts w:ascii="宋体" w:hAnsi="宋体"/>
          <w:b/>
          <w:szCs w:val="21"/>
        </w:rPr>
      </w:pPr>
      <w:r>
        <w:rPr>
          <w:rFonts w:ascii="宋体" w:hAnsi="宋体" w:hint="eastAsia"/>
          <w:b/>
          <w:szCs w:val="21"/>
        </w:rPr>
        <w:t>1.本项目为网上电子投标项目，投标文件不需法人或授权委托人另行签字，无需加盖单位公章，招标文件专用条款另有规定的除外。</w:t>
      </w:r>
    </w:p>
    <w:p>
      <w:pPr>
        <w:ind w:firstLine="480" w:firstLineChars="200"/>
        <w:rPr>
          <w:rFonts w:ascii="宋体" w:hAnsi="宋体"/>
          <w:color w:val="FF0000"/>
        </w:rPr>
      </w:pPr>
      <w:bookmarkStart w:id="51" w:name="_Hlk72263559"/>
      <w:r>
        <w:rPr>
          <w:rFonts w:ascii="宋体" w:hAnsi="宋体" w:hint="eastAsia"/>
          <w:b/>
          <w:szCs w:val="21"/>
        </w:rPr>
        <w:t>2.关于填写“开标一览表”的说明：“开标一览表”中除“投标总价”外，其他信息不作评审依据。</w:t>
      </w:r>
      <w:bookmarkEnd w:id="50"/>
      <w:bookmarkEnd w:id="51"/>
    </w:p>
    <w:p>
      <w:pPr>
        <w:rPr>
          <w:rFonts w:ascii="宋体" w:hAnsi="宋体"/>
          <w:color w:val="FF0000"/>
        </w:rPr>
      </w:pPr>
    </w:p>
    <w:p>
      <w:pPr>
        <w:rPr>
          <w:rFonts w:ascii="宋体" w:hAnsi="宋体"/>
          <w:color w:val="FF0000"/>
        </w:rPr>
      </w:pPr>
      <w:r>
        <w:rPr>
          <w:rFonts w:ascii="宋体" w:hAnsi="宋体"/>
          <w:color w:val="FF0000"/>
        </w:rPr>
        <w:br w:type="page"/>
      </w:r>
    </w:p>
    <w:p>
      <w:pPr>
        <w:rPr>
          <w:rFonts w:ascii="宋体" w:hAnsi="宋体"/>
          <w:color w:val="FF0000"/>
        </w:rPr>
      </w:pPr>
    </w:p>
    <w:p>
      <w:pPr>
        <w:outlineLvl w:val="2"/>
        <w:rPr>
          <w:rFonts w:ascii="宋体" w:hAnsi="宋体"/>
          <w:b/>
          <w:color w:val="FF0000"/>
          <w:sz w:val="28"/>
          <w:szCs w:val="28"/>
        </w:rPr>
      </w:pPr>
      <w:r>
        <w:rPr>
          <w:rFonts w:ascii="宋体" w:hAnsi="宋体" w:hint="eastAsia"/>
          <w:b/>
          <w:color w:val="FF0000"/>
          <w:sz w:val="28"/>
          <w:szCs w:val="28"/>
        </w:rPr>
        <w:t>投标文件正文（信息公开部分）</w:t>
      </w:r>
    </w:p>
    <w:p>
      <w:pPr>
        <w:pStyle w:val="Heading4"/>
        <w:jc w:val="center"/>
        <w:rPr>
          <w:rFonts w:ascii="黑体"/>
          <w:b w:val="0"/>
          <w:sz w:val="32"/>
          <w:szCs w:val="40"/>
        </w:rPr>
      </w:pPr>
      <w:r>
        <w:rPr>
          <w:rFonts w:ascii="黑体" w:hint="eastAsia"/>
          <w:b w:val="0"/>
          <w:sz w:val="32"/>
          <w:szCs w:val="40"/>
        </w:rPr>
        <w:t>一、投标函</w:t>
      </w:r>
    </w:p>
    <w:p>
      <w:pPr>
        <w:spacing w:line="360" w:lineRule="auto"/>
        <w:rPr>
          <w:rFonts w:ascii="宋体" w:eastAsia="宋体" w:hAnsi="宋体"/>
          <w:szCs w:val="21"/>
        </w:rPr>
      </w:pPr>
      <w:bookmarkStart w:id="52" w:name="_Hlk72257506"/>
      <w:r>
        <w:rPr>
          <w:rFonts w:ascii="宋体" w:hAnsi="宋体" w:hint="eastAsia"/>
          <w:szCs w:val="21"/>
        </w:rPr>
        <w:t>致：</w:t>
      </w:r>
      <w:r>
        <w:rPr>
          <w:rFonts w:ascii="宋体" w:eastAsia="宋体" w:hAnsi="宋体" w:hint="eastAsia"/>
          <w:szCs w:val="21"/>
          <w:u w:val="single"/>
        </w:rPr>
        <w:t>友和保险经纪有限公司</w:t>
      </w:r>
    </w:p>
    <w:p>
      <w:pPr>
        <w:spacing w:line="360" w:lineRule="auto"/>
        <w:ind w:firstLine="480" w:firstLineChars="200"/>
        <w:rPr>
          <w:rFonts w:ascii="宋体" w:hAnsi="宋体"/>
          <w:szCs w:val="21"/>
        </w:rPr>
      </w:pPr>
      <w:bookmarkStart w:id="53" w:name="_Hlk73818812"/>
      <w:r>
        <w:rPr>
          <w:rFonts w:hint="eastAsia"/>
          <w:szCs w:val="21"/>
        </w:rPr>
        <w:t>1、根据已收到贵单位的项目编号为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的</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项目的招标文件，遵照《深圳经济特区政府采购条例》和《深圳网上政府采购管理暂行办法》等有关规定，我单位经研究上述招标文件的专用条款及通用条款后，</w:t>
      </w:r>
      <w:bookmarkStart w:id="54" w:name="_Hlk72263588"/>
      <w:r>
        <w:rPr>
          <w:rFonts w:hint="eastAsia"/>
          <w:szCs w:val="21"/>
        </w:rPr>
        <w:t>愿意按照招标文件要求承包上述项目并修补其任何缺陷。</w:t>
      </w:r>
      <w:bookmarkEnd w:id="54"/>
    </w:p>
    <w:p>
      <w:pPr>
        <w:spacing w:line="360" w:lineRule="auto"/>
        <w:ind w:firstLine="480" w:firstLineChars="200"/>
        <w:rPr>
          <w:rFonts w:ascii="宋体" w:hAnsi="宋体"/>
          <w:szCs w:val="21"/>
        </w:rPr>
      </w:pPr>
      <w:r>
        <w:rPr>
          <w:rFonts w:ascii="宋体" w:hAnsi="宋体"/>
          <w:szCs w:val="21"/>
        </w:rPr>
        <w:t>2</w:t>
      </w:r>
      <w:r>
        <w:rPr>
          <w:rFonts w:ascii="宋体" w:hAnsi="宋体" w:hint="eastAsia"/>
          <w:szCs w:val="21"/>
        </w:rPr>
        <w:t>、</w:t>
      </w:r>
      <w:bookmarkStart w:id="55" w:name="_Hlk73819847"/>
      <w:r>
        <w:rPr>
          <w:rFonts w:ascii="宋体" w:hAnsi="宋体" w:hint="eastAsia"/>
          <w:szCs w:val="21"/>
        </w:rPr>
        <w:t>投标价格见</w:t>
      </w:r>
      <w:r>
        <w:rPr>
          <w:rFonts w:hint="eastAsia"/>
          <w:szCs w:val="21"/>
        </w:rPr>
        <w:t>投标书编制软件中《开标一览表》中填写的投标总价。</w:t>
      </w:r>
      <w:bookmarkEnd w:id="55"/>
    </w:p>
    <w:p>
      <w:pPr>
        <w:spacing w:line="360" w:lineRule="auto"/>
        <w:ind w:firstLine="480" w:firstLineChars="200"/>
        <w:rPr>
          <w:rFonts w:ascii="宋体" w:hAnsi="宋体"/>
          <w:szCs w:val="21"/>
        </w:rPr>
      </w:pPr>
      <w:r>
        <w:rPr>
          <w:rFonts w:ascii="宋体" w:hAnsi="宋体" w:hint="eastAsia"/>
          <w:szCs w:val="21"/>
        </w:rPr>
        <w:t>3、如果我单位中标，我单位将按照招标文件的要求足额提交履约担保。</w:t>
      </w:r>
    </w:p>
    <w:p>
      <w:pPr>
        <w:spacing w:line="360" w:lineRule="auto"/>
        <w:ind w:firstLine="480" w:firstLineChars="200"/>
        <w:rPr>
          <w:rFonts w:ascii="宋体" w:hAnsi="宋体"/>
          <w:szCs w:val="21"/>
        </w:rPr>
      </w:pPr>
      <w:r>
        <w:rPr>
          <w:rFonts w:ascii="宋体" w:hAnsi="宋体" w:hint="eastAsia"/>
          <w:szCs w:val="21"/>
        </w:rPr>
        <w:t>4、我单位同意所递交的投标文件在“对通用条款的补充内容”中明确的投标有效期内有效，在此期间内我单位的投标有可能中标，我方将受此约束。</w:t>
      </w:r>
    </w:p>
    <w:p>
      <w:pPr>
        <w:spacing w:line="360" w:lineRule="auto"/>
        <w:ind w:firstLine="480" w:firstLineChars="200"/>
        <w:rPr>
          <w:rFonts w:ascii="宋体" w:hAnsi="宋体"/>
          <w:szCs w:val="21"/>
        </w:rPr>
      </w:pPr>
      <w:r>
        <w:rPr>
          <w:rFonts w:ascii="宋体" w:hAnsi="宋体" w:hint="eastAsia"/>
          <w:szCs w:val="21"/>
        </w:rPr>
        <w:t>5、除非另外达成协议并生效，贵单位的中标通知书和本投标文件将构成合同的重要内容。</w:t>
      </w:r>
    </w:p>
    <w:p>
      <w:pPr>
        <w:spacing w:line="360" w:lineRule="auto"/>
        <w:ind w:firstLine="480" w:firstLineChars="200"/>
        <w:rPr>
          <w:rFonts w:ascii="宋体" w:hAnsi="宋体"/>
          <w:szCs w:val="21"/>
        </w:rPr>
      </w:pPr>
      <w:r>
        <w:rPr>
          <w:rFonts w:ascii="宋体" w:hAnsi="宋体" w:hint="eastAsia"/>
          <w:szCs w:val="21"/>
        </w:rPr>
        <w:t>6、我单位理解贵单位将不受必须接受所收到的最低报价或其它任何投标文件的约束。</w:t>
      </w:r>
      <w:bookmarkEnd w:id="53"/>
    </w:p>
    <w:p>
      <w:pPr>
        <w:spacing w:line="360" w:lineRule="auto"/>
        <w:ind w:left="617" w:leftChars="257"/>
        <w:rPr>
          <w:szCs w:val="21"/>
        </w:rPr>
      </w:pPr>
      <w:r>
        <w:rPr>
          <w:rFonts w:hint="eastAsia"/>
          <w:szCs w:val="21"/>
        </w:rPr>
        <w:t>投标人：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单位地址：</w:t>
      </w:r>
      <w:r>
        <w:rPr>
          <w:rFonts w:hint="eastAsia"/>
          <w:szCs w:val="21"/>
          <w:u w:val="single"/>
        </w:rPr>
        <w:tab/>
      </w:r>
      <w:r>
        <w:rPr>
          <w:rFonts w:hint="eastAsia"/>
          <w:szCs w:val="21"/>
          <w:u w:val="single"/>
        </w:rPr>
        <w:tab/>
      </w:r>
      <w:r>
        <w:rPr>
          <w:rFonts w:hint="eastAsia"/>
          <w:szCs w:val="21"/>
          <w:u w:val="single"/>
        </w:rPr>
        <w:tab/>
      </w:r>
    </w:p>
    <w:p>
      <w:pPr>
        <w:spacing w:line="360" w:lineRule="auto"/>
        <w:ind w:left="617" w:leftChars="257"/>
        <w:rPr>
          <w:szCs w:val="21"/>
          <w:u w:val="single"/>
        </w:rPr>
      </w:pPr>
      <w:r>
        <w:rPr>
          <w:rFonts w:hint="eastAsia"/>
          <w:szCs w:val="21"/>
        </w:rPr>
        <w:t>法定代表人（负责人）或其委托代理人：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spacing w:line="360" w:lineRule="auto"/>
        <w:ind w:left="617" w:leftChars="257"/>
        <w:rPr>
          <w:szCs w:val="21"/>
          <w:u w:val="single"/>
        </w:rPr>
      </w:pPr>
      <w:r>
        <w:rPr>
          <w:rFonts w:hint="eastAsia"/>
          <w:szCs w:val="21"/>
        </w:rPr>
        <w:t>邮政编码：</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spacing w:line="360" w:lineRule="auto"/>
        <w:ind w:left="617" w:leftChars="257"/>
        <w:rPr>
          <w:szCs w:val="21"/>
          <w:u w:val="single"/>
        </w:rPr>
      </w:pPr>
      <w:r>
        <w:rPr>
          <w:rFonts w:hint="eastAsia"/>
          <w:szCs w:val="21"/>
        </w:rPr>
        <w:t>传真：</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邮箱：</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spacing w:line="360" w:lineRule="auto"/>
        <w:ind w:left="617"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开户银行账号：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spacing w:line="360" w:lineRule="auto"/>
        <w:ind w:left="617"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spacing w:line="360" w:lineRule="auto"/>
        <w:ind w:firstLine="617" w:firstLineChars="257"/>
      </w:pPr>
      <w:r>
        <w:rPr>
          <w:rFonts w:ascii="宋体" w:hAnsi="宋体" w:hint="eastAsia"/>
          <w:szCs w:val="21"/>
        </w:rPr>
        <w:t>日期：</w:t>
      </w:r>
      <w:r>
        <w:rPr>
          <w:rFonts w:hint="eastAsia"/>
          <w:szCs w:val="21"/>
          <w:u w:val="single"/>
        </w:rPr>
        <w:tab/>
      </w:r>
      <w:r>
        <w:rPr>
          <w:rFonts w:hint="eastAsia"/>
          <w:szCs w:val="21"/>
          <w:u w:val="single"/>
        </w:rPr>
        <w:tab/>
      </w:r>
      <w:r>
        <w:rPr>
          <w:rFonts w:ascii="宋体" w:hAnsi="宋体" w:hint="eastAsia"/>
          <w:szCs w:val="21"/>
        </w:rPr>
        <w:t>年</w:t>
      </w:r>
      <w:r>
        <w:rPr>
          <w:rFonts w:hint="eastAsia"/>
          <w:szCs w:val="21"/>
          <w:u w:val="single"/>
        </w:rPr>
        <w:tab/>
      </w:r>
      <w:r>
        <w:rPr>
          <w:rFonts w:hint="eastAsia"/>
          <w:szCs w:val="21"/>
          <w:u w:val="single"/>
        </w:rPr>
        <w:tab/>
      </w:r>
      <w:r>
        <w:rPr>
          <w:rFonts w:ascii="宋体" w:hAnsi="宋体" w:hint="eastAsia"/>
          <w:szCs w:val="21"/>
        </w:rPr>
        <w:t>月</w:t>
      </w:r>
      <w:r>
        <w:rPr>
          <w:rFonts w:hint="eastAsia"/>
          <w:szCs w:val="21"/>
          <w:u w:val="single"/>
        </w:rPr>
        <w:tab/>
      </w:r>
      <w:r>
        <w:rPr>
          <w:rFonts w:hint="eastAsia"/>
          <w:szCs w:val="21"/>
          <w:u w:val="single"/>
        </w:rPr>
        <w:tab/>
      </w:r>
      <w:r>
        <w:rPr>
          <w:rFonts w:ascii="宋体" w:hAnsi="宋体" w:hint="eastAsia"/>
          <w:szCs w:val="21"/>
        </w:rPr>
        <w:t>日</w:t>
      </w:r>
    </w:p>
    <w:p>
      <w:pPr>
        <w:rPr>
          <w:rFonts w:ascii="黑体" w:eastAsia="黑体" w:hAnsi="宋体"/>
        </w:rPr>
      </w:pPr>
    </w:p>
    <w:p>
      <w:pPr>
        <w:rPr>
          <w:rFonts w:ascii="黑体" w:eastAsia="黑体"/>
        </w:rPr>
      </w:pPr>
      <w:bookmarkEnd w:id="52"/>
      <w:r>
        <w:rPr>
          <w:rFonts w:ascii="黑体" w:eastAsia="黑体" w:hint="eastAsia"/>
        </w:rPr>
        <w:br w:type="page"/>
      </w:r>
    </w:p>
    <w:p>
      <w:pPr>
        <w:pStyle w:val="Heading4"/>
        <w:jc w:val="center"/>
        <w:rPr>
          <w:rFonts w:ascii="黑体"/>
          <w:b w:val="0"/>
          <w:sz w:val="32"/>
          <w:szCs w:val="40"/>
        </w:rPr>
      </w:pPr>
      <w:r>
        <w:rPr>
          <w:rFonts w:ascii="黑体" w:hint="eastAsia"/>
          <w:b w:val="0"/>
          <w:sz w:val="32"/>
          <w:szCs w:val="40"/>
        </w:rPr>
        <w:t>二、政府采购投标及履约承诺函</w:t>
      </w:r>
    </w:p>
    <w:p>
      <w:pPr>
        <w:spacing w:line="360" w:lineRule="auto"/>
        <w:rPr>
          <w:rFonts w:ascii="宋体" w:eastAsia="宋体" w:hAnsi="宋体"/>
          <w:color w:val="FF0000"/>
          <w:szCs w:val="21"/>
        </w:rPr>
      </w:pPr>
      <w:bookmarkStart w:id="56" w:name="_Hlk72257530"/>
      <w:r>
        <w:rPr>
          <w:rFonts w:ascii="宋体" w:hAnsi="宋体" w:hint="eastAsia"/>
          <w:szCs w:val="21"/>
        </w:rPr>
        <w:t>致：</w:t>
      </w:r>
      <w:r>
        <w:rPr>
          <w:rFonts w:ascii="宋体" w:eastAsia="宋体" w:hAnsi="宋体" w:hint="eastAsia"/>
          <w:szCs w:val="21"/>
          <w:u w:val="single"/>
        </w:rPr>
        <w:t>友和保险经纪有限公司</w:t>
      </w:r>
    </w:p>
    <w:p>
      <w:pPr>
        <w:spacing w:line="360" w:lineRule="auto"/>
        <w:ind w:right="-815" w:firstLine="480" w:firstLineChars="200"/>
        <w:rPr>
          <w:rFonts w:ascii="宋体" w:hAnsi="宋体"/>
          <w:szCs w:val="21"/>
        </w:rPr>
      </w:pPr>
      <w:r>
        <w:rPr>
          <w:rFonts w:ascii="宋体" w:hAnsi="宋体" w:hint="eastAsia"/>
          <w:szCs w:val="21"/>
        </w:rPr>
        <w:t>我单位承诺：</w:t>
      </w:r>
    </w:p>
    <w:p>
      <w:pPr>
        <w:spacing w:line="360" w:lineRule="auto"/>
        <w:ind w:firstLine="480" w:firstLineChars="200"/>
        <w:rPr>
          <w:rFonts w:ascii="宋体" w:hAnsi="宋体"/>
          <w:szCs w:val="21"/>
        </w:rPr>
      </w:pPr>
      <w:r>
        <w:rPr>
          <w:rFonts w:ascii="宋体" w:hAnsi="宋体" w:hint="eastAsia"/>
          <w:szCs w:val="21"/>
        </w:rPr>
        <w:t>1.我单位参与本项目所投标（响应）的货物、工程或服务，不存在侵犯知识产权的情况；已知悉并同意中标（成交）结果信息公示（公开）的内容。</w:t>
      </w:r>
    </w:p>
    <w:p>
      <w:pPr>
        <w:spacing w:line="360" w:lineRule="auto"/>
        <w:ind w:firstLine="480" w:firstLineChars="200"/>
        <w:rPr>
          <w:rFonts w:ascii="宋体" w:hAnsi="宋体"/>
          <w:szCs w:val="21"/>
        </w:rPr>
      </w:pPr>
      <w:r>
        <w:rPr>
          <w:rFonts w:ascii="宋体" w:hAnsi="宋体" w:hint="eastAsia"/>
          <w:szCs w:val="21"/>
        </w:rPr>
        <w:t>2.我单位参与本项目投标前三年内，在经营活动中没有重大违法记录。</w:t>
      </w:r>
    </w:p>
    <w:p>
      <w:pPr>
        <w:spacing w:line="360" w:lineRule="auto"/>
        <w:ind w:firstLine="480" w:firstLineChars="200"/>
        <w:rPr>
          <w:rFonts w:ascii="宋体" w:hAnsi="宋体"/>
          <w:szCs w:val="21"/>
        </w:rPr>
      </w:pPr>
      <w:r>
        <w:rPr>
          <w:rFonts w:ascii="宋体" w:hAnsi="宋体" w:hint="eastAsia"/>
          <w:szCs w:val="21"/>
        </w:rPr>
        <w:t>3.我单位参与本项目政府采购活动时不存在被有关部门禁止参与政府采购活动且在有效期内的情况。</w:t>
      </w:r>
    </w:p>
    <w:p>
      <w:pPr>
        <w:spacing w:line="360" w:lineRule="auto"/>
        <w:ind w:firstLine="480" w:firstLineChars="200"/>
        <w:rPr>
          <w:rFonts w:ascii="宋体" w:hAnsi="宋体"/>
          <w:szCs w:val="21"/>
        </w:rPr>
      </w:pPr>
      <w:r>
        <w:rPr>
          <w:rFonts w:ascii="宋体" w:hAnsi="宋体" w:hint="eastAsia"/>
          <w:szCs w:val="21"/>
        </w:rPr>
        <w:t>4.我单位具备《中华人民共和国政府采购法》第二十二条第一款规定的六项条件。</w:t>
      </w:r>
    </w:p>
    <w:p>
      <w:pPr>
        <w:spacing w:line="360" w:lineRule="auto"/>
        <w:ind w:firstLine="480" w:firstLineChars="200"/>
        <w:rPr>
          <w:rFonts w:ascii="宋体" w:hAnsi="宋体"/>
          <w:szCs w:val="21"/>
        </w:rPr>
      </w:pPr>
      <w:r>
        <w:rPr>
          <w:rFonts w:ascii="宋体" w:hAnsi="宋体" w:hint="eastAsia"/>
          <w:szCs w:val="21"/>
        </w:rPr>
        <w:t>5.我单位未被列入失信被执行人、重大税收违法案件当事人名单、政府采购严重违法失信行为记录名单。</w:t>
      </w:r>
    </w:p>
    <w:p>
      <w:pPr>
        <w:spacing w:line="360" w:lineRule="auto"/>
        <w:ind w:firstLine="480" w:firstLineChars="200"/>
        <w:rPr>
          <w:rFonts w:ascii="宋体" w:hAnsi="宋体"/>
          <w:szCs w:val="21"/>
        </w:rPr>
      </w:pPr>
      <w:r>
        <w:rPr>
          <w:rFonts w:ascii="宋体" w:hAnsi="宋体" w:hint="eastAsia"/>
          <w:szCs w:val="21"/>
        </w:rPr>
        <w:t>6.</w:t>
      </w:r>
      <w:bookmarkStart w:id="57" w:name="_Hlk72587269"/>
      <w:bookmarkStart w:id="58" w:name="_Hlk72587299"/>
      <w:r>
        <w:rPr>
          <w:rFonts w:ascii="宋体" w:hAnsi="宋体" w:hint="eastAsia"/>
          <w:szCs w:val="21"/>
        </w:rPr>
        <w:t>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bookmarkEnd w:id="57"/>
      <w:r>
        <w:rPr>
          <w:rFonts w:ascii="宋体" w:hAnsi="宋体" w:hint="eastAsia"/>
          <w:szCs w:val="21"/>
        </w:rPr>
        <w:t>。</w:t>
      </w:r>
    </w:p>
    <w:p>
      <w:pPr>
        <w:spacing w:line="360" w:lineRule="auto"/>
        <w:ind w:firstLine="480" w:firstLineChars="200"/>
        <w:rPr>
          <w:rFonts w:ascii="宋体" w:hAnsi="宋体"/>
          <w:szCs w:val="21"/>
        </w:rPr>
      </w:pPr>
      <w:bookmarkEnd w:id="58"/>
      <w:r>
        <w:rPr>
          <w:rFonts w:ascii="宋体" w:hAnsi="宋体" w:hint="eastAsia"/>
          <w:szCs w:val="21"/>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spacing w:line="360" w:lineRule="auto"/>
        <w:ind w:firstLine="480" w:firstLineChars="200"/>
        <w:rPr>
          <w:rFonts w:ascii="宋体" w:hAnsi="宋体"/>
          <w:szCs w:val="21"/>
        </w:rPr>
      </w:pPr>
      <w:r>
        <w:rPr>
          <w:rFonts w:ascii="宋体" w:hAnsi="宋体" w:hint="eastAsia"/>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spacing w:line="360" w:lineRule="auto"/>
        <w:ind w:firstLine="480" w:firstLineChars="200"/>
        <w:rPr>
          <w:rFonts w:ascii="宋体" w:hAnsi="宋体"/>
          <w:szCs w:val="21"/>
        </w:rPr>
      </w:pPr>
      <w:r>
        <w:rPr>
          <w:rFonts w:ascii="宋体" w:hAnsi="宋体"/>
          <w:szCs w:val="21"/>
        </w:rPr>
        <w:t>8</w:t>
      </w:r>
      <w:r>
        <w:rPr>
          <w:rFonts w:ascii="宋体" w:hAnsi="宋体" w:hint="eastAsia"/>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spacing w:line="360" w:lineRule="auto"/>
        <w:ind w:firstLine="480" w:firstLineChars="200"/>
        <w:rPr>
          <w:rFonts w:ascii="宋体" w:eastAsia="宋体" w:hAnsi="宋体" w:hint="eastAsia"/>
          <w:szCs w:val="21"/>
          <w:lang w:eastAsia="zh-CN"/>
        </w:rPr>
      </w:pPr>
      <w:r>
        <w:rPr>
          <w:rFonts w:ascii="宋体" w:hAnsi="宋体"/>
          <w:szCs w:val="21"/>
        </w:rPr>
        <w:t>9</w:t>
      </w:r>
      <w:r>
        <w:rPr>
          <w:rFonts w:ascii="宋体" w:hAnsi="宋体" w:hint="eastAsia"/>
          <w:szCs w:val="21"/>
        </w:rPr>
        <w:t>.我单位承诺中标后项目不转包，未经采购人同意不进行分包。我单位不</w:t>
      </w:r>
      <w:r>
        <w:rPr>
          <w:rFonts w:ascii="宋体" w:eastAsia="宋体" w:hAnsi="宋体" w:hint="eastAsia"/>
          <w:szCs w:val="21"/>
          <w:lang w:val="en-US" w:eastAsia="zh-CN"/>
        </w:rPr>
        <w:t>以</w:t>
      </w:r>
      <w:r>
        <w:rPr>
          <w:rFonts w:ascii="宋体" w:hAnsi="宋体" w:hint="eastAsia"/>
          <w:szCs w:val="21"/>
        </w:rPr>
        <w:t>进口产品参与投标</w:t>
      </w:r>
      <w:r>
        <w:rPr>
          <w:rFonts w:ascii="宋体" w:eastAsia="宋体" w:hAnsi="宋体" w:hint="eastAsia"/>
          <w:szCs w:val="21"/>
          <w:lang w:eastAsia="zh-CN"/>
        </w:rPr>
        <w:t>。</w:t>
      </w:r>
    </w:p>
    <w:p>
      <w:pPr>
        <w:spacing w:line="360" w:lineRule="auto"/>
        <w:ind w:firstLine="480" w:firstLineChars="200"/>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spacing w:line="360" w:lineRule="auto"/>
        <w:ind w:firstLine="480" w:firstLineChars="200"/>
        <w:rPr>
          <w:rFonts w:ascii="宋体" w:hAnsi="宋体"/>
          <w:szCs w:val="21"/>
        </w:rPr>
      </w:pPr>
      <w:r>
        <w:rPr>
          <w:rFonts w:ascii="宋体" w:hAnsi="宋体"/>
          <w:szCs w:val="21"/>
        </w:rPr>
        <w:t>11.</w:t>
      </w:r>
      <w:r>
        <w:rPr>
          <w:rFonts w:ascii="宋体" w:hAnsi="宋体" w:hint="eastAsia"/>
          <w:szCs w:val="21"/>
        </w:rPr>
        <w:t>我单位保证，若所投货物涉及</w:t>
      </w:r>
      <w:r>
        <w:rPr>
          <w:rFonts w:ascii="宋体" w:hAnsi="宋体"/>
          <w:szCs w:val="21"/>
        </w:rPr>
        <w:t>《</w:t>
      </w:r>
      <w:r>
        <w:rPr>
          <w:rFonts w:ascii="宋体" w:hAnsi="宋体" w:hint="eastAsia"/>
          <w:szCs w:val="21"/>
        </w:rPr>
        <w:t>财政部生态环境部关于印发节能产品政府采购品目清单的通知》（财库〔20</w:t>
      </w:r>
      <w:r>
        <w:rPr>
          <w:rFonts w:ascii="宋体" w:hAnsi="宋体"/>
          <w:szCs w:val="21"/>
        </w:rPr>
        <w:t>19</w:t>
      </w:r>
      <w:r>
        <w:rPr>
          <w:rFonts w:ascii="宋体" w:hAnsi="宋体" w:hint="eastAsia"/>
          <w:szCs w:val="21"/>
        </w:rPr>
        <w:t>〕</w:t>
      </w:r>
      <w:r>
        <w:rPr>
          <w:rFonts w:ascii="宋体" w:hAnsi="宋体"/>
          <w:szCs w:val="21"/>
        </w:rPr>
        <w:t>19</w:t>
      </w:r>
      <w:r>
        <w:rPr>
          <w:rFonts w:ascii="宋体" w:hAnsi="宋体" w:hint="eastAsia"/>
          <w:szCs w:val="21"/>
        </w:rPr>
        <w:t>号）列明的政府采购强制产品，则所投该产品符合节能产品的认证要求。</w:t>
      </w:r>
    </w:p>
    <w:p>
      <w:pPr>
        <w:spacing w:line="360" w:lineRule="auto"/>
        <w:ind w:firstLine="480" w:firstLineChars="200"/>
        <w:rPr>
          <w:rFonts w:ascii="宋体" w:hAnsi="宋体"/>
          <w:szCs w:val="21"/>
        </w:rPr>
      </w:pPr>
      <w:r>
        <w:rPr>
          <w:rFonts w:ascii="宋体" w:hAnsi="宋体" w:hint="eastAsia"/>
          <w:szCs w:val="21"/>
        </w:rPr>
        <w:t>12.我公司不存在单位法定代表人（负责人）为同一人或者存在直接控股、管理关系的不同供应商，同时参加本项目投标之情形；我公司未为本项目提供过整体设计、规范编制或者项目管理、监理、检测等服务。</w:t>
      </w:r>
    </w:p>
    <w:p>
      <w:pPr>
        <w:spacing w:line="360" w:lineRule="auto"/>
        <w:ind w:firstLine="480" w:firstLineChars="200"/>
        <w:rPr>
          <w:rFonts w:ascii="宋体" w:hAnsi="宋体"/>
          <w:szCs w:val="21"/>
        </w:rPr>
      </w:pPr>
      <w:r>
        <w:rPr>
          <w:rFonts w:ascii="宋体" w:hAnsi="宋体" w:hint="eastAsia"/>
          <w:szCs w:val="21"/>
        </w:rPr>
        <w:t>以上承诺，如有违反，愿依照国家相关法律法规处理，并承担由此给采购人带来的损失。</w:t>
      </w:r>
    </w:p>
    <w:p>
      <w:pPr>
        <w:spacing w:before="60" w:beforeLines="25" w:after="60" w:afterLines="25" w:line="360" w:lineRule="auto"/>
        <w:ind w:firstLine="6240" w:firstLineChars="2600"/>
        <w:rPr>
          <w:rFonts w:ascii="宋体" w:hAnsi="宋体"/>
          <w:szCs w:val="21"/>
        </w:rPr>
      </w:pPr>
    </w:p>
    <w:p>
      <w:pPr>
        <w:spacing w:before="60" w:beforeLines="25" w:after="60" w:afterLines="25" w:line="360" w:lineRule="auto"/>
        <w:jc w:val="right"/>
      </w:pPr>
      <w:r>
        <w:rPr>
          <w:rFonts w:hint="eastAsia"/>
          <w:szCs w:val="21"/>
        </w:rPr>
        <w:t>投标人：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spacing w:line="360" w:lineRule="auto"/>
        <w:ind w:firstLine="645"/>
        <w:rPr>
          <w:rFonts w:ascii="宋体" w:hAnsi="宋体"/>
          <w:szCs w:val="21"/>
        </w:rPr>
      </w:pPr>
      <w:r>
        <w:rPr>
          <w:rFonts w:ascii="宋体" w:hAnsi="宋体" w:hint="eastAsia"/>
          <w:szCs w:val="21"/>
        </w:rPr>
        <w:t xml:space="preserve">                      日期：</w:t>
      </w:r>
      <w:r>
        <w:rPr>
          <w:rFonts w:hint="eastAsia"/>
          <w:szCs w:val="21"/>
          <w:u w:val="single"/>
        </w:rPr>
        <w:tab/>
      </w:r>
      <w:r>
        <w:rPr>
          <w:rFonts w:hint="eastAsia"/>
          <w:szCs w:val="21"/>
          <w:u w:val="single"/>
        </w:rPr>
        <w:tab/>
      </w:r>
      <w:r>
        <w:rPr>
          <w:rFonts w:ascii="宋体" w:hAnsi="宋体" w:hint="eastAsia"/>
          <w:szCs w:val="21"/>
        </w:rPr>
        <w:t>年</w:t>
      </w:r>
      <w:r>
        <w:rPr>
          <w:rFonts w:hint="eastAsia"/>
          <w:szCs w:val="21"/>
          <w:u w:val="single"/>
        </w:rPr>
        <w:tab/>
      </w:r>
      <w:r>
        <w:rPr>
          <w:rFonts w:hint="eastAsia"/>
          <w:szCs w:val="21"/>
          <w:u w:val="single"/>
        </w:rPr>
        <w:tab/>
      </w:r>
      <w:r>
        <w:rPr>
          <w:rFonts w:ascii="宋体" w:hAnsi="宋体" w:hint="eastAsia"/>
          <w:szCs w:val="21"/>
        </w:rPr>
        <w:t>月</w:t>
      </w:r>
      <w:r>
        <w:rPr>
          <w:rFonts w:hint="eastAsia"/>
          <w:szCs w:val="21"/>
          <w:u w:val="single"/>
        </w:rPr>
        <w:tab/>
      </w:r>
      <w:r>
        <w:rPr>
          <w:rFonts w:hint="eastAsia"/>
          <w:szCs w:val="21"/>
          <w:u w:val="single"/>
        </w:rPr>
        <w:tab/>
      </w:r>
      <w:r>
        <w:rPr>
          <w:rFonts w:ascii="宋体" w:hAnsi="宋体" w:hint="eastAsia"/>
          <w:szCs w:val="21"/>
        </w:rPr>
        <w:t>日</w:t>
      </w:r>
    </w:p>
    <w:p>
      <w:pPr>
        <w:rPr>
          <w:rFonts w:ascii="宋体"/>
          <w:b/>
          <w:szCs w:val="21"/>
        </w:rPr>
      </w:pPr>
      <w:bookmarkEnd w:id="56"/>
    </w:p>
    <w:p>
      <w:pPr>
        <w:ind w:firstLine="480" w:firstLineChars="200"/>
        <w:jc w:val="center"/>
        <w:rPr>
          <w:rFonts w:hAnsi="宋体"/>
          <w:b/>
          <w:bCs/>
        </w:rPr>
      </w:pPr>
    </w:p>
    <w:p>
      <w:pPr>
        <w:rPr>
          <w:rFonts w:ascii="黑体" w:eastAsia="黑体"/>
        </w:rPr>
      </w:pPr>
      <w:r>
        <w:rPr>
          <w:rFonts w:ascii="黑体" w:eastAsia="黑体" w:hint="eastAsia"/>
        </w:rPr>
        <w:br w:type="page"/>
      </w:r>
    </w:p>
    <w:p>
      <w:pPr>
        <w:pStyle w:val="Heading4"/>
        <w:jc w:val="center"/>
        <w:rPr>
          <w:rFonts w:ascii="黑体"/>
          <w:b w:val="0"/>
          <w:sz w:val="24"/>
          <w:szCs w:val="24"/>
        </w:rPr>
      </w:pPr>
      <w:r>
        <w:rPr>
          <w:rFonts w:ascii="黑体" w:hint="eastAsia"/>
          <w:b w:val="0"/>
          <w:sz w:val="24"/>
          <w:szCs w:val="24"/>
        </w:rPr>
        <w:t>三、投标人情况及资格证明文件</w:t>
      </w:r>
    </w:p>
    <w:p>
      <w:pPr>
        <w:rPr>
          <w:b/>
          <w:bCs/>
        </w:rPr>
      </w:pPr>
    </w:p>
    <w:p>
      <w:pPr>
        <w:ind w:firstLine="480" w:firstLineChars="200"/>
        <w:outlineLvl w:val="4"/>
        <w:rPr>
          <w:rFonts w:ascii="黑体" w:eastAsia="黑体" w:hAnsi="宋体"/>
          <w:bCs/>
          <w:szCs w:val="32"/>
        </w:rPr>
      </w:pPr>
      <w:bookmarkStart w:id="59" w:name="_Hlk72257590"/>
      <w:r>
        <w:rPr>
          <w:rFonts w:ascii="黑体" w:eastAsia="黑体" w:hAnsi="宋体" w:hint="eastAsia"/>
          <w:bCs/>
          <w:szCs w:val="32"/>
        </w:rPr>
        <w:t>（一）投标人资格证明文件</w:t>
      </w:r>
    </w:p>
    <w:p>
      <w:pPr>
        <w:spacing w:before="120" w:beforeLines="50"/>
        <w:ind w:firstLine="480"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pPr>
        <w:rPr>
          <w:b/>
          <w:bCs/>
          <w:color w:val="FF0000"/>
        </w:rPr>
      </w:pPr>
    </w:p>
    <w:p>
      <w:pPr>
        <w:ind w:firstLine="480" w:firstLineChars="200"/>
        <w:outlineLvl w:val="4"/>
        <w:rPr>
          <w:rFonts w:ascii="黑体" w:eastAsia="黑体" w:hAnsi="宋体"/>
          <w:bCs/>
          <w:szCs w:val="32"/>
        </w:rPr>
      </w:pPr>
      <w:r>
        <w:rPr>
          <w:rFonts w:ascii="黑体" w:eastAsia="黑体" w:hAnsi="宋体" w:hint="eastAsia"/>
          <w:bCs/>
          <w:szCs w:val="32"/>
        </w:rPr>
        <w:t>（二）近三年同类业绩</w:t>
      </w:r>
    </w:p>
    <w:tbl>
      <w:tblPr>
        <w:tblStyle w:val="TableNormal"/>
        <w:tblW w:w="8522" w:type="dxa"/>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58"/>
        <w:gridCol w:w="989"/>
        <w:gridCol w:w="2575"/>
        <w:gridCol w:w="1975"/>
        <w:gridCol w:w="1464"/>
        <w:gridCol w:w="861"/>
      </w:tblGrid>
      <w:tr>
        <w:tblPrEx>
          <w:tblW w:w="8522" w:type="dxa"/>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658" w:type="dxa"/>
            <w:vAlign w:val="center"/>
          </w:tcPr>
          <w:p>
            <w:pPr>
              <w:jc w:val="center"/>
              <w:rPr>
                <w:rFonts w:ascii="宋体" w:eastAsia="宋体" w:hAnsi="宋体"/>
                <w:sz w:val="20"/>
                <w:szCs w:val="21"/>
              </w:rPr>
            </w:pPr>
            <w:r>
              <w:rPr>
                <w:rFonts w:ascii="宋体" w:eastAsia="宋体" w:hAnsi="宋体" w:hint="eastAsia"/>
                <w:sz w:val="20"/>
                <w:szCs w:val="21"/>
              </w:rPr>
              <w:t>序号</w:t>
            </w:r>
          </w:p>
        </w:tc>
        <w:tc>
          <w:tcPr>
            <w:tcW w:w="989" w:type="dxa"/>
            <w:vAlign w:val="center"/>
          </w:tcPr>
          <w:p>
            <w:pPr>
              <w:jc w:val="center"/>
              <w:rPr>
                <w:rFonts w:ascii="宋体" w:hAnsi="宋体"/>
                <w:sz w:val="20"/>
                <w:szCs w:val="21"/>
              </w:rPr>
            </w:pPr>
            <w:r>
              <w:rPr>
                <w:rFonts w:ascii="宋体" w:hAnsi="宋体" w:hint="eastAsia"/>
                <w:sz w:val="20"/>
                <w:szCs w:val="21"/>
              </w:rPr>
              <w:t>采购人</w:t>
            </w:r>
          </w:p>
        </w:tc>
        <w:tc>
          <w:tcPr>
            <w:tcW w:w="2575" w:type="dxa"/>
            <w:vAlign w:val="center"/>
          </w:tcPr>
          <w:p>
            <w:pPr>
              <w:jc w:val="center"/>
              <w:rPr>
                <w:rFonts w:ascii="宋体" w:hAnsi="宋体"/>
                <w:sz w:val="20"/>
                <w:szCs w:val="21"/>
              </w:rPr>
            </w:pPr>
            <w:r>
              <w:rPr>
                <w:rFonts w:ascii="宋体" w:hAnsi="宋体" w:hint="eastAsia"/>
                <w:sz w:val="20"/>
                <w:szCs w:val="21"/>
              </w:rPr>
              <w:t>项目名称</w:t>
            </w:r>
          </w:p>
        </w:tc>
        <w:tc>
          <w:tcPr>
            <w:tcW w:w="1975" w:type="dxa"/>
            <w:vAlign w:val="center"/>
          </w:tcPr>
          <w:p>
            <w:pPr>
              <w:jc w:val="center"/>
              <w:rPr>
                <w:rFonts w:ascii="宋体" w:hAnsi="宋体"/>
                <w:sz w:val="20"/>
                <w:szCs w:val="21"/>
              </w:rPr>
            </w:pPr>
            <w:r>
              <w:rPr>
                <w:rFonts w:ascii="宋体" w:hAnsi="宋体" w:hint="eastAsia"/>
                <w:sz w:val="20"/>
                <w:szCs w:val="21"/>
              </w:rPr>
              <w:t>项目规模（金额）</w:t>
            </w:r>
          </w:p>
        </w:tc>
        <w:tc>
          <w:tcPr>
            <w:tcW w:w="1464" w:type="dxa"/>
            <w:vAlign w:val="center"/>
          </w:tcPr>
          <w:p>
            <w:pPr>
              <w:jc w:val="center"/>
              <w:rPr>
                <w:rFonts w:ascii="宋体" w:hAnsi="宋体"/>
                <w:sz w:val="20"/>
                <w:szCs w:val="21"/>
              </w:rPr>
            </w:pPr>
            <w:r>
              <w:rPr>
                <w:rFonts w:ascii="宋体" w:hAnsi="宋体" w:hint="eastAsia"/>
                <w:sz w:val="20"/>
                <w:szCs w:val="21"/>
              </w:rPr>
              <w:t>合同签订日期</w:t>
            </w:r>
          </w:p>
        </w:tc>
        <w:tc>
          <w:tcPr>
            <w:tcW w:w="861" w:type="dxa"/>
            <w:vAlign w:val="center"/>
          </w:tcPr>
          <w:p>
            <w:pPr>
              <w:jc w:val="center"/>
              <w:rPr>
                <w:rFonts w:ascii="宋体" w:hAnsi="宋体"/>
                <w:sz w:val="20"/>
                <w:szCs w:val="21"/>
              </w:rPr>
            </w:pPr>
            <w:r>
              <w:rPr>
                <w:rFonts w:ascii="宋体" w:eastAsia="宋体" w:hAnsi="宋体" w:hint="eastAsia"/>
                <w:sz w:val="20"/>
                <w:szCs w:val="21"/>
              </w:rPr>
              <w:t>备注</w:t>
            </w:r>
          </w:p>
        </w:tc>
      </w:tr>
      <w:tr>
        <w:tblPrEx>
          <w:tblW w:w="8522" w:type="dxa"/>
          <w:tblInd w:w="0" w:type="dxa"/>
          <w:tblLayout w:type="fixed"/>
          <w:tblCellMar>
            <w:top w:w="0" w:type="dxa"/>
            <w:left w:w="108" w:type="dxa"/>
            <w:bottom w:w="0" w:type="dxa"/>
            <w:right w:w="108" w:type="dxa"/>
          </w:tblCellMar>
        </w:tblPrEx>
        <w:tc>
          <w:tcPr>
            <w:tcW w:w="658" w:type="dxa"/>
            <w:vAlign w:val="center"/>
          </w:tcPr>
          <w:p>
            <w:pPr>
              <w:ind w:firstLine="480" w:firstLineChars="200"/>
              <w:rPr>
                <w:rFonts w:ascii="宋体" w:hAnsi="宋体"/>
                <w:sz w:val="20"/>
                <w:szCs w:val="21"/>
              </w:rPr>
            </w:pPr>
          </w:p>
        </w:tc>
        <w:tc>
          <w:tcPr>
            <w:tcW w:w="989" w:type="dxa"/>
            <w:vAlign w:val="center"/>
          </w:tcPr>
          <w:p>
            <w:pPr>
              <w:rPr>
                <w:rFonts w:ascii="宋体" w:hAnsi="宋体"/>
                <w:sz w:val="20"/>
                <w:szCs w:val="21"/>
              </w:rPr>
            </w:pPr>
          </w:p>
        </w:tc>
        <w:tc>
          <w:tcPr>
            <w:tcW w:w="2575" w:type="dxa"/>
            <w:vAlign w:val="center"/>
          </w:tcPr>
          <w:p>
            <w:pPr>
              <w:ind w:firstLine="480" w:firstLineChars="200"/>
              <w:rPr>
                <w:rFonts w:ascii="宋体" w:hAnsi="宋体"/>
                <w:sz w:val="20"/>
                <w:szCs w:val="21"/>
              </w:rPr>
            </w:pPr>
          </w:p>
        </w:tc>
        <w:tc>
          <w:tcPr>
            <w:tcW w:w="1975" w:type="dxa"/>
            <w:vAlign w:val="center"/>
          </w:tcPr>
          <w:p>
            <w:pPr>
              <w:ind w:firstLine="480" w:firstLineChars="200"/>
              <w:rPr>
                <w:rFonts w:ascii="宋体" w:hAnsi="宋体"/>
                <w:sz w:val="20"/>
                <w:szCs w:val="21"/>
              </w:rPr>
            </w:pPr>
          </w:p>
        </w:tc>
        <w:tc>
          <w:tcPr>
            <w:tcW w:w="1464" w:type="dxa"/>
            <w:vAlign w:val="center"/>
          </w:tcPr>
          <w:p>
            <w:pPr>
              <w:ind w:firstLine="480" w:firstLineChars="200"/>
              <w:rPr>
                <w:rFonts w:ascii="宋体" w:hAnsi="宋体"/>
                <w:sz w:val="20"/>
                <w:szCs w:val="21"/>
              </w:rPr>
            </w:pPr>
          </w:p>
        </w:tc>
        <w:tc>
          <w:tcPr>
            <w:tcW w:w="861" w:type="dxa"/>
            <w:vAlign w:val="center"/>
          </w:tcPr>
          <w:p>
            <w:pPr>
              <w:ind w:firstLine="480" w:firstLineChars="200"/>
              <w:rPr>
                <w:rFonts w:ascii="宋体" w:hAnsi="宋体"/>
                <w:sz w:val="20"/>
                <w:szCs w:val="21"/>
              </w:rPr>
            </w:pPr>
          </w:p>
        </w:tc>
      </w:tr>
      <w:tr>
        <w:tblPrEx>
          <w:tblW w:w="8522" w:type="dxa"/>
          <w:tblInd w:w="0" w:type="dxa"/>
          <w:tblLayout w:type="fixed"/>
          <w:tblCellMar>
            <w:top w:w="0" w:type="dxa"/>
            <w:left w:w="108" w:type="dxa"/>
            <w:bottom w:w="0" w:type="dxa"/>
            <w:right w:w="108" w:type="dxa"/>
          </w:tblCellMar>
        </w:tblPrEx>
        <w:tc>
          <w:tcPr>
            <w:tcW w:w="658" w:type="dxa"/>
            <w:vAlign w:val="center"/>
          </w:tcPr>
          <w:p>
            <w:pPr>
              <w:ind w:firstLine="480" w:firstLineChars="200"/>
              <w:rPr>
                <w:rFonts w:ascii="宋体" w:hAnsi="宋体"/>
                <w:sz w:val="20"/>
                <w:szCs w:val="21"/>
              </w:rPr>
            </w:pPr>
          </w:p>
        </w:tc>
        <w:tc>
          <w:tcPr>
            <w:tcW w:w="989" w:type="dxa"/>
            <w:vAlign w:val="center"/>
          </w:tcPr>
          <w:p>
            <w:pPr>
              <w:ind w:firstLine="480" w:firstLineChars="200"/>
              <w:rPr>
                <w:rFonts w:ascii="宋体" w:hAnsi="宋体"/>
                <w:sz w:val="20"/>
                <w:szCs w:val="21"/>
              </w:rPr>
            </w:pPr>
          </w:p>
        </w:tc>
        <w:tc>
          <w:tcPr>
            <w:tcW w:w="2575" w:type="dxa"/>
            <w:vAlign w:val="center"/>
          </w:tcPr>
          <w:p>
            <w:pPr>
              <w:ind w:firstLine="480" w:firstLineChars="200"/>
              <w:rPr>
                <w:rFonts w:ascii="宋体" w:hAnsi="宋体"/>
                <w:sz w:val="20"/>
                <w:szCs w:val="21"/>
              </w:rPr>
            </w:pPr>
          </w:p>
        </w:tc>
        <w:tc>
          <w:tcPr>
            <w:tcW w:w="1975" w:type="dxa"/>
            <w:vAlign w:val="center"/>
          </w:tcPr>
          <w:p>
            <w:pPr>
              <w:ind w:firstLine="480" w:firstLineChars="200"/>
              <w:rPr>
                <w:rFonts w:ascii="宋体" w:hAnsi="宋体"/>
                <w:sz w:val="20"/>
                <w:szCs w:val="21"/>
              </w:rPr>
            </w:pPr>
          </w:p>
        </w:tc>
        <w:tc>
          <w:tcPr>
            <w:tcW w:w="1464" w:type="dxa"/>
            <w:vAlign w:val="center"/>
          </w:tcPr>
          <w:p>
            <w:pPr>
              <w:ind w:firstLine="480" w:firstLineChars="200"/>
              <w:rPr>
                <w:rFonts w:ascii="宋体" w:hAnsi="宋体"/>
                <w:sz w:val="20"/>
                <w:szCs w:val="21"/>
              </w:rPr>
            </w:pPr>
          </w:p>
        </w:tc>
        <w:tc>
          <w:tcPr>
            <w:tcW w:w="861" w:type="dxa"/>
            <w:vAlign w:val="center"/>
          </w:tcPr>
          <w:p>
            <w:pPr>
              <w:ind w:firstLine="480" w:firstLineChars="200"/>
              <w:rPr>
                <w:rFonts w:ascii="宋体" w:hAnsi="宋体"/>
                <w:sz w:val="20"/>
                <w:szCs w:val="21"/>
              </w:rPr>
            </w:pPr>
          </w:p>
        </w:tc>
      </w:tr>
      <w:tr>
        <w:tblPrEx>
          <w:tblW w:w="8522" w:type="dxa"/>
          <w:tblInd w:w="0" w:type="dxa"/>
          <w:tblLayout w:type="fixed"/>
          <w:tblCellMar>
            <w:top w:w="0" w:type="dxa"/>
            <w:left w:w="108" w:type="dxa"/>
            <w:bottom w:w="0" w:type="dxa"/>
            <w:right w:w="108" w:type="dxa"/>
          </w:tblCellMar>
        </w:tblPrEx>
        <w:tc>
          <w:tcPr>
            <w:tcW w:w="658" w:type="dxa"/>
            <w:vAlign w:val="center"/>
          </w:tcPr>
          <w:p>
            <w:pPr>
              <w:ind w:firstLine="480" w:firstLineChars="200"/>
              <w:rPr>
                <w:rFonts w:ascii="宋体" w:hAnsi="宋体"/>
                <w:sz w:val="20"/>
                <w:szCs w:val="21"/>
              </w:rPr>
            </w:pPr>
          </w:p>
        </w:tc>
        <w:tc>
          <w:tcPr>
            <w:tcW w:w="989" w:type="dxa"/>
            <w:vAlign w:val="center"/>
          </w:tcPr>
          <w:p>
            <w:pPr>
              <w:ind w:firstLine="480" w:firstLineChars="200"/>
              <w:rPr>
                <w:rFonts w:ascii="宋体" w:hAnsi="宋体"/>
                <w:sz w:val="20"/>
                <w:szCs w:val="21"/>
              </w:rPr>
            </w:pPr>
          </w:p>
        </w:tc>
        <w:tc>
          <w:tcPr>
            <w:tcW w:w="2575" w:type="dxa"/>
            <w:vAlign w:val="center"/>
          </w:tcPr>
          <w:p>
            <w:pPr>
              <w:ind w:firstLine="480" w:firstLineChars="200"/>
              <w:rPr>
                <w:rFonts w:ascii="宋体" w:hAnsi="宋体"/>
                <w:sz w:val="20"/>
                <w:szCs w:val="21"/>
              </w:rPr>
            </w:pPr>
          </w:p>
        </w:tc>
        <w:tc>
          <w:tcPr>
            <w:tcW w:w="1975" w:type="dxa"/>
            <w:vAlign w:val="center"/>
          </w:tcPr>
          <w:p>
            <w:pPr>
              <w:ind w:firstLine="480" w:firstLineChars="200"/>
              <w:rPr>
                <w:rFonts w:ascii="宋体" w:hAnsi="宋体"/>
                <w:sz w:val="20"/>
                <w:szCs w:val="21"/>
              </w:rPr>
            </w:pPr>
          </w:p>
        </w:tc>
        <w:tc>
          <w:tcPr>
            <w:tcW w:w="1464" w:type="dxa"/>
            <w:vAlign w:val="center"/>
          </w:tcPr>
          <w:p>
            <w:pPr>
              <w:ind w:firstLine="480" w:firstLineChars="200"/>
              <w:rPr>
                <w:rFonts w:ascii="宋体" w:hAnsi="宋体"/>
                <w:sz w:val="20"/>
                <w:szCs w:val="21"/>
              </w:rPr>
            </w:pPr>
          </w:p>
        </w:tc>
        <w:tc>
          <w:tcPr>
            <w:tcW w:w="861" w:type="dxa"/>
            <w:vAlign w:val="center"/>
          </w:tcPr>
          <w:p>
            <w:pPr>
              <w:ind w:firstLine="480" w:firstLineChars="200"/>
              <w:rPr>
                <w:rFonts w:ascii="宋体" w:hAnsi="宋体"/>
                <w:sz w:val="20"/>
                <w:szCs w:val="21"/>
              </w:rPr>
            </w:pPr>
          </w:p>
        </w:tc>
      </w:tr>
    </w:tbl>
    <w:p>
      <w:pPr>
        <w:rPr>
          <w:b/>
          <w:bCs/>
        </w:rPr>
      </w:pPr>
    </w:p>
    <w:p>
      <w:pPr>
        <w:ind w:firstLine="480" w:firstLineChars="200"/>
        <w:outlineLvl w:val="4"/>
        <w:rPr>
          <w:rFonts w:ascii="黑体" w:eastAsia="黑体" w:hAnsi="宋体"/>
          <w:bCs/>
          <w:szCs w:val="32"/>
        </w:rPr>
      </w:pPr>
      <w:r>
        <w:rPr>
          <w:rFonts w:ascii="黑体" w:eastAsia="黑体" w:hAnsi="宋体" w:hint="eastAsia"/>
          <w:bCs/>
          <w:szCs w:val="32"/>
        </w:rPr>
        <w:t>（三）</w:t>
      </w:r>
      <w:bookmarkStart w:id="60" w:name="_Hlk72257908"/>
      <w:r>
        <w:rPr>
          <w:rFonts w:ascii="黑体" w:eastAsia="黑体" w:hAnsi="宋体" w:hint="eastAsia"/>
          <w:bCs/>
          <w:szCs w:val="32"/>
        </w:rPr>
        <w:t>中小企业声明函、残疾人福利性单位声明函及监狱企业声明函</w:t>
      </w:r>
    </w:p>
    <w:p>
      <w:pPr>
        <w:rPr>
          <w:color w:val="FF0000"/>
        </w:rPr>
      </w:pPr>
      <w:bookmarkEnd w:id="59"/>
      <w:r>
        <w:rPr>
          <w:rFonts w:hint="eastAsia"/>
          <w:color w:val="FF0000"/>
        </w:rPr>
        <w:t>填写指引：</w:t>
      </w:r>
    </w:p>
    <w:p>
      <w:pPr>
        <w:rPr>
          <w:color w:val="FF0000"/>
        </w:rPr>
      </w:pPr>
      <w:r>
        <w:rPr>
          <w:rFonts w:hint="eastAsia"/>
          <w:color w:val="FF0000"/>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pPr>
        <w:rPr>
          <w:color w:val="FF0000"/>
        </w:rPr>
      </w:pPr>
      <w:r>
        <w:rPr>
          <w:rFonts w:hint="eastAsia"/>
          <w:color w:val="FF0000"/>
        </w:rPr>
        <w:t>2、该部分内容填写需要参考的相关文件：(</w:t>
      </w:r>
      <w:r>
        <w:rPr>
          <w:color w:val="FF0000"/>
        </w:rPr>
        <w:t>1</w:t>
      </w:r>
      <w:r>
        <w:rPr>
          <w:rFonts w:hint="eastAsia"/>
          <w:color w:val="FF0000"/>
        </w:rPr>
        <w:t>)财政部《政府采购促进中小企业发展管理办法》（财库〔2020〕46号）；(</w:t>
      </w:r>
      <w:r>
        <w:rPr>
          <w:color w:val="FF0000"/>
        </w:rPr>
        <w:t>2</w:t>
      </w:r>
      <w:r>
        <w:rPr>
          <w:rFonts w:hint="eastAsia"/>
          <w:color w:val="FF0000"/>
        </w:rPr>
        <w:t>)</w:t>
      </w:r>
      <w:bookmarkStart w:id="61" w:name="_Hlk71925120"/>
      <w:r>
        <w:rPr>
          <w:rFonts w:hint="eastAsia"/>
          <w:color w:val="FF0000"/>
        </w:rPr>
        <w:t>《工业和信息化部、国家统计局、国家发展和改革委员会、财政部关于印发中小企业划型标准规定的通知》（工信部联企业〔2011〕300 号</w:t>
      </w:r>
      <w:bookmarkEnd w:id="61"/>
      <w:r>
        <w:rPr>
          <w:rFonts w:hint="eastAsia"/>
          <w:color w:val="FF0000"/>
        </w:rPr>
        <w:t>，以下简称3</w:t>
      </w:r>
      <w:r>
        <w:rPr>
          <w:color w:val="FF0000"/>
        </w:rPr>
        <w:t>00</w:t>
      </w:r>
      <w:r>
        <w:rPr>
          <w:rFonts w:hint="eastAsia"/>
          <w:color w:val="FF0000"/>
        </w:rPr>
        <w:t>号文）。</w:t>
      </w:r>
    </w:p>
    <w:p>
      <w:pPr>
        <w:rPr>
          <w:color w:val="FF0000"/>
        </w:rPr>
      </w:pPr>
      <w:r>
        <w:rPr>
          <w:rFonts w:hint="eastAsia"/>
          <w:color w:val="FF0000"/>
        </w:rPr>
        <w:t>3、请依照提供的格式和内容填写声明函，不要随意变更格式；声明函不需要盖章或签字；满足多项优惠政策的投标人，不重复享受多项价格扣除政策。</w:t>
      </w:r>
    </w:p>
    <w:p>
      <w:pPr>
        <w:rPr>
          <w:color w:val="FF0000"/>
        </w:rPr>
      </w:pPr>
      <w:r>
        <w:rPr>
          <w:rFonts w:hint="eastAsia"/>
          <w:color w:val="FF0000"/>
        </w:rPr>
        <w:t>4、声明函具体填写要求：</w:t>
      </w:r>
    </w:p>
    <w:p>
      <w:pPr>
        <w:rPr>
          <w:color w:val="FF0000"/>
        </w:rPr>
      </w:pPr>
      <w:r>
        <w:rPr>
          <w:rFonts w:hint="eastAsia"/>
          <w:color w:val="FF0000"/>
        </w:rPr>
        <w:t>（1）声明是中小企业须填写《中小企业声明函》的以下内容：</w:t>
      </w:r>
    </w:p>
    <w:p>
      <w:pPr>
        <w:rPr>
          <w:color w:val="FF0000"/>
        </w:rPr>
      </w:pPr>
      <w:r>
        <w:rPr>
          <w:rFonts w:hint="eastAsia"/>
          <w:color w:val="FF0000"/>
        </w:rPr>
        <w:t>第一处，在“单位名称”下划线处如实填写采购人名称（</w:t>
      </w:r>
      <w:r>
        <w:rPr>
          <w:rFonts w:eastAsia="宋体" w:hint="eastAsia"/>
          <w:color w:val="FF0000"/>
        </w:rPr>
        <w:t>友和保险经纪有限公司</w:t>
      </w:r>
      <w:r>
        <w:rPr>
          <w:rFonts w:hint="eastAsia"/>
          <w:color w:val="FF0000"/>
        </w:rPr>
        <w:t>不是本项目的采购人，而是组织实施机构）；</w:t>
      </w:r>
    </w:p>
    <w:p>
      <w:pPr>
        <w:rPr>
          <w:color w:val="FF0000"/>
        </w:rPr>
      </w:pPr>
      <w:r>
        <w:rPr>
          <w:rFonts w:hint="eastAsia"/>
          <w:color w:val="FF0000"/>
        </w:rPr>
        <w:t>第二处，在“项目名称”下划线处如实填写采购项目名称；</w:t>
      </w:r>
    </w:p>
    <w:p>
      <w:pPr>
        <w:rPr>
          <w:color w:val="FF0000"/>
        </w:rPr>
      </w:pPr>
      <w:r>
        <w:rPr>
          <w:rFonts w:hint="eastAsia"/>
          <w:color w:val="FF0000"/>
        </w:rPr>
        <w:t>第三处，在“标的名称”下划线处填写所采购货物（标的）的具体名称（以招标文件第一册第三章用户需求书“货物清单明细”的“货物名称”一栏为准）；如果涉及多项货物（标的）为同一企业制造，“标的名称”下划线处可以如实填写多项货物；</w:t>
      </w:r>
    </w:p>
    <w:p>
      <w:pPr>
        <w:rPr>
          <w:color w:val="FF0000"/>
        </w:rPr>
      </w:pPr>
      <w:r>
        <w:rPr>
          <w:rFonts w:hint="eastAsia"/>
          <w:color w:val="FF0000"/>
        </w:rPr>
        <w:t>第四处，在“招标文件中明确的所属行业”下划线处填写采购标的对应的中小企业划分标准所属行业（所属行业可在招标文件第一册第二章“对通用条款的补充内容及其他关键信息”章节查看）；</w:t>
      </w:r>
    </w:p>
    <w:p>
      <w:pPr>
        <w:rPr>
          <w:color w:val="FF0000"/>
        </w:rPr>
      </w:pPr>
      <w:r>
        <w:rPr>
          <w:rFonts w:hint="eastAsia"/>
          <w:color w:val="FF0000"/>
        </w:rPr>
        <w:t>第五处，在“企业名称”下划线处如实填写制造商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pPr>
        <w:rPr>
          <w:color w:val="FF0000"/>
        </w:rPr>
      </w:pPr>
      <w:r>
        <w:rPr>
          <w:rFonts w:hint="eastAsia"/>
          <w:color w:val="FF0000"/>
        </w:rPr>
        <w:t>（2）声明是残疾人福利性单位须填写《残疾人福利性单位声明函》的相关内容，具体参照以上《中小企业声明函》填写要求执行。</w:t>
      </w:r>
    </w:p>
    <w:p>
      <w:pPr>
        <w:rPr>
          <w:color w:val="FF0000"/>
        </w:rPr>
      </w:pPr>
      <w:r>
        <w:rPr>
          <w:rFonts w:hint="eastAsia"/>
          <w:color w:val="FF0000"/>
        </w:rPr>
        <w:t>（3）声明是监狱企业须填写《监狱企业声明函》的三项内容（填写位置的字体已加粗），具体参照以上《中小企业声明函》填写要求执行。</w:t>
      </w:r>
    </w:p>
    <w:p>
      <w:r>
        <w:rPr>
          <w:rFonts w:hint="eastAsia"/>
          <w:color w:val="FF0000"/>
        </w:rPr>
        <w:t>5、声明函的有效性最终由评审委员会判定；如评审委员会判定声明函无效，相关供应商不享受价格扣除（但不作投标无效处理）。</w:t>
      </w:r>
    </w:p>
    <w:p>
      <w:pPr>
        <w:ind w:firstLine="480" w:firstLineChars="200"/>
      </w:pPr>
    </w:p>
    <w:p>
      <w:pPr>
        <w:jc w:val="center"/>
        <w:rPr>
          <w:b/>
        </w:rPr>
      </w:pPr>
      <w:r>
        <w:rPr>
          <w:rFonts w:hint="eastAsia"/>
          <w:b/>
        </w:rPr>
        <w:t>1、</w:t>
      </w:r>
      <w:r>
        <w:rPr>
          <w:b/>
        </w:rPr>
        <w:t xml:space="preserve">中小企业声明函（货物） </w:t>
      </w:r>
    </w:p>
    <w:p>
      <w:pPr>
        <w:ind w:firstLine="480" w:firstLineChars="200"/>
        <w:rPr>
          <w:rFonts w:ascii="宋体" w:hAnsi="宋体"/>
          <w:szCs w:val="21"/>
        </w:rPr>
      </w:pPr>
      <w:r>
        <w:rPr>
          <w:rFonts w:ascii="宋体" w:hAnsi="宋体"/>
          <w:szCs w:val="21"/>
        </w:rPr>
        <w:t>本</w:t>
      </w:r>
      <w:r>
        <w:rPr>
          <w:rFonts w:ascii="宋体" w:hAnsi="宋体" w:hint="eastAsia"/>
          <w:szCs w:val="21"/>
        </w:rPr>
        <w:t>投标人</w:t>
      </w:r>
      <w:r>
        <w:rPr>
          <w:rFonts w:ascii="宋体" w:hAnsi="宋体"/>
          <w:szCs w:val="21"/>
        </w:rPr>
        <w:t>郑重声明，根据《政府采购促进中小企业发展管理办法》（财库</w:t>
      </w:r>
      <w:r>
        <w:rPr>
          <w:rFonts w:ascii="宋体" w:hAnsi="宋体" w:cs="微软雅黑" w:hint="eastAsia"/>
          <w:szCs w:val="21"/>
        </w:rPr>
        <w:t>﹝</w:t>
      </w:r>
      <w:r>
        <w:rPr>
          <w:rFonts w:ascii="宋体" w:hAnsi="宋体"/>
          <w:szCs w:val="21"/>
        </w:rPr>
        <w:t>2020</w:t>
      </w:r>
      <w:r>
        <w:rPr>
          <w:rFonts w:ascii="宋体" w:hAnsi="宋体" w:cs="微软雅黑" w:hint="eastAsia"/>
          <w:szCs w:val="21"/>
        </w:rPr>
        <w:t>﹞</w:t>
      </w:r>
      <w:r>
        <w:rPr>
          <w:rFonts w:ascii="宋体" w:hAnsi="宋体"/>
          <w:szCs w:val="21"/>
        </w:rPr>
        <w:t>46 号）的规定，本</w:t>
      </w:r>
      <w:r>
        <w:rPr>
          <w:rFonts w:ascii="宋体" w:hAnsi="宋体" w:hint="eastAsia"/>
          <w:szCs w:val="21"/>
        </w:rPr>
        <w:t>投标人</w:t>
      </w:r>
      <w:r>
        <w:rPr>
          <w:rFonts w:ascii="宋体" w:hAnsi="宋体"/>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采购活动，提供的货物全部由符合政策要求的中小企业制造。相关企业的具体情况如下：</w:t>
      </w:r>
    </w:p>
    <w:p>
      <w:pPr>
        <w:ind w:firstLine="48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ascii="宋体" w:hAnsi="宋体" w:hint="eastAsia"/>
          <w:b/>
          <w:bCs/>
          <w:szCs w:val="21"/>
          <w:u w:val="single"/>
        </w:rPr>
        <w:t>招标</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，从业人员人，营业收入为万元，资产总额为万元 ，属于</w:t>
      </w:r>
      <w:r>
        <w:rPr>
          <w:rFonts w:ascii="宋体" w:hAnsi="宋体"/>
          <w:b/>
          <w:bCs/>
          <w:szCs w:val="21"/>
          <w:u w:val="single"/>
        </w:rPr>
        <w:t>（中型企业、小型企业、微型企业）</w:t>
      </w:r>
      <w:r>
        <w:rPr>
          <w:rFonts w:ascii="宋体" w:hAnsi="宋体"/>
          <w:szCs w:val="21"/>
        </w:rPr>
        <w:t xml:space="preserve">； </w:t>
      </w:r>
    </w:p>
    <w:p>
      <w:pPr>
        <w:ind w:firstLine="480" w:firstLineChars="200"/>
        <w:rPr>
          <w:rFonts w:ascii="宋体" w:hAnsi="宋体"/>
          <w:szCs w:val="21"/>
          <w:u w:val="single"/>
        </w:rPr>
      </w:pPr>
      <w:r>
        <w:rPr>
          <w:rFonts w:ascii="宋体" w:hAnsi="宋体"/>
          <w:szCs w:val="21"/>
        </w:rPr>
        <w:t>2.</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ascii="宋体" w:hAnsi="宋体" w:hint="eastAsia"/>
          <w:b/>
          <w:bCs/>
          <w:szCs w:val="21"/>
          <w:u w:val="single"/>
        </w:rPr>
        <w:t>招标</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，从业人员人，营业收入为万元，资产总额为万元 ，属于</w:t>
      </w:r>
      <w:r>
        <w:rPr>
          <w:rFonts w:ascii="宋体" w:hAnsi="宋体"/>
          <w:b/>
          <w:bCs/>
          <w:szCs w:val="21"/>
          <w:u w:val="single"/>
        </w:rPr>
        <w:t>（中型企业、小型企业、微型企业）</w:t>
      </w:r>
      <w:r>
        <w:rPr>
          <w:rFonts w:ascii="宋体" w:hAnsi="宋体" w:hint="eastAsia"/>
          <w:szCs w:val="21"/>
        </w:rPr>
        <w:t>；</w:t>
      </w:r>
    </w:p>
    <w:p>
      <w:pPr>
        <w:ind w:firstLine="480" w:firstLineChars="200"/>
        <w:rPr>
          <w:rFonts w:ascii="宋体" w:hAnsi="宋体"/>
          <w:szCs w:val="21"/>
        </w:rPr>
      </w:pPr>
      <w:r>
        <w:rPr>
          <w:rFonts w:ascii="宋体" w:hAnsi="宋体"/>
          <w:szCs w:val="21"/>
        </w:rPr>
        <w:t xml:space="preserve">…… </w:t>
      </w:r>
    </w:p>
    <w:p>
      <w:pPr>
        <w:ind w:firstLine="480" w:firstLineChars="20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pPr>
        <w:ind w:firstLine="480" w:firstLineChars="200"/>
      </w:pPr>
      <w:bookmarkStart w:id="62" w:name="_Hlk73562203"/>
      <w:r>
        <w:rPr>
          <w:rFonts w:hint="eastAsia"/>
        </w:rPr>
        <w:t>本</w:t>
      </w:r>
      <w:r>
        <w:t>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w:t>
      </w:r>
      <w:r>
        <w:rPr>
          <w:rFonts w:hint="eastAsia"/>
        </w:rPr>
        <w:t>投标人</w:t>
      </w:r>
      <w:r>
        <w:t>按照本办法规定提供声明函内容不实的，属于提供虚假材料谋取中标，依照《政府采购法》等政府采购有关法律法规规定追究相应责任</w:t>
      </w:r>
      <w:r>
        <w:rPr>
          <w:rFonts w:hint="eastAsia"/>
        </w:rPr>
        <w:t>。</w:t>
      </w:r>
      <w:bookmarkEnd w:id="62"/>
    </w:p>
    <w:p>
      <w:pPr>
        <w:jc w:val="center"/>
        <w:rPr>
          <w:b/>
        </w:rPr>
      </w:pPr>
    </w:p>
    <w:p>
      <w:pPr>
        <w:jc w:val="center"/>
        <w:rPr>
          <w:b/>
        </w:rPr>
      </w:pPr>
      <w:r>
        <w:rPr>
          <w:rFonts w:hint="eastAsia"/>
          <w:b/>
        </w:rPr>
        <w:t>2、残疾人福利性单位声明函（货物类）</w:t>
      </w:r>
    </w:p>
    <w:p>
      <w:pPr>
        <w:rPr>
          <w:b/>
          <w:bCs/>
        </w:rPr>
      </w:pPr>
    </w:p>
    <w:p>
      <w:pPr>
        <w:ind w:firstLine="480" w:firstLineChars="200"/>
        <w:rPr>
          <w:rFonts w:ascii="宋体" w:hAnsi="宋体"/>
          <w:szCs w:val="21"/>
        </w:rPr>
      </w:pPr>
      <w:r>
        <w:rPr>
          <w:rFonts w:ascii="宋体" w:hAnsi="宋体"/>
          <w:szCs w:val="21"/>
        </w:rPr>
        <w:t>本</w:t>
      </w:r>
      <w:r>
        <w:rPr>
          <w:rFonts w:ascii="宋体" w:hAnsi="宋体" w:hint="eastAsia"/>
          <w:szCs w:val="21"/>
        </w:rPr>
        <w:t>投标人郑重声明，根据《财政部民政部中国残疾人联合会关于促进残疾人就业政府采购政策的通知》（财库〔</w:t>
      </w:r>
      <w:r>
        <w:rPr>
          <w:rFonts w:ascii="宋体" w:hAnsi="宋体"/>
          <w:szCs w:val="21"/>
        </w:rPr>
        <w:t>2017</w:t>
      </w:r>
      <w:r>
        <w:rPr>
          <w:rFonts w:ascii="宋体" w:hAnsi="宋体" w:hint="eastAsia"/>
          <w:szCs w:val="21"/>
        </w:rPr>
        <w:t>〕</w:t>
      </w:r>
      <w:r>
        <w:rPr>
          <w:rFonts w:ascii="宋体" w:hAnsi="宋体"/>
          <w:szCs w:val="21"/>
        </w:rPr>
        <w:t xml:space="preserve">141 </w:t>
      </w:r>
      <w:r>
        <w:rPr>
          <w:rFonts w:ascii="宋体" w:hAnsi="宋体" w:hint="eastAsia"/>
          <w:szCs w:val="21"/>
        </w:rPr>
        <w:t>号）的规定，本投标人</w:t>
      </w:r>
      <w:r>
        <w:rPr>
          <w:rFonts w:ascii="宋体" w:hAnsi="宋体"/>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w:t>
      </w:r>
      <w:r>
        <w:rPr>
          <w:rFonts w:ascii="宋体" w:hAnsi="宋体" w:hint="eastAsia"/>
          <w:szCs w:val="21"/>
        </w:rPr>
        <w:t>残疾人福利性单位</w:t>
      </w:r>
      <w:r>
        <w:rPr>
          <w:rFonts w:ascii="宋体" w:hAnsi="宋体"/>
          <w:szCs w:val="21"/>
        </w:rPr>
        <w:t>制造。相关</w:t>
      </w:r>
      <w:r>
        <w:rPr>
          <w:rFonts w:ascii="宋体" w:hAnsi="宋体" w:hint="eastAsia"/>
          <w:szCs w:val="21"/>
        </w:rPr>
        <w:t>残疾人福利性单位</w:t>
      </w:r>
      <w:r>
        <w:rPr>
          <w:rFonts w:ascii="宋体" w:hAnsi="宋体"/>
          <w:szCs w:val="21"/>
        </w:rPr>
        <w:t>的具体情况如下：</w:t>
      </w:r>
    </w:p>
    <w:p>
      <w:pPr>
        <w:ind w:firstLine="48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hint="eastAsia"/>
          <w:szCs w:val="21"/>
        </w:rPr>
        <w:t>，</w:t>
      </w:r>
      <w:r>
        <w:rPr>
          <w:rFonts w:ascii="宋体" w:hAnsi="宋体"/>
          <w:szCs w:val="21"/>
        </w:rPr>
        <w:t>制造商为</w:t>
      </w:r>
      <w:r>
        <w:rPr>
          <w:rFonts w:ascii="宋体" w:hAnsi="宋体"/>
          <w:b/>
          <w:bCs/>
          <w:szCs w:val="21"/>
          <w:u w:val="single"/>
        </w:rPr>
        <w:t>（</w:t>
      </w:r>
      <w:r>
        <w:rPr>
          <w:rFonts w:ascii="宋体" w:hAnsi="宋体" w:hint="eastAsia"/>
          <w:b/>
          <w:bCs/>
          <w:szCs w:val="21"/>
          <w:u w:val="single"/>
        </w:rPr>
        <w:t>单位</w:t>
      </w:r>
      <w:r>
        <w:rPr>
          <w:rFonts w:ascii="宋体" w:hAnsi="宋体"/>
          <w:b/>
          <w:bCs/>
          <w:szCs w:val="21"/>
          <w:u w:val="single"/>
        </w:rPr>
        <w:t>名称）</w:t>
      </w:r>
      <w:r>
        <w:rPr>
          <w:rFonts w:ascii="宋体" w:hAnsi="宋体"/>
          <w:szCs w:val="21"/>
        </w:rPr>
        <w:t>，属于</w:t>
      </w:r>
      <w:r>
        <w:rPr>
          <w:rFonts w:ascii="宋体" w:hAnsi="宋体" w:hint="eastAsia"/>
          <w:b/>
          <w:bCs/>
          <w:szCs w:val="21"/>
          <w:u w:val="single"/>
        </w:rPr>
        <w:t>残疾人福利性单位</w:t>
      </w:r>
      <w:r>
        <w:rPr>
          <w:rFonts w:ascii="宋体" w:hAnsi="宋体"/>
          <w:szCs w:val="21"/>
        </w:rPr>
        <w:t>；</w:t>
      </w:r>
    </w:p>
    <w:p>
      <w:pPr>
        <w:ind w:firstLine="480" w:firstLineChars="200"/>
        <w:rPr>
          <w:rFonts w:ascii="宋体" w:hAnsi="宋体"/>
          <w:szCs w:val="21"/>
        </w:rPr>
      </w:pPr>
      <w:r>
        <w:rPr>
          <w:rFonts w:ascii="宋体" w:hAnsi="宋体"/>
          <w:szCs w:val="21"/>
        </w:rPr>
        <w:t>2.</w:t>
      </w:r>
      <w:r>
        <w:rPr>
          <w:rFonts w:ascii="宋体" w:hAnsi="宋体"/>
          <w:b/>
          <w:bCs/>
          <w:szCs w:val="21"/>
          <w:u w:val="single"/>
        </w:rPr>
        <w:t xml:space="preserve"> （标的名称）</w:t>
      </w:r>
      <w:r>
        <w:rPr>
          <w:rFonts w:ascii="宋体" w:hAnsi="宋体" w:hint="eastAsia"/>
          <w:szCs w:val="21"/>
        </w:rPr>
        <w:t>，</w:t>
      </w:r>
      <w:r>
        <w:rPr>
          <w:rFonts w:ascii="宋体" w:hAnsi="宋体"/>
          <w:szCs w:val="21"/>
        </w:rPr>
        <w:t>制造商为</w:t>
      </w:r>
      <w:r>
        <w:rPr>
          <w:rFonts w:ascii="宋体" w:hAnsi="宋体"/>
          <w:b/>
          <w:bCs/>
          <w:szCs w:val="21"/>
          <w:u w:val="single"/>
        </w:rPr>
        <w:t>（</w:t>
      </w:r>
      <w:r>
        <w:rPr>
          <w:rFonts w:ascii="宋体" w:hAnsi="宋体" w:hint="eastAsia"/>
          <w:b/>
          <w:bCs/>
          <w:szCs w:val="21"/>
          <w:u w:val="single"/>
        </w:rPr>
        <w:t>单位</w:t>
      </w:r>
      <w:r>
        <w:rPr>
          <w:rFonts w:ascii="宋体" w:hAnsi="宋体"/>
          <w:b/>
          <w:bCs/>
          <w:szCs w:val="21"/>
          <w:u w:val="single"/>
        </w:rPr>
        <w:t>名称）</w:t>
      </w:r>
      <w:r>
        <w:rPr>
          <w:rFonts w:ascii="宋体" w:hAnsi="宋体"/>
          <w:szCs w:val="21"/>
        </w:rPr>
        <w:t>，属于</w:t>
      </w:r>
      <w:r>
        <w:rPr>
          <w:rFonts w:ascii="宋体" w:hAnsi="宋体" w:hint="eastAsia"/>
          <w:b/>
          <w:bCs/>
          <w:szCs w:val="21"/>
          <w:u w:val="single"/>
        </w:rPr>
        <w:t>残疾人福利性单位</w:t>
      </w:r>
      <w:r>
        <w:rPr>
          <w:rFonts w:ascii="宋体" w:hAnsi="宋体" w:hint="eastAsia"/>
          <w:szCs w:val="21"/>
        </w:rPr>
        <w:t>。</w:t>
      </w:r>
    </w:p>
    <w:p>
      <w:pPr>
        <w:ind w:firstLine="480" w:firstLineChars="200"/>
        <w:rPr>
          <w:rFonts w:ascii="宋体" w:hAnsi="宋体"/>
          <w:szCs w:val="21"/>
        </w:rPr>
      </w:pPr>
      <w:r>
        <w:rPr>
          <w:rFonts w:ascii="宋体" w:hAnsi="宋体"/>
          <w:szCs w:val="21"/>
        </w:rPr>
        <w:t xml:space="preserve">…… </w:t>
      </w:r>
    </w:p>
    <w:p>
      <w:pPr>
        <w:ind w:firstLine="480" w:firstLineChars="200"/>
        <w:rPr>
          <w:rFonts w:ascii="宋体" w:hAnsi="宋体"/>
          <w:szCs w:val="21"/>
        </w:rPr>
      </w:pPr>
      <w:bookmarkStart w:id="63" w:name="_Hlk73562331"/>
      <w:bookmarkStart w:id="64" w:name="_Hlk73562245"/>
      <w:r>
        <w:rPr>
          <w:rFonts w:hint="eastAsia"/>
        </w:rPr>
        <w:t>本</w:t>
      </w:r>
      <w:r>
        <w:t>投标人</w:t>
      </w:r>
      <w:r>
        <w:rPr>
          <w:rFonts w:hint="eastAsia"/>
        </w:rPr>
        <w:t>已</w:t>
      </w:r>
      <w:r>
        <w:t>知悉</w:t>
      </w:r>
      <w:r>
        <w:rPr>
          <w:rFonts w:hint="eastAsia"/>
        </w:rPr>
        <w:t>《财政部民政部中国残疾人联合会关于促进残疾人就业政府采购政策的通知》（财库〔2017〕141 号）</w:t>
      </w:r>
      <w:r>
        <w:t>的规定，承诺提供的声明函内容是真实的，如提供声明函内容不实，则依法追究相关法律责任</w:t>
      </w:r>
      <w:r>
        <w:rPr>
          <w:rFonts w:hint="eastAsia"/>
        </w:rPr>
        <w:t>。</w:t>
      </w:r>
      <w:bookmarkEnd w:id="63"/>
    </w:p>
    <w:p>
      <w:pPr>
        <w:ind w:firstLine="480" w:firstLineChars="200"/>
        <w:rPr>
          <w:rFonts w:ascii="宋体" w:hAnsi="宋体"/>
          <w:szCs w:val="21"/>
        </w:rPr>
      </w:pPr>
      <w:bookmarkEnd w:id="64"/>
    </w:p>
    <w:p>
      <w:pPr>
        <w:jc w:val="center"/>
        <w:rPr>
          <w:b/>
        </w:rPr>
      </w:pPr>
      <w:r>
        <w:rPr>
          <w:rFonts w:hint="eastAsia"/>
          <w:b/>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hAnsi="宋体"/>
          <w:szCs w:val="21"/>
        </w:rPr>
      </w:pPr>
      <w:r>
        <w:rPr>
          <w:rFonts w:ascii="宋体" w:hAnsi="宋体" w:hint="eastAsia"/>
          <w:szCs w:val="21"/>
        </w:rPr>
        <w:t>本投标人郑重声明，根据《财政部司法部关于政府采购支持监狱企业发展有关问题的通知》（财库〔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号）的规定，本投标人</w:t>
      </w:r>
      <w:r>
        <w:rPr>
          <w:rFonts w:ascii="宋体" w:hAnsi="宋体"/>
          <w:szCs w:val="21"/>
        </w:rPr>
        <w:t>参加</w:t>
      </w:r>
      <w:r>
        <w:rPr>
          <w:rFonts w:ascii="宋体" w:hAnsi="宋体"/>
          <w:b/>
          <w:bCs/>
          <w:szCs w:val="21"/>
          <w:u w:val="single"/>
        </w:rPr>
        <w:t>（</w:t>
      </w:r>
      <w:r>
        <w:rPr>
          <w:rFonts w:ascii="宋体" w:hAnsi="宋体" w:hint="eastAsia"/>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w:t>
      </w:r>
      <w:r>
        <w:rPr>
          <w:rFonts w:ascii="宋体" w:hAnsi="宋体" w:hint="eastAsia"/>
          <w:szCs w:val="21"/>
        </w:rPr>
        <w:t>监狱企业</w:t>
      </w:r>
      <w:r>
        <w:rPr>
          <w:rFonts w:ascii="宋体" w:hAnsi="宋体"/>
          <w:szCs w:val="21"/>
        </w:rPr>
        <w:t>制造。相关</w:t>
      </w:r>
      <w:r>
        <w:rPr>
          <w:rFonts w:ascii="宋体" w:hAnsi="宋体" w:hint="eastAsia"/>
          <w:szCs w:val="21"/>
        </w:rPr>
        <w:t>监狱企业</w:t>
      </w:r>
      <w:r>
        <w:rPr>
          <w:rFonts w:ascii="宋体" w:hAnsi="宋体"/>
          <w:szCs w:val="21"/>
        </w:rPr>
        <w:t>的具体情况如下：</w:t>
      </w:r>
    </w:p>
    <w:p>
      <w:pPr>
        <w:ind w:firstLine="48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hint="eastAsia"/>
          <w:szCs w:val="21"/>
        </w:rPr>
        <w:t>，</w:t>
      </w:r>
      <w:r>
        <w:rPr>
          <w:rFonts w:ascii="宋体" w:hAnsi="宋体"/>
          <w:szCs w:val="21"/>
        </w:rPr>
        <w:t>制造商为</w:t>
      </w:r>
      <w:r>
        <w:rPr>
          <w:rFonts w:ascii="宋体" w:hAnsi="宋体"/>
          <w:b/>
          <w:bCs/>
          <w:szCs w:val="21"/>
          <w:u w:val="single"/>
        </w:rPr>
        <w:t>（</w:t>
      </w:r>
      <w:r>
        <w:rPr>
          <w:rFonts w:ascii="宋体" w:hAnsi="宋体" w:hint="eastAsia"/>
          <w:b/>
          <w:bCs/>
          <w:szCs w:val="21"/>
          <w:u w:val="single"/>
        </w:rPr>
        <w:t>企业</w:t>
      </w:r>
      <w:r>
        <w:rPr>
          <w:rFonts w:ascii="宋体" w:hAnsi="宋体"/>
          <w:b/>
          <w:bCs/>
          <w:szCs w:val="21"/>
          <w:u w:val="single"/>
        </w:rPr>
        <w:t>名称）</w:t>
      </w:r>
      <w:r>
        <w:rPr>
          <w:rFonts w:ascii="宋体" w:hAnsi="宋体"/>
          <w:szCs w:val="21"/>
        </w:rPr>
        <w:t>，属于</w:t>
      </w:r>
      <w:r>
        <w:rPr>
          <w:rFonts w:ascii="宋体" w:hAnsi="宋体" w:hint="eastAsia"/>
          <w:b/>
          <w:bCs/>
          <w:szCs w:val="21"/>
          <w:u w:val="single"/>
        </w:rPr>
        <w:t>监狱企业</w:t>
      </w:r>
      <w:r>
        <w:rPr>
          <w:rFonts w:ascii="宋体" w:hAnsi="宋体"/>
          <w:szCs w:val="21"/>
        </w:rPr>
        <w:t>；</w:t>
      </w:r>
    </w:p>
    <w:p>
      <w:pPr>
        <w:ind w:firstLine="480" w:firstLineChars="200"/>
        <w:rPr>
          <w:rFonts w:ascii="宋体" w:hAnsi="宋体"/>
          <w:szCs w:val="21"/>
        </w:rPr>
      </w:pPr>
      <w:r>
        <w:rPr>
          <w:rFonts w:ascii="宋体" w:hAnsi="宋体"/>
          <w:szCs w:val="21"/>
        </w:rPr>
        <w:t>2.</w:t>
      </w:r>
      <w:r>
        <w:rPr>
          <w:rFonts w:ascii="宋体" w:hAnsi="宋体"/>
          <w:b/>
          <w:bCs/>
          <w:szCs w:val="21"/>
          <w:u w:val="single"/>
        </w:rPr>
        <w:t xml:space="preserve"> （标的名称）</w:t>
      </w:r>
      <w:r>
        <w:rPr>
          <w:rFonts w:ascii="宋体" w:hAnsi="宋体" w:hint="eastAsia"/>
          <w:szCs w:val="21"/>
        </w:rPr>
        <w:t>，</w:t>
      </w:r>
      <w:r>
        <w:rPr>
          <w:rFonts w:ascii="宋体" w:hAnsi="宋体"/>
          <w:szCs w:val="21"/>
        </w:rPr>
        <w:t>制造商为</w:t>
      </w:r>
      <w:r>
        <w:rPr>
          <w:rFonts w:ascii="宋体" w:hAnsi="宋体"/>
          <w:b/>
          <w:bCs/>
          <w:szCs w:val="21"/>
          <w:u w:val="single"/>
        </w:rPr>
        <w:t>（</w:t>
      </w:r>
      <w:r>
        <w:rPr>
          <w:rFonts w:ascii="宋体" w:hAnsi="宋体" w:hint="eastAsia"/>
          <w:b/>
          <w:bCs/>
          <w:szCs w:val="21"/>
          <w:u w:val="single"/>
        </w:rPr>
        <w:t>企业</w:t>
      </w:r>
      <w:r>
        <w:rPr>
          <w:rFonts w:ascii="宋体" w:hAnsi="宋体"/>
          <w:b/>
          <w:bCs/>
          <w:szCs w:val="21"/>
          <w:u w:val="single"/>
        </w:rPr>
        <w:t>名称）</w:t>
      </w:r>
      <w:r>
        <w:rPr>
          <w:rFonts w:ascii="宋体" w:hAnsi="宋体"/>
          <w:szCs w:val="21"/>
        </w:rPr>
        <w:t>，属于</w:t>
      </w:r>
      <w:r>
        <w:rPr>
          <w:rFonts w:ascii="宋体" w:hAnsi="宋体" w:hint="eastAsia"/>
          <w:b/>
          <w:bCs/>
          <w:szCs w:val="21"/>
          <w:u w:val="single"/>
        </w:rPr>
        <w:t>监狱企业</w:t>
      </w:r>
      <w:r>
        <w:rPr>
          <w:rFonts w:ascii="宋体" w:hAnsi="宋体" w:hint="eastAsia"/>
          <w:szCs w:val="21"/>
        </w:rPr>
        <w:t>。</w:t>
      </w:r>
    </w:p>
    <w:p>
      <w:pPr>
        <w:ind w:firstLine="480" w:firstLineChars="200"/>
        <w:rPr>
          <w:rFonts w:ascii="宋体" w:hAnsi="宋体"/>
          <w:szCs w:val="21"/>
        </w:rPr>
      </w:pPr>
      <w:r>
        <w:rPr>
          <w:rFonts w:ascii="宋体" w:hAnsi="宋体"/>
          <w:szCs w:val="21"/>
        </w:rPr>
        <w:t xml:space="preserve">…… </w:t>
      </w:r>
    </w:p>
    <w:p>
      <w:pPr>
        <w:ind w:firstLine="480" w:firstLineChars="200"/>
        <w:rPr>
          <w:rFonts w:ascii="宋体" w:hAnsi="宋体"/>
          <w:szCs w:val="21"/>
        </w:rPr>
      </w:pPr>
      <w:r>
        <w:rPr>
          <w:rFonts w:ascii="宋体" w:hAnsi="宋体"/>
          <w:szCs w:val="21"/>
        </w:rPr>
        <w:t>本</w:t>
      </w:r>
      <w:r>
        <w:rPr>
          <w:rFonts w:ascii="宋体" w:hAnsi="宋体" w:hint="eastAsia"/>
          <w:szCs w:val="21"/>
        </w:rPr>
        <w:t>投标人</w:t>
      </w:r>
      <w:r>
        <w:rPr>
          <w:rFonts w:ascii="宋体" w:hAnsi="宋体"/>
          <w:szCs w:val="21"/>
        </w:rPr>
        <w:t>对上述声明内容的真实性负责。如有虚假，将依法承担相应责任。</w:t>
      </w:r>
    </w:p>
    <w:p>
      <w:pPr>
        <w:ind w:firstLine="480" w:firstLineChars="200"/>
        <w:rPr>
          <w:rFonts w:ascii="宋体" w:hAnsi="宋体"/>
          <w:szCs w:val="21"/>
        </w:rPr>
      </w:pPr>
      <w:r>
        <w:rPr>
          <w:rFonts w:ascii="宋体" w:hAnsi="宋体" w:hint="eastAsia"/>
          <w:szCs w:val="21"/>
        </w:rPr>
        <w:t>附：省级以上监狱管理局、戒毒管理局（含新疆生产建设兵团）出具的监狱企业证明文件。</w:t>
      </w:r>
    </w:p>
    <w:p>
      <w:pPr>
        <w:rPr>
          <w:b/>
          <w:bCs/>
          <w:color w:val="FF0000"/>
        </w:rPr>
      </w:pPr>
      <w:bookmarkEnd w:id="60"/>
    </w:p>
    <w:p>
      <w:pPr>
        <w:rPr>
          <w:b/>
          <w:bCs/>
          <w:color w:val="FF0000"/>
        </w:rPr>
      </w:pPr>
    </w:p>
    <w:p>
      <w:pPr>
        <w:pStyle w:val="Heading4"/>
        <w:jc w:val="center"/>
        <w:rPr>
          <w:rFonts w:ascii="黑体"/>
          <w:b w:val="0"/>
          <w:sz w:val="24"/>
          <w:szCs w:val="24"/>
        </w:rPr>
      </w:pPr>
      <w:bookmarkStart w:id="65" w:name="_Hlk72259976"/>
      <w:r>
        <w:rPr>
          <w:rFonts w:ascii="黑体" w:hint="eastAsia"/>
          <w:b w:val="0"/>
          <w:sz w:val="24"/>
          <w:szCs w:val="24"/>
        </w:rPr>
        <w:t>四、项目详细报价</w:t>
      </w:r>
    </w:p>
    <w:p>
      <w:pPr>
        <w:tabs>
          <w:tab w:val="left" w:pos="720"/>
        </w:tabs>
        <w:ind w:firstLine="3120" w:firstLineChars="1300"/>
        <w:rPr>
          <w:b/>
        </w:rPr>
      </w:pPr>
      <w:r>
        <w:rPr>
          <w:rFonts w:hint="eastAsia"/>
          <w:b/>
        </w:rPr>
        <w:t>（一）分项报价表</w:t>
      </w:r>
    </w:p>
    <w:tbl>
      <w:tblPr>
        <w:tblStyle w:val="TableNormal"/>
        <w:tblpPr w:leftFromText="180" w:rightFromText="180" w:vertAnchor="text" w:horzAnchor="margin" w:tblpXSpec="center" w:tblpY="173"/>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50"/>
        <w:gridCol w:w="1778"/>
        <w:gridCol w:w="850"/>
        <w:gridCol w:w="709"/>
        <w:gridCol w:w="851"/>
        <w:gridCol w:w="567"/>
        <w:gridCol w:w="567"/>
        <w:gridCol w:w="921"/>
        <w:gridCol w:w="957"/>
        <w:gridCol w:w="1725"/>
      </w:tblGrid>
      <w:tr>
        <w:tblPrEx>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450" w:type="dxa"/>
            <w:vAlign w:val="center"/>
          </w:tcPr>
          <w:p>
            <w:pPr>
              <w:jc w:val="center"/>
              <w:rPr>
                <w:bCs/>
                <w:szCs w:val="21"/>
              </w:rPr>
            </w:pPr>
            <w:r>
              <w:rPr>
                <w:rFonts w:hint="eastAsia"/>
                <w:bCs/>
                <w:szCs w:val="21"/>
              </w:rPr>
              <w:t>序号</w:t>
            </w:r>
          </w:p>
        </w:tc>
        <w:tc>
          <w:tcPr>
            <w:tcW w:w="1778" w:type="dxa"/>
            <w:vAlign w:val="center"/>
          </w:tcPr>
          <w:p>
            <w:pPr>
              <w:jc w:val="center"/>
              <w:rPr>
                <w:bCs/>
                <w:szCs w:val="21"/>
              </w:rPr>
            </w:pPr>
            <w:r>
              <w:rPr>
                <w:rFonts w:hint="eastAsia"/>
                <w:bCs/>
                <w:szCs w:val="21"/>
              </w:rPr>
              <w:t>货物名称</w:t>
            </w:r>
          </w:p>
        </w:tc>
        <w:tc>
          <w:tcPr>
            <w:tcW w:w="850" w:type="dxa"/>
            <w:vAlign w:val="center"/>
          </w:tcPr>
          <w:p>
            <w:pPr>
              <w:jc w:val="center"/>
              <w:rPr>
                <w:bCs/>
                <w:szCs w:val="21"/>
              </w:rPr>
            </w:pPr>
            <w:r>
              <w:rPr>
                <w:rFonts w:hint="eastAsia"/>
                <w:szCs w:val="21"/>
              </w:rPr>
              <w:t>规格/品牌/型号</w:t>
            </w:r>
          </w:p>
        </w:tc>
        <w:tc>
          <w:tcPr>
            <w:tcW w:w="709" w:type="dxa"/>
            <w:vAlign w:val="center"/>
          </w:tcPr>
          <w:p>
            <w:pPr>
              <w:jc w:val="center"/>
              <w:rPr>
                <w:bCs/>
                <w:szCs w:val="21"/>
              </w:rPr>
            </w:pPr>
            <w:r>
              <w:rPr>
                <w:rFonts w:hint="eastAsia"/>
                <w:b/>
                <w:color w:val="FF0000"/>
                <w:szCs w:val="21"/>
              </w:rPr>
              <w:t>原产地</w:t>
            </w:r>
          </w:p>
        </w:tc>
        <w:tc>
          <w:tcPr>
            <w:tcW w:w="851" w:type="dxa"/>
            <w:vAlign w:val="center"/>
          </w:tcPr>
          <w:p>
            <w:pPr>
              <w:jc w:val="center"/>
              <w:rPr>
                <w:bCs/>
                <w:szCs w:val="21"/>
              </w:rPr>
            </w:pPr>
            <w:r>
              <w:rPr>
                <w:rFonts w:hint="eastAsia"/>
                <w:szCs w:val="21"/>
              </w:rPr>
              <w:t>制造商名称</w:t>
            </w:r>
          </w:p>
        </w:tc>
        <w:tc>
          <w:tcPr>
            <w:tcW w:w="567" w:type="dxa"/>
            <w:vAlign w:val="center"/>
          </w:tcPr>
          <w:p>
            <w:pPr>
              <w:jc w:val="center"/>
              <w:rPr>
                <w:bCs/>
                <w:szCs w:val="21"/>
              </w:rPr>
            </w:pPr>
            <w:r>
              <w:rPr>
                <w:rFonts w:hint="eastAsia"/>
                <w:bCs/>
                <w:szCs w:val="21"/>
              </w:rPr>
              <w:t>数量</w:t>
            </w:r>
          </w:p>
        </w:tc>
        <w:tc>
          <w:tcPr>
            <w:tcW w:w="567" w:type="dxa"/>
            <w:vAlign w:val="center"/>
          </w:tcPr>
          <w:p>
            <w:pPr>
              <w:jc w:val="center"/>
              <w:rPr>
                <w:bCs/>
                <w:szCs w:val="21"/>
              </w:rPr>
            </w:pPr>
            <w:r>
              <w:rPr>
                <w:rFonts w:hint="eastAsia"/>
                <w:bCs/>
                <w:szCs w:val="21"/>
              </w:rPr>
              <w:t>单位</w:t>
            </w:r>
          </w:p>
        </w:tc>
        <w:tc>
          <w:tcPr>
            <w:tcW w:w="921" w:type="dxa"/>
            <w:vAlign w:val="center"/>
          </w:tcPr>
          <w:p>
            <w:pPr>
              <w:jc w:val="center"/>
              <w:rPr>
                <w:bCs/>
                <w:szCs w:val="21"/>
              </w:rPr>
            </w:pPr>
            <w:r>
              <w:rPr>
                <w:rFonts w:hint="eastAsia"/>
                <w:szCs w:val="21"/>
              </w:rPr>
              <w:t>单价(元)</w:t>
            </w:r>
          </w:p>
        </w:tc>
        <w:tc>
          <w:tcPr>
            <w:tcW w:w="957" w:type="dxa"/>
            <w:vAlign w:val="center"/>
          </w:tcPr>
          <w:p>
            <w:pPr>
              <w:jc w:val="center"/>
              <w:rPr>
                <w:bCs/>
                <w:szCs w:val="21"/>
              </w:rPr>
            </w:pPr>
            <w:r>
              <w:rPr>
                <w:rFonts w:hint="eastAsia"/>
                <w:szCs w:val="21"/>
              </w:rPr>
              <w:t>合价(元)</w:t>
            </w:r>
          </w:p>
        </w:tc>
        <w:tc>
          <w:tcPr>
            <w:tcW w:w="1725" w:type="dxa"/>
            <w:vAlign w:val="center"/>
          </w:tcPr>
          <w:p>
            <w:pPr>
              <w:jc w:val="center"/>
              <w:rPr>
                <w:szCs w:val="21"/>
              </w:rPr>
            </w:pPr>
            <w:r>
              <w:rPr>
                <w:rFonts w:hint="eastAsia"/>
                <w:szCs w:val="21"/>
              </w:rPr>
              <w:t>财政预算限额（元）</w:t>
            </w:r>
          </w:p>
        </w:tc>
      </w:tr>
      <w:tr>
        <w:tblPrEx>
          <w:tblW w:w="9375" w:type="dxa"/>
          <w:jc w:val="center"/>
          <w:tblLayout w:type="fixed"/>
          <w:tblCellMar>
            <w:top w:w="0" w:type="dxa"/>
            <w:left w:w="108" w:type="dxa"/>
            <w:bottom w:w="0" w:type="dxa"/>
            <w:right w:w="108" w:type="dxa"/>
          </w:tblCellMar>
        </w:tblPrEx>
        <w:trPr>
          <w:trHeight w:val="170"/>
          <w:jc w:val="center"/>
        </w:trPr>
        <w:tc>
          <w:tcPr>
            <w:tcW w:w="450" w:type="dxa"/>
          </w:tcPr>
          <w:p>
            <w:pPr>
              <w:jc w:val="center"/>
              <w:rPr>
                <w:bCs/>
                <w:szCs w:val="21"/>
              </w:rPr>
            </w:pPr>
            <w:r>
              <w:rPr>
                <w:rFonts w:hint="eastAsia"/>
                <w:bCs/>
                <w:szCs w:val="21"/>
              </w:rPr>
              <w:t>1</w:t>
            </w:r>
          </w:p>
        </w:tc>
        <w:tc>
          <w:tcPr>
            <w:tcW w:w="1778" w:type="dxa"/>
            <w:vAlign w:val="center"/>
          </w:tcPr>
          <w:p>
            <w:pPr>
              <w:widowControl w:val="0"/>
              <w:jc w:val="center"/>
              <w:rPr>
                <w:bCs/>
                <w:szCs w:val="21"/>
              </w:rPr>
            </w:pPr>
            <w:r>
              <w:rPr>
                <w:rFonts w:ascii="宋体" w:eastAsia="宋体" w:hAnsi="宋体" w:cs="宋体" w:hint="eastAsia"/>
              </w:rPr>
              <w:t xml:space="preserve">高速发药机 </w:t>
            </w:r>
          </w:p>
        </w:tc>
        <w:tc>
          <w:tcPr>
            <w:tcW w:w="850" w:type="dxa"/>
            <w:vAlign w:val="center"/>
          </w:tcPr>
          <w:p>
            <w:pPr>
              <w:widowControl w:val="0"/>
              <w:jc w:val="center"/>
              <w:rPr>
                <w:bCs/>
                <w:szCs w:val="21"/>
              </w:rPr>
            </w:pPr>
          </w:p>
        </w:tc>
        <w:tc>
          <w:tcPr>
            <w:tcW w:w="709" w:type="dxa"/>
            <w:vAlign w:val="center"/>
          </w:tcPr>
          <w:p>
            <w:pPr>
              <w:widowControl w:val="0"/>
              <w:jc w:val="center"/>
              <w:rPr>
                <w:bCs/>
                <w:szCs w:val="21"/>
              </w:rPr>
            </w:pPr>
          </w:p>
        </w:tc>
        <w:tc>
          <w:tcPr>
            <w:tcW w:w="851" w:type="dxa"/>
            <w:vAlign w:val="center"/>
          </w:tcPr>
          <w:p>
            <w:pPr>
              <w:jc w:val="center"/>
              <w:rPr>
                <w:bCs/>
                <w:szCs w:val="21"/>
              </w:rPr>
            </w:pPr>
          </w:p>
        </w:tc>
        <w:tc>
          <w:tcPr>
            <w:tcW w:w="567" w:type="dxa"/>
            <w:vAlign w:val="center"/>
          </w:tcPr>
          <w:p>
            <w:pPr>
              <w:widowControl w:val="0"/>
              <w:jc w:val="center"/>
              <w:rPr>
                <w:bCs/>
                <w:szCs w:val="21"/>
              </w:rPr>
            </w:pPr>
            <w:r>
              <w:rPr>
                <w:rFonts w:ascii="宋体" w:eastAsia="宋体" w:hAnsi="宋体" w:cs="宋体" w:hint="eastAsia"/>
              </w:rPr>
              <w:t>1</w:t>
            </w:r>
          </w:p>
        </w:tc>
        <w:tc>
          <w:tcPr>
            <w:tcW w:w="567" w:type="dxa"/>
            <w:vAlign w:val="center"/>
          </w:tcPr>
          <w:p>
            <w:pPr>
              <w:widowControl w:val="0"/>
              <w:jc w:val="center"/>
              <w:rPr>
                <w:bCs/>
                <w:szCs w:val="21"/>
              </w:rPr>
            </w:pPr>
            <w:r>
              <w:rPr>
                <w:rFonts w:ascii="宋体" w:eastAsia="宋体" w:hAnsi="宋体" w:cs="宋体" w:hint="eastAsia"/>
              </w:rPr>
              <w:t>套</w:t>
            </w:r>
          </w:p>
        </w:tc>
        <w:tc>
          <w:tcPr>
            <w:tcW w:w="921" w:type="dxa"/>
            <w:vAlign w:val="center"/>
          </w:tcPr>
          <w:p>
            <w:pPr>
              <w:jc w:val="center"/>
              <w:rPr>
                <w:bCs/>
                <w:szCs w:val="21"/>
              </w:rPr>
            </w:pPr>
          </w:p>
        </w:tc>
        <w:tc>
          <w:tcPr>
            <w:tcW w:w="957" w:type="dxa"/>
            <w:vAlign w:val="center"/>
          </w:tcPr>
          <w:p>
            <w:pPr>
              <w:jc w:val="center"/>
              <w:rPr>
                <w:bCs/>
                <w:szCs w:val="21"/>
              </w:rPr>
            </w:pPr>
          </w:p>
        </w:tc>
        <w:tc>
          <w:tcPr>
            <w:tcW w:w="1725" w:type="dxa"/>
            <w:vMerge w:val="restart"/>
            <w:vAlign w:val="center"/>
          </w:tcPr>
          <w:p>
            <w:pPr>
              <w:jc w:val="center"/>
              <w:rPr>
                <w:b/>
                <w:bCs/>
                <w:szCs w:val="21"/>
              </w:rPr>
            </w:pPr>
            <w:r>
              <w:rPr>
                <w:rFonts w:hint="eastAsia"/>
              </w:rPr>
              <w:t>4,000,000.00</w:t>
            </w:r>
          </w:p>
        </w:tc>
      </w:tr>
      <w:tr>
        <w:tblPrEx>
          <w:tblW w:w="9375" w:type="dxa"/>
          <w:jc w:val="center"/>
          <w:tblLayout w:type="fixed"/>
          <w:tblCellMar>
            <w:top w:w="0" w:type="dxa"/>
            <w:left w:w="108" w:type="dxa"/>
            <w:bottom w:w="0" w:type="dxa"/>
            <w:right w:w="108" w:type="dxa"/>
          </w:tblCellMar>
        </w:tblPrEx>
        <w:trPr>
          <w:trHeight w:val="170"/>
          <w:jc w:val="center"/>
        </w:trPr>
        <w:tc>
          <w:tcPr>
            <w:tcW w:w="450" w:type="dxa"/>
          </w:tcPr>
          <w:p>
            <w:pPr>
              <w:jc w:val="center"/>
              <w:rPr>
                <w:rFonts w:eastAsia="宋体"/>
                <w:bCs/>
                <w:szCs w:val="21"/>
              </w:rPr>
            </w:pPr>
            <w:r>
              <w:rPr>
                <w:rFonts w:eastAsia="宋体" w:hint="eastAsia"/>
                <w:bCs/>
                <w:szCs w:val="21"/>
              </w:rPr>
              <w:t>2</w:t>
            </w:r>
          </w:p>
        </w:tc>
        <w:tc>
          <w:tcPr>
            <w:tcW w:w="1778" w:type="dxa"/>
            <w:vAlign w:val="center"/>
          </w:tcPr>
          <w:p>
            <w:pPr>
              <w:widowControl w:val="0"/>
              <w:jc w:val="center"/>
              <w:rPr>
                <w:bCs/>
                <w:szCs w:val="21"/>
              </w:rPr>
            </w:pPr>
            <w:r>
              <w:rPr>
                <w:rFonts w:ascii="宋体" w:eastAsia="宋体" w:hAnsi="宋体" w:cs="宋体" w:hint="eastAsia"/>
              </w:rPr>
              <w:t xml:space="preserve">无人自助药房 </w:t>
            </w:r>
          </w:p>
        </w:tc>
        <w:tc>
          <w:tcPr>
            <w:tcW w:w="850" w:type="dxa"/>
            <w:vAlign w:val="center"/>
          </w:tcPr>
          <w:p>
            <w:pPr>
              <w:widowControl w:val="0"/>
              <w:jc w:val="center"/>
              <w:rPr>
                <w:bCs/>
                <w:szCs w:val="21"/>
              </w:rPr>
            </w:pPr>
          </w:p>
        </w:tc>
        <w:tc>
          <w:tcPr>
            <w:tcW w:w="709" w:type="dxa"/>
            <w:vAlign w:val="center"/>
          </w:tcPr>
          <w:p>
            <w:pPr>
              <w:widowControl w:val="0"/>
              <w:jc w:val="center"/>
              <w:rPr>
                <w:bCs/>
                <w:szCs w:val="21"/>
              </w:rPr>
            </w:pPr>
          </w:p>
        </w:tc>
        <w:tc>
          <w:tcPr>
            <w:tcW w:w="851" w:type="dxa"/>
            <w:vAlign w:val="center"/>
          </w:tcPr>
          <w:p>
            <w:pPr>
              <w:jc w:val="center"/>
              <w:rPr>
                <w:bCs/>
                <w:szCs w:val="21"/>
              </w:rPr>
            </w:pPr>
          </w:p>
        </w:tc>
        <w:tc>
          <w:tcPr>
            <w:tcW w:w="567" w:type="dxa"/>
            <w:vAlign w:val="center"/>
          </w:tcPr>
          <w:p>
            <w:pPr>
              <w:widowControl w:val="0"/>
              <w:jc w:val="center"/>
              <w:rPr>
                <w:bCs/>
                <w:szCs w:val="21"/>
              </w:rPr>
            </w:pPr>
            <w:r>
              <w:rPr>
                <w:rFonts w:ascii="宋体" w:eastAsia="宋体" w:hAnsi="宋体" w:cs="宋体" w:hint="eastAsia"/>
              </w:rPr>
              <w:t>1</w:t>
            </w:r>
          </w:p>
        </w:tc>
        <w:tc>
          <w:tcPr>
            <w:tcW w:w="567" w:type="dxa"/>
            <w:vAlign w:val="center"/>
          </w:tcPr>
          <w:p>
            <w:pPr>
              <w:widowControl w:val="0"/>
              <w:jc w:val="center"/>
              <w:rPr>
                <w:bCs/>
                <w:szCs w:val="21"/>
              </w:rPr>
            </w:pPr>
            <w:r>
              <w:rPr>
                <w:rFonts w:ascii="宋体" w:eastAsia="宋体" w:hAnsi="宋体" w:cs="宋体" w:hint="eastAsia"/>
              </w:rPr>
              <w:t>套</w:t>
            </w:r>
          </w:p>
        </w:tc>
        <w:tc>
          <w:tcPr>
            <w:tcW w:w="921" w:type="dxa"/>
            <w:vAlign w:val="center"/>
          </w:tcPr>
          <w:p>
            <w:pPr>
              <w:jc w:val="center"/>
              <w:rPr>
                <w:bCs/>
                <w:szCs w:val="21"/>
              </w:rPr>
            </w:pPr>
          </w:p>
        </w:tc>
        <w:tc>
          <w:tcPr>
            <w:tcW w:w="957" w:type="dxa"/>
            <w:vAlign w:val="center"/>
          </w:tcPr>
          <w:p>
            <w:pPr>
              <w:jc w:val="center"/>
              <w:rPr>
                <w:bCs/>
                <w:szCs w:val="21"/>
              </w:rPr>
            </w:pPr>
          </w:p>
        </w:tc>
        <w:tc>
          <w:tcPr>
            <w:tcW w:w="1725" w:type="dxa"/>
            <w:vMerge/>
            <w:vAlign w:val="center"/>
          </w:tcPr>
          <w:p>
            <w:pPr>
              <w:jc w:val="center"/>
              <w:rPr>
                <w:b/>
                <w:bCs/>
                <w:szCs w:val="21"/>
              </w:rPr>
            </w:pPr>
          </w:p>
        </w:tc>
      </w:tr>
      <w:tr>
        <w:tblPrEx>
          <w:tblW w:w="9375" w:type="dxa"/>
          <w:jc w:val="center"/>
          <w:tblLayout w:type="fixed"/>
          <w:tblCellMar>
            <w:top w:w="0" w:type="dxa"/>
            <w:left w:w="108" w:type="dxa"/>
            <w:bottom w:w="0" w:type="dxa"/>
            <w:right w:w="108" w:type="dxa"/>
          </w:tblCellMar>
        </w:tblPrEx>
        <w:trPr>
          <w:trHeight w:val="170"/>
          <w:jc w:val="center"/>
        </w:trPr>
        <w:tc>
          <w:tcPr>
            <w:tcW w:w="450" w:type="dxa"/>
          </w:tcPr>
          <w:p>
            <w:pPr>
              <w:jc w:val="center"/>
              <w:rPr>
                <w:rFonts w:eastAsia="宋体"/>
                <w:bCs/>
                <w:szCs w:val="21"/>
              </w:rPr>
            </w:pPr>
            <w:r>
              <w:rPr>
                <w:rFonts w:eastAsia="宋体" w:hint="eastAsia"/>
                <w:bCs/>
                <w:szCs w:val="21"/>
              </w:rPr>
              <w:t>3</w:t>
            </w:r>
          </w:p>
        </w:tc>
        <w:tc>
          <w:tcPr>
            <w:tcW w:w="1778" w:type="dxa"/>
            <w:vAlign w:val="center"/>
          </w:tcPr>
          <w:p>
            <w:pPr>
              <w:widowControl w:val="0"/>
              <w:jc w:val="center"/>
              <w:rPr>
                <w:bCs/>
                <w:szCs w:val="21"/>
              </w:rPr>
            </w:pPr>
            <w:r>
              <w:rPr>
                <w:rFonts w:ascii="宋体" w:eastAsia="宋体" w:hAnsi="宋体" w:cs="宋体" w:hint="eastAsia"/>
              </w:rPr>
              <w:t xml:space="preserve">拆零分装机  </w:t>
            </w:r>
          </w:p>
        </w:tc>
        <w:tc>
          <w:tcPr>
            <w:tcW w:w="850" w:type="dxa"/>
            <w:vAlign w:val="center"/>
          </w:tcPr>
          <w:p>
            <w:pPr>
              <w:widowControl w:val="0"/>
              <w:jc w:val="center"/>
              <w:rPr>
                <w:bCs/>
                <w:szCs w:val="21"/>
              </w:rPr>
            </w:pPr>
          </w:p>
        </w:tc>
        <w:tc>
          <w:tcPr>
            <w:tcW w:w="709" w:type="dxa"/>
            <w:vAlign w:val="center"/>
          </w:tcPr>
          <w:p>
            <w:pPr>
              <w:widowControl w:val="0"/>
              <w:jc w:val="center"/>
              <w:rPr>
                <w:bCs/>
                <w:szCs w:val="21"/>
              </w:rPr>
            </w:pPr>
          </w:p>
        </w:tc>
        <w:tc>
          <w:tcPr>
            <w:tcW w:w="851" w:type="dxa"/>
            <w:vAlign w:val="center"/>
          </w:tcPr>
          <w:p>
            <w:pPr>
              <w:jc w:val="center"/>
              <w:rPr>
                <w:bCs/>
                <w:szCs w:val="21"/>
              </w:rPr>
            </w:pPr>
          </w:p>
        </w:tc>
        <w:tc>
          <w:tcPr>
            <w:tcW w:w="567" w:type="dxa"/>
            <w:vAlign w:val="center"/>
          </w:tcPr>
          <w:p>
            <w:pPr>
              <w:widowControl w:val="0"/>
              <w:jc w:val="center"/>
              <w:rPr>
                <w:bCs/>
                <w:szCs w:val="21"/>
              </w:rPr>
            </w:pPr>
            <w:r>
              <w:rPr>
                <w:rFonts w:ascii="宋体" w:eastAsia="宋体" w:hAnsi="宋体" w:cs="宋体" w:hint="eastAsia"/>
              </w:rPr>
              <w:t>1</w:t>
            </w:r>
          </w:p>
        </w:tc>
        <w:tc>
          <w:tcPr>
            <w:tcW w:w="567" w:type="dxa"/>
            <w:vAlign w:val="center"/>
          </w:tcPr>
          <w:p>
            <w:pPr>
              <w:widowControl w:val="0"/>
              <w:jc w:val="center"/>
              <w:rPr>
                <w:bCs/>
                <w:szCs w:val="21"/>
              </w:rPr>
            </w:pPr>
            <w:r>
              <w:rPr>
                <w:rFonts w:ascii="宋体" w:eastAsia="宋体" w:hAnsi="宋体" w:cs="宋体" w:hint="eastAsia"/>
              </w:rPr>
              <w:t>套</w:t>
            </w:r>
          </w:p>
        </w:tc>
        <w:tc>
          <w:tcPr>
            <w:tcW w:w="921" w:type="dxa"/>
            <w:vAlign w:val="center"/>
          </w:tcPr>
          <w:p>
            <w:pPr>
              <w:jc w:val="center"/>
              <w:rPr>
                <w:bCs/>
                <w:szCs w:val="21"/>
              </w:rPr>
            </w:pPr>
          </w:p>
        </w:tc>
        <w:tc>
          <w:tcPr>
            <w:tcW w:w="957" w:type="dxa"/>
            <w:vAlign w:val="center"/>
          </w:tcPr>
          <w:p>
            <w:pPr>
              <w:jc w:val="center"/>
              <w:rPr>
                <w:bCs/>
                <w:szCs w:val="21"/>
              </w:rPr>
            </w:pPr>
          </w:p>
        </w:tc>
        <w:tc>
          <w:tcPr>
            <w:tcW w:w="1725" w:type="dxa"/>
            <w:vMerge/>
            <w:vAlign w:val="center"/>
          </w:tcPr>
          <w:p>
            <w:pPr>
              <w:jc w:val="center"/>
              <w:rPr>
                <w:b/>
                <w:bCs/>
                <w:color w:val="FF0000"/>
                <w:szCs w:val="21"/>
              </w:rPr>
            </w:pPr>
          </w:p>
        </w:tc>
      </w:tr>
      <w:tr>
        <w:tblPrEx>
          <w:tblW w:w="9375" w:type="dxa"/>
          <w:jc w:val="center"/>
          <w:tblLayout w:type="fixed"/>
          <w:tblCellMar>
            <w:top w:w="0" w:type="dxa"/>
            <w:left w:w="108" w:type="dxa"/>
            <w:bottom w:w="0" w:type="dxa"/>
            <w:right w:w="108" w:type="dxa"/>
          </w:tblCellMar>
        </w:tblPrEx>
        <w:trPr>
          <w:trHeight w:val="170"/>
          <w:jc w:val="center"/>
        </w:trPr>
        <w:tc>
          <w:tcPr>
            <w:tcW w:w="450" w:type="dxa"/>
          </w:tcPr>
          <w:p>
            <w:pPr>
              <w:jc w:val="center"/>
              <w:rPr>
                <w:rFonts w:eastAsia="宋体"/>
                <w:bCs/>
                <w:color w:val="FF0000"/>
                <w:szCs w:val="21"/>
              </w:rPr>
            </w:pPr>
            <w:r>
              <w:rPr>
                <w:rFonts w:eastAsia="宋体" w:hint="eastAsia"/>
                <w:bCs/>
                <w:color w:val="FF0000"/>
                <w:szCs w:val="21"/>
              </w:rPr>
              <w:t>…</w:t>
            </w:r>
          </w:p>
        </w:tc>
        <w:tc>
          <w:tcPr>
            <w:tcW w:w="1778" w:type="dxa"/>
            <w:vAlign w:val="center"/>
          </w:tcPr>
          <w:p>
            <w:pPr>
              <w:jc w:val="center"/>
              <w:rPr>
                <w:bCs/>
                <w:szCs w:val="21"/>
              </w:rPr>
            </w:pPr>
            <w:r>
              <w:rPr>
                <w:rFonts w:eastAsia="宋体" w:hint="eastAsia"/>
                <w:bCs/>
                <w:color w:val="FF0000"/>
                <w:szCs w:val="21"/>
              </w:rPr>
              <w:t>…</w:t>
            </w:r>
          </w:p>
        </w:tc>
        <w:tc>
          <w:tcPr>
            <w:tcW w:w="850" w:type="dxa"/>
            <w:vAlign w:val="center"/>
          </w:tcPr>
          <w:p>
            <w:pPr>
              <w:jc w:val="center"/>
              <w:rPr>
                <w:bCs/>
                <w:szCs w:val="21"/>
              </w:rPr>
            </w:pPr>
          </w:p>
        </w:tc>
        <w:tc>
          <w:tcPr>
            <w:tcW w:w="709" w:type="dxa"/>
            <w:vAlign w:val="center"/>
          </w:tcPr>
          <w:p>
            <w:pPr>
              <w:jc w:val="center"/>
              <w:rPr>
                <w:bCs/>
                <w:szCs w:val="21"/>
              </w:rPr>
            </w:pPr>
          </w:p>
        </w:tc>
        <w:tc>
          <w:tcPr>
            <w:tcW w:w="851" w:type="dxa"/>
            <w:vAlign w:val="center"/>
          </w:tcPr>
          <w:p>
            <w:pPr>
              <w:jc w:val="center"/>
              <w:rPr>
                <w:bCs/>
                <w:szCs w:val="21"/>
              </w:rPr>
            </w:pPr>
          </w:p>
        </w:tc>
        <w:tc>
          <w:tcPr>
            <w:tcW w:w="567" w:type="dxa"/>
            <w:vAlign w:val="center"/>
          </w:tcPr>
          <w:p>
            <w:pPr>
              <w:jc w:val="center"/>
              <w:rPr>
                <w:bCs/>
                <w:szCs w:val="21"/>
              </w:rPr>
            </w:pPr>
            <w:r>
              <w:rPr>
                <w:rFonts w:eastAsia="宋体" w:hint="eastAsia"/>
                <w:bCs/>
                <w:color w:val="FF0000"/>
                <w:szCs w:val="21"/>
              </w:rPr>
              <w:t>…</w:t>
            </w:r>
          </w:p>
        </w:tc>
        <w:tc>
          <w:tcPr>
            <w:tcW w:w="567" w:type="dxa"/>
            <w:vAlign w:val="center"/>
          </w:tcPr>
          <w:p>
            <w:pPr>
              <w:jc w:val="center"/>
              <w:rPr>
                <w:bCs/>
                <w:szCs w:val="21"/>
              </w:rPr>
            </w:pPr>
            <w:r>
              <w:rPr>
                <w:rFonts w:eastAsia="宋体" w:hint="eastAsia"/>
                <w:bCs/>
                <w:color w:val="FF0000"/>
                <w:szCs w:val="21"/>
              </w:rPr>
              <w:t>…</w:t>
            </w:r>
          </w:p>
        </w:tc>
        <w:tc>
          <w:tcPr>
            <w:tcW w:w="921" w:type="dxa"/>
            <w:vAlign w:val="center"/>
          </w:tcPr>
          <w:p>
            <w:pPr>
              <w:jc w:val="center"/>
              <w:rPr>
                <w:bCs/>
                <w:szCs w:val="21"/>
              </w:rPr>
            </w:pPr>
          </w:p>
        </w:tc>
        <w:tc>
          <w:tcPr>
            <w:tcW w:w="957" w:type="dxa"/>
            <w:vAlign w:val="center"/>
          </w:tcPr>
          <w:p>
            <w:pPr>
              <w:jc w:val="center"/>
              <w:rPr>
                <w:bCs/>
                <w:szCs w:val="21"/>
              </w:rPr>
            </w:pPr>
          </w:p>
        </w:tc>
        <w:tc>
          <w:tcPr>
            <w:tcW w:w="1725" w:type="dxa"/>
            <w:vMerge/>
            <w:vAlign w:val="center"/>
          </w:tcPr>
          <w:p>
            <w:pPr>
              <w:jc w:val="center"/>
              <w:rPr>
                <w:b/>
                <w:bCs/>
                <w:color w:val="FF0000"/>
                <w:szCs w:val="21"/>
              </w:rPr>
            </w:pPr>
          </w:p>
        </w:tc>
      </w:tr>
      <w:tr>
        <w:tblPrEx>
          <w:tblW w:w="9375" w:type="dxa"/>
          <w:jc w:val="center"/>
          <w:tblLayout w:type="fixed"/>
          <w:tblCellMar>
            <w:top w:w="0" w:type="dxa"/>
            <w:left w:w="108" w:type="dxa"/>
            <w:bottom w:w="0" w:type="dxa"/>
            <w:right w:w="108" w:type="dxa"/>
          </w:tblCellMar>
        </w:tblPrEx>
        <w:trPr>
          <w:trHeight w:val="170"/>
          <w:jc w:val="center"/>
        </w:trPr>
        <w:tc>
          <w:tcPr>
            <w:tcW w:w="9375" w:type="dxa"/>
            <w:gridSpan w:val="10"/>
          </w:tcPr>
          <w:p>
            <w:pPr>
              <w:jc w:val="center"/>
              <w:rPr>
                <w:b/>
                <w:bCs/>
                <w:color w:val="FF0000"/>
                <w:szCs w:val="21"/>
              </w:rPr>
            </w:pPr>
            <w:r>
              <w:rPr>
                <w:rFonts w:hint="eastAsia"/>
                <w:bCs/>
                <w:szCs w:val="21"/>
              </w:rPr>
              <w:t>合计（即投标总价；币种：人民币；单位：元） 小写：            大写：</w:t>
            </w:r>
          </w:p>
        </w:tc>
      </w:tr>
    </w:tbl>
    <w:p>
      <w:pPr>
        <w:ind w:firstLine="480" w:firstLineChars="200"/>
        <w:rPr>
          <w:rFonts w:ascii="宋体" w:hAnsi="宋体"/>
          <w:b/>
        </w:rPr>
      </w:pPr>
    </w:p>
    <w:p>
      <w:pPr>
        <w:ind w:firstLine="480" w:firstLineChars="200"/>
        <w:rPr>
          <w:rFonts w:ascii="宋体" w:hAnsi="宋体"/>
          <w:b/>
        </w:rPr>
      </w:pPr>
      <w:r>
        <w:rPr>
          <w:rFonts w:ascii="宋体" w:hAnsi="宋体" w:hint="eastAsia"/>
          <w:b/>
        </w:rPr>
        <w:t>注：1.本表可按同样格式扩展，</w:t>
      </w:r>
      <w:r>
        <w:rPr>
          <w:rFonts w:ascii="宋体" w:hAnsi="宋体" w:hint="eastAsia"/>
          <w:b/>
          <w:color w:val="FF0000"/>
        </w:rPr>
        <w:t>请根据“</w:t>
      </w:r>
      <w:r>
        <w:rPr>
          <w:rFonts w:ascii="宋体" w:eastAsia="宋体" w:hAnsi="宋体" w:hint="eastAsia"/>
          <w:b/>
          <w:color w:val="FF0000"/>
        </w:rPr>
        <w:t>第一册/</w:t>
      </w:r>
      <w:r>
        <w:rPr>
          <w:rFonts w:ascii="宋体" w:hAnsi="宋体" w:hint="eastAsia"/>
          <w:b/>
          <w:color w:val="FF0000"/>
        </w:rPr>
        <w:t>第三章 用户需求书” 中“货物需求明细”填写。</w:t>
      </w:r>
    </w:p>
    <w:p>
      <w:pPr>
        <w:ind w:firstLine="470" w:firstLineChars="196"/>
        <w:rPr>
          <w:rFonts w:ascii="宋体" w:hAnsi="宋体"/>
          <w:b/>
        </w:rPr>
      </w:pPr>
      <w:r>
        <w:rPr>
          <w:rFonts w:ascii="宋体" w:hAnsi="宋体" w:hint="eastAsia"/>
          <w:b/>
        </w:rPr>
        <w:t>2</w:t>
      </w:r>
      <w:r>
        <w:rPr>
          <w:rFonts w:ascii="宋体" w:hAnsi="宋体"/>
          <w:b/>
        </w:rPr>
        <w:t>.</w:t>
      </w:r>
      <w:r>
        <w:rPr>
          <w:rFonts w:ascii="宋体" w:hAnsi="宋体" w:hint="eastAsia"/>
          <w:b/>
        </w:rPr>
        <w:t xml:space="preserve"> 如所投货物属于定制类的非量产货物或无具体品牌、型号的货物，可以在“规格/品牌/型号”一栏仅填写规格信息而不填写品牌、型号等信息（品牌、型号信息用“定制”描述即可）；</w:t>
      </w:r>
      <w:bookmarkStart w:id="66" w:name="_Hlk73646428"/>
      <w:r>
        <w:rPr>
          <w:rFonts w:ascii="宋体" w:hAnsi="宋体" w:hint="eastAsia"/>
          <w:b/>
        </w:rPr>
        <w:t>此类填写错误（所投货物为定制类的非量产货物但供应商却错误填报了品牌、型号）的不利后果由供应商承担，</w:t>
      </w:r>
      <w:r>
        <w:rPr>
          <w:rFonts w:hint="eastAsia"/>
          <w:b/>
        </w:rPr>
        <w:t>经评审委员会认定，在使用综合评分法的项目中一项此类填写错误将按照一项招标技术要求负偏离作处理。</w:t>
      </w:r>
      <w:bookmarkEnd w:id="66"/>
    </w:p>
    <w:p>
      <w:pPr>
        <w:ind w:firstLine="470" w:firstLineChars="196"/>
        <w:rPr>
          <w:rFonts w:ascii="宋体" w:hAnsi="宋体"/>
          <w:b/>
        </w:rPr>
      </w:pPr>
      <w:r>
        <w:rPr>
          <w:rFonts w:ascii="宋体" w:hAnsi="宋体"/>
          <w:b/>
        </w:rPr>
        <w:t>3</w:t>
      </w:r>
      <w:r>
        <w:rPr>
          <w:rFonts w:ascii="宋体" w:hAnsi="宋体" w:hint="eastAsia"/>
          <w:b/>
        </w:rPr>
        <w:t>.</w:t>
      </w:r>
      <w:bookmarkStart w:id="67" w:name="_Hlk72074795"/>
      <w:r>
        <w:rPr>
          <w:rFonts w:ascii="宋体" w:hAnsi="宋体" w:hint="eastAsia"/>
          <w:b/>
        </w:rPr>
        <w:t>“原产地”是指该货物的实际生产加工地，而非品牌总公司所在地</w:t>
      </w:r>
      <w:bookmarkEnd w:id="67"/>
      <w:r>
        <w:rPr>
          <w:rFonts w:ascii="宋体" w:hAnsi="宋体" w:hint="eastAsia"/>
          <w:b/>
        </w:rPr>
        <w:t>。</w:t>
      </w:r>
    </w:p>
    <w:p>
      <w:pPr>
        <w:ind w:firstLine="470" w:firstLineChars="196"/>
        <w:rPr>
          <w:rFonts w:ascii="宋体" w:hAnsi="宋体"/>
          <w:b/>
        </w:rPr>
      </w:pPr>
      <w:r>
        <w:rPr>
          <w:rFonts w:ascii="宋体" w:hAnsi="宋体"/>
          <w:b/>
        </w:rPr>
        <w:t>4</w:t>
      </w:r>
      <w:r>
        <w:rPr>
          <w:rFonts w:ascii="宋体" w:hAnsi="宋体" w:hint="eastAsia"/>
          <w:b/>
        </w:rPr>
        <w:t>.所投货物均应填写制造商名称。</w:t>
      </w:r>
    </w:p>
    <w:p>
      <w:pPr>
        <w:ind w:firstLine="480" w:firstLineChars="200"/>
        <w:rPr>
          <w:rFonts w:ascii="宋体" w:hAnsi="宋体"/>
          <w:b/>
        </w:rPr>
      </w:pPr>
      <w:r>
        <w:rPr>
          <w:rFonts w:ascii="宋体" w:hAnsi="宋体"/>
          <w:b/>
        </w:rPr>
        <w:t>5</w:t>
      </w:r>
      <w:r>
        <w:rPr>
          <w:rFonts w:ascii="宋体" w:hAnsi="宋体" w:hint="eastAsia"/>
          <w:b/>
        </w:rPr>
        <w:t>.以上分项报价表的投标总价应当与开标一览表的投标总价一致。</w:t>
      </w:r>
    </w:p>
    <w:p>
      <w:pPr>
        <w:ind w:firstLine="480" w:firstLineChars="200"/>
        <w:rPr>
          <w:rFonts w:ascii="宋体" w:hAnsi="宋体"/>
          <w:b/>
        </w:rPr>
      </w:pPr>
      <w:r>
        <w:rPr>
          <w:rFonts w:ascii="宋体" w:hAnsi="宋体"/>
          <w:b/>
        </w:rPr>
        <w:t>6</w:t>
      </w:r>
      <w:r>
        <w:rPr>
          <w:rFonts w:ascii="宋体" w:hAnsi="宋体" w:hint="eastAsia"/>
          <w:b/>
        </w:rPr>
        <w:t>.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0" w:firstLineChars="200"/>
        <w:rPr>
          <w:rFonts w:ascii="宋体" w:hAnsi="宋体"/>
          <w:b/>
        </w:rPr>
      </w:pPr>
      <w:r>
        <w:rPr>
          <w:rFonts w:ascii="宋体" w:hAnsi="宋体"/>
          <w:b/>
        </w:rPr>
        <w:t>7</w:t>
      </w:r>
      <w:r>
        <w:rPr>
          <w:rFonts w:ascii="宋体" w:hAnsi="宋体" w:hint="eastAsia"/>
          <w:b/>
        </w:rPr>
        <w:t>.所有价格应按“招标文件”中规定的货币单位填写；投标总价应为以上各分项价格之和；投标总价和项目报价表中单个采购预算条目报价均不得超过对应的财政预算限额，否则将导致投标无效。</w:t>
      </w:r>
    </w:p>
    <w:p>
      <w:pPr>
        <w:ind w:firstLine="480" w:firstLineChars="200"/>
        <w:rPr>
          <w:rFonts w:ascii="宋体" w:hAnsi="宋体"/>
          <w:b/>
          <w:color w:val="FF0000"/>
        </w:rPr>
      </w:pPr>
    </w:p>
    <w:p>
      <w:pPr>
        <w:tabs>
          <w:tab w:val="left" w:pos="720"/>
        </w:tabs>
        <w:jc w:val="center"/>
        <w:rPr>
          <w:b/>
        </w:rPr>
      </w:pPr>
      <w:r>
        <w:rPr>
          <w:rFonts w:hint="eastAsia"/>
          <w:b/>
        </w:rPr>
        <w:t>（二）核心产品品牌</w:t>
      </w:r>
    </w:p>
    <w:p>
      <w:pPr>
        <w:ind w:firstLine="480" w:firstLineChars="200"/>
        <w:rPr>
          <w:rFonts w:ascii="宋体" w:hAnsi="宋体"/>
          <w:b/>
          <w:color w:val="FF0000"/>
        </w:rPr>
      </w:pPr>
    </w:p>
    <w:p>
      <w:pPr>
        <w:ind w:firstLine="480" w:firstLineChars="200"/>
        <w:rPr>
          <w:rFonts w:ascii="宋体" w:hAnsi="宋体"/>
          <w:b/>
        </w:rPr>
      </w:pPr>
      <w:r>
        <w:rPr>
          <w:rFonts w:hint="eastAsia"/>
          <w:b/>
        </w:rPr>
        <w:t>我单位所投核心产品的品牌为：</w:t>
      </w:r>
      <w:r>
        <w:rPr>
          <w:rFonts w:hint="eastAsia"/>
          <w:b/>
          <w:bCs/>
          <w:szCs w:val="21"/>
          <w:u w:val="thick"/>
        </w:rPr>
        <w:tab/>
      </w:r>
      <w:r>
        <w:rPr>
          <w:rFonts w:hint="eastAsia"/>
          <w:b/>
          <w:bCs/>
          <w:szCs w:val="21"/>
          <w:u w:val="thick"/>
        </w:rPr>
        <w:tab/>
      </w:r>
      <w:r>
        <w:rPr>
          <w:rFonts w:hint="eastAsia"/>
          <w:b/>
          <w:bCs/>
          <w:szCs w:val="21"/>
          <w:u w:val="thick"/>
        </w:rPr>
        <w:tab/>
      </w:r>
      <w:r>
        <w:rPr>
          <w:rFonts w:hint="eastAsia"/>
          <w:b/>
          <w:bCs/>
          <w:szCs w:val="21"/>
          <w:u w:val="thick"/>
        </w:rPr>
        <w:tab/>
      </w:r>
      <w:r>
        <w:rPr>
          <w:rFonts w:hint="eastAsia"/>
          <w:b/>
        </w:rPr>
        <w:t>。</w:t>
      </w:r>
    </w:p>
    <w:p>
      <w:pPr>
        <w:ind w:firstLine="480" w:firstLineChars="200"/>
        <w:rPr>
          <w:rFonts w:ascii="宋体" w:hAnsi="宋体"/>
          <w:b/>
          <w:color w:val="FF0000"/>
        </w:rPr>
      </w:pPr>
    </w:p>
    <w:p>
      <w:pPr>
        <w:ind w:firstLine="480" w:firstLineChars="200"/>
        <w:rPr>
          <w:rFonts w:ascii="宋体" w:hAnsi="宋体"/>
        </w:rPr>
      </w:pPr>
      <w:r>
        <w:rPr>
          <w:rFonts w:ascii="宋体" w:hAnsi="宋体" w:hint="eastAsia"/>
        </w:rPr>
        <w:t>备注：</w:t>
      </w:r>
      <w:r>
        <w:rPr>
          <w:rFonts w:ascii="宋体" w:hAnsi="宋体"/>
        </w:rPr>
        <w:t xml:space="preserve"> </w:t>
      </w:r>
      <w:r>
        <w:rPr>
          <w:rFonts w:ascii="宋体" w:hAnsi="宋体" w:hint="eastAsia"/>
          <w:b/>
          <w:bCs/>
        </w:rPr>
        <w:t>本项目核心产品为</w:t>
      </w:r>
      <w:r>
        <w:rPr>
          <w:rFonts w:hint="eastAsia"/>
          <w:b/>
          <w:bCs/>
          <w:szCs w:val="21"/>
          <w:u w:val="thick"/>
        </w:rPr>
        <w:t xml:space="preserve"> 高速发药机 。</w:t>
      </w:r>
    </w:p>
    <w:p>
      <w:pPr>
        <w:rPr>
          <w:b/>
        </w:rPr>
      </w:pPr>
    </w:p>
    <w:p>
      <w:pPr>
        <w:ind w:firstLine="480" w:firstLineChars="200"/>
        <w:rPr>
          <w:rFonts w:ascii="宋体" w:hAnsi="宋体" w:hint="eastAsia"/>
          <w:b/>
          <w:bCs/>
        </w:rPr>
      </w:pPr>
    </w:p>
    <w:p>
      <w:pPr>
        <w:ind w:firstLine="480" w:firstLineChars="200"/>
        <w:rPr>
          <w:rFonts w:ascii="宋体" w:hAnsi="宋体" w:hint="eastAsia"/>
          <w:b/>
          <w:bCs/>
        </w:rPr>
      </w:pPr>
    </w:p>
    <w:p>
      <w:pPr>
        <w:ind w:firstLine="480" w:firstLineChars="200"/>
        <w:rPr>
          <w:rFonts w:hAnsi="宋体"/>
          <w:b/>
          <w:bCs/>
        </w:rPr>
      </w:pPr>
      <w:r>
        <w:rPr>
          <w:rFonts w:ascii="宋体" w:hAnsi="宋体" w:hint="eastAsia"/>
          <w:b/>
          <w:bCs/>
        </w:rPr>
        <w:t>（三）零配件、消耗品和延续保修合同报价清单（不包括在投标总价内）</w:t>
      </w:r>
    </w:p>
    <w:p>
      <w:pPr>
        <w:ind w:firstLine="480" w:firstLineChars="200"/>
        <w:rPr>
          <w:rFonts w:hAnsi="宋体"/>
          <w:b/>
          <w:bCs/>
          <w:szCs w:val="21"/>
        </w:rPr>
      </w:pPr>
      <w:r>
        <w:rPr>
          <w:rFonts w:ascii="宋体" w:hAnsi="宋体" w:hint="eastAsia"/>
          <w:b/>
          <w:bCs/>
        </w:rPr>
        <w:t>注：价格最高的前</w:t>
      </w:r>
      <w:r>
        <w:rPr>
          <w:rFonts w:hint="eastAsia"/>
          <w:b/>
          <w:bCs/>
        </w:rPr>
        <w:t>5</w:t>
      </w:r>
      <w:r>
        <w:rPr>
          <w:rFonts w:ascii="宋体" w:hAnsi="宋体" w:hint="eastAsia"/>
          <w:b/>
          <w:bCs/>
        </w:rPr>
        <w:t>项零配件、消耗品和延续保修合同的报价明细必须填写于此清单中。</w:t>
      </w:r>
    </w:p>
    <w:tbl>
      <w:tblPr>
        <w:tblStyle w:val="TableNormal"/>
        <w:tblW w:w="7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36"/>
        <w:gridCol w:w="1228"/>
        <w:gridCol w:w="1694"/>
        <w:gridCol w:w="900"/>
        <w:gridCol w:w="1401"/>
        <w:gridCol w:w="709"/>
        <w:gridCol w:w="992"/>
      </w:tblGrid>
      <w:tr>
        <w:tblPrEx>
          <w:tblW w:w="7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pPr>
            <w:r>
              <w:rPr>
                <w:rFonts w:hint="eastAsia"/>
              </w:rPr>
              <w:t>序号</w:t>
            </w:r>
          </w:p>
        </w:tc>
        <w:tc>
          <w:tcPr>
            <w:tcW w:w="1228" w:type="dxa"/>
            <w:tcBorders>
              <w:top w:val="single" w:sz="4" w:space="0" w:color="auto"/>
              <w:left w:val="nil"/>
              <w:bottom w:val="single" w:sz="4" w:space="0" w:color="auto"/>
              <w:right w:val="single" w:sz="4" w:space="0" w:color="auto"/>
            </w:tcBorders>
            <w:vAlign w:val="center"/>
          </w:tcPr>
          <w:p>
            <w:pPr>
              <w:jc w:val="center"/>
            </w:pPr>
            <w:r>
              <w:rPr>
                <w:rFonts w:hint="eastAsia"/>
              </w:rPr>
              <w:t>货物名称</w:t>
            </w:r>
          </w:p>
        </w:tc>
        <w:tc>
          <w:tcPr>
            <w:tcW w:w="1694" w:type="dxa"/>
            <w:tcBorders>
              <w:top w:val="single" w:sz="4" w:space="0" w:color="auto"/>
              <w:left w:val="nil"/>
              <w:bottom w:val="single" w:sz="4" w:space="0" w:color="auto"/>
              <w:right w:val="single" w:sz="4" w:space="0" w:color="auto"/>
            </w:tcBorders>
            <w:vAlign w:val="center"/>
          </w:tcPr>
          <w:p>
            <w:pPr>
              <w:jc w:val="center"/>
            </w:pPr>
            <w:r>
              <w:rPr>
                <w:rFonts w:hint="eastAsia"/>
              </w:rPr>
              <w:t>规格/</w:t>
            </w:r>
            <w:r>
              <w:rPr>
                <w:rFonts w:ascii="宋体" w:hAnsi="宋体" w:hint="eastAsia"/>
              </w:rPr>
              <w:t>型号</w:t>
            </w:r>
          </w:p>
        </w:tc>
        <w:tc>
          <w:tcPr>
            <w:tcW w:w="900" w:type="dxa"/>
            <w:tcBorders>
              <w:top w:val="single" w:sz="4" w:space="0" w:color="auto"/>
              <w:left w:val="nil"/>
              <w:bottom w:val="single" w:sz="4" w:space="0" w:color="auto"/>
              <w:right w:val="single" w:sz="4" w:space="0" w:color="auto"/>
            </w:tcBorders>
            <w:vAlign w:val="center"/>
          </w:tcPr>
          <w:p>
            <w:pPr>
              <w:jc w:val="center"/>
            </w:pPr>
            <w:r>
              <w:rPr>
                <w:rFonts w:hint="eastAsia"/>
              </w:rPr>
              <w:t>原产地</w:t>
            </w:r>
          </w:p>
        </w:tc>
        <w:tc>
          <w:tcPr>
            <w:tcW w:w="1401" w:type="dxa"/>
            <w:tcBorders>
              <w:top w:val="single" w:sz="4" w:space="0" w:color="auto"/>
              <w:left w:val="nil"/>
              <w:bottom w:val="single" w:sz="4" w:space="0" w:color="auto"/>
              <w:right w:val="single" w:sz="4" w:space="0" w:color="auto"/>
            </w:tcBorders>
            <w:vAlign w:val="center"/>
          </w:tcPr>
          <w:p>
            <w:pPr>
              <w:jc w:val="center"/>
            </w:pPr>
            <w:r>
              <w:rPr>
                <w:rFonts w:hint="eastAsia"/>
              </w:rPr>
              <w:t>制造商名称</w:t>
            </w:r>
          </w:p>
        </w:tc>
        <w:tc>
          <w:tcPr>
            <w:tcW w:w="709" w:type="dxa"/>
            <w:tcBorders>
              <w:top w:val="single" w:sz="4" w:space="0" w:color="auto"/>
              <w:left w:val="nil"/>
              <w:bottom w:val="single" w:sz="4" w:space="0" w:color="auto"/>
              <w:right w:val="single" w:sz="4" w:space="0" w:color="auto"/>
            </w:tcBorders>
            <w:vAlign w:val="center"/>
          </w:tcPr>
          <w:p>
            <w:pPr>
              <w:jc w:val="center"/>
            </w:pPr>
            <w:r>
              <w:rPr>
                <w:rFonts w:hint="eastAsia"/>
              </w:rPr>
              <w:t>数量</w:t>
            </w:r>
          </w:p>
        </w:tc>
        <w:tc>
          <w:tcPr>
            <w:tcW w:w="992" w:type="dxa"/>
            <w:tcBorders>
              <w:top w:val="single" w:sz="4" w:space="0" w:color="auto"/>
              <w:left w:val="nil"/>
              <w:bottom w:val="single" w:sz="4" w:space="0" w:color="auto"/>
              <w:right w:val="single" w:sz="4" w:space="0" w:color="auto"/>
            </w:tcBorders>
            <w:vAlign w:val="center"/>
          </w:tcPr>
          <w:p>
            <w:pPr>
              <w:jc w:val="center"/>
            </w:pPr>
            <w:r>
              <w:rPr>
                <w:rFonts w:hint="eastAsia"/>
              </w:rPr>
              <w:t>单价(</w:t>
            </w:r>
            <w:r>
              <w:rPr>
                <w:rFonts w:ascii="宋体" w:hAnsi="宋体" w:hint="eastAsia"/>
              </w:rPr>
              <w:t>元</w:t>
            </w:r>
            <w:r>
              <w:rPr>
                <w:rFonts w:hint="eastAsia"/>
              </w:rPr>
              <w:t>)</w:t>
            </w: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pPr>
            <w:r>
              <w:rPr>
                <w:rFonts w:hint="eastAsia"/>
              </w:rPr>
              <w:t>1</w:t>
            </w:r>
          </w:p>
        </w:tc>
        <w:tc>
          <w:tcPr>
            <w:tcW w:w="1228" w:type="dxa"/>
            <w:tcBorders>
              <w:top w:val="single" w:sz="4" w:space="0" w:color="auto"/>
              <w:left w:val="nil"/>
              <w:bottom w:val="single" w:sz="4" w:space="0" w:color="auto"/>
              <w:right w:val="single" w:sz="4" w:space="0" w:color="auto"/>
            </w:tcBorders>
          </w:tcPr>
          <w:p/>
        </w:tc>
        <w:tc>
          <w:tcPr>
            <w:tcW w:w="1694" w:type="dxa"/>
            <w:tcBorders>
              <w:top w:val="single" w:sz="4" w:space="0" w:color="auto"/>
              <w:left w:val="nil"/>
              <w:bottom w:val="single" w:sz="4" w:space="0" w:color="auto"/>
              <w:right w:val="single" w:sz="4" w:space="0" w:color="auto"/>
            </w:tcBorders>
          </w:tcPr>
          <w:p/>
        </w:tc>
        <w:tc>
          <w:tcPr>
            <w:tcW w:w="900" w:type="dxa"/>
            <w:tcBorders>
              <w:top w:val="single" w:sz="4" w:space="0" w:color="auto"/>
              <w:left w:val="nil"/>
              <w:bottom w:val="single" w:sz="4" w:space="0" w:color="auto"/>
              <w:right w:val="single" w:sz="4" w:space="0" w:color="auto"/>
            </w:tcBorders>
          </w:tcPr>
          <w:p/>
        </w:tc>
        <w:tc>
          <w:tcPr>
            <w:tcW w:w="1401" w:type="dxa"/>
            <w:tcBorders>
              <w:top w:val="single" w:sz="4" w:space="0" w:color="auto"/>
              <w:left w:val="nil"/>
              <w:bottom w:val="single" w:sz="4" w:space="0" w:color="auto"/>
              <w:right w:val="single" w:sz="4" w:space="0" w:color="auto"/>
            </w:tcBorders>
          </w:tcPr>
          <w:p/>
        </w:tc>
        <w:tc>
          <w:tcPr>
            <w:tcW w:w="709" w:type="dxa"/>
            <w:tcBorders>
              <w:top w:val="single" w:sz="4" w:space="0" w:color="auto"/>
              <w:left w:val="nil"/>
              <w:bottom w:val="single" w:sz="4" w:space="0" w:color="auto"/>
              <w:right w:val="single" w:sz="4" w:space="0" w:color="auto"/>
            </w:tcBorders>
          </w:tcPr>
          <w:p/>
        </w:tc>
        <w:tc>
          <w:tcPr>
            <w:tcW w:w="992" w:type="dxa"/>
            <w:tcBorders>
              <w:top w:val="single" w:sz="4" w:space="0" w:color="auto"/>
              <w:left w:val="nil"/>
              <w:bottom w:val="single" w:sz="4" w:space="0" w:color="auto"/>
              <w:right w:val="single" w:sz="4" w:space="0" w:color="auto"/>
            </w:tcBorders>
          </w:tc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szCs w:val="21"/>
              </w:rPr>
            </w:pPr>
            <w:r>
              <w:rPr>
                <w:rFonts w:hint="eastAsia"/>
              </w:rPr>
              <w:t>2</w:t>
            </w:r>
          </w:p>
        </w:tc>
        <w:tc>
          <w:tcPr>
            <w:tcW w:w="1228" w:type="dxa"/>
            <w:tcBorders>
              <w:top w:val="single" w:sz="4" w:space="0" w:color="auto"/>
              <w:left w:val="nil"/>
              <w:bottom w:val="single" w:sz="4" w:space="0" w:color="auto"/>
              <w:right w:val="single" w:sz="4" w:space="0" w:color="auto"/>
            </w:tcBorders>
          </w:tcPr>
          <w:p/>
        </w:tc>
        <w:tc>
          <w:tcPr>
            <w:tcW w:w="1694" w:type="dxa"/>
            <w:tcBorders>
              <w:top w:val="single" w:sz="4" w:space="0" w:color="auto"/>
              <w:left w:val="nil"/>
              <w:bottom w:val="single" w:sz="4" w:space="0" w:color="auto"/>
              <w:right w:val="single" w:sz="4" w:space="0" w:color="auto"/>
            </w:tcBorders>
          </w:tcPr>
          <w:p/>
        </w:tc>
        <w:tc>
          <w:tcPr>
            <w:tcW w:w="900" w:type="dxa"/>
            <w:tcBorders>
              <w:top w:val="single" w:sz="4" w:space="0" w:color="auto"/>
              <w:left w:val="nil"/>
              <w:bottom w:val="single" w:sz="4" w:space="0" w:color="auto"/>
              <w:right w:val="single" w:sz="4" w:space="0" w:color="auto"/>
            </w:tcBorders>
          </w:tcPr>
          <w:p/>
        </w:tc>
        <w:tc>
          <w:tcPr>
            <w:tcW w:w="1401" w:type="dxa"/>
            <w:tcBorders>
              <w:top w:val="single" w:sz="4" w:space="0" w:color="auto"/>
              <w:left w:val="nil"/>
              <w:bottom w:val="single" w:sz="4" w:space="0" w:color="auto"/>
              <w:right w:val="single" w:sz="4" w:space="0" w:color="auto"/>
            </w:tcBorders>
          </w:tcPr>
          <w:p/>
        </w:tc>
        <w:tc>
          <w:tcPr>
            <w:tcW w:w="709" w:type="dxa"/>
            <w:tcBorders>
              <w:top w:val="single" w:sz="4" w:space="0" w:color="auto"/>
              <w:left w:val="nil"/>
              <w:bottom w:val="single" w:sz="4" w:space="0" w:color="auto"/>
              <w:right w:val="single" w:sz="4" w:space="0" w:color="auto"/>
            </w:tcBorders>
          </w:tcPr>
          <w:p/>
        </w:tc>
        <w:tc>
          <w:tcPr>
            <w:tcW w:w="992" w:type="dxa"/>
            <w:tcBorders>
              <w:top w:val="single" w:sz="4" w:space="0" w:color="auto"/>
              <w:left w:val="nil"/>
              <w:bottom w:val="single" w:sz="4" w:space="0" w:color="auto"/>
              <w:right w:val="single" w:sz="4" w:space="0" w:color="auto"/>
            </w:tcBorders>
          </w:tc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szCs w:val="21"/>
              </w:rPr>
            </w:pPr>
          </w:p>
        </w:tc>
        <w:tc>
          <w:tcPr>
            <w:tcW w:w="1228" w:type="dxa"/>
            <w:tcBorders>
              <w:top w:val="single" w:sz="4" w:space="0" w:color="auto"/>
              <w:left w:val="nil"/>
              <w:bottom w:val="single" w:sz="4" w:space="0" w:color="auto"/>
              <w:right w:val="single" w:sz="4" w:space="0" w:color="auto"/>
            </w:tcBorders>
          </w:tcPr>
          <w:p/>
        </w:tc>
        <w:tc>
          <w:tcPr>
            <w:tcW w:w="1694" w:type="dxa"/>
            <w:tcBorders>
              <w:top w:val="single" w:sz="4" w:space="0" w:color="auto"/>
              <w:left w:val="nil"/>
              <w:bottom w:val="single" w:sz="4" w:space="0" w:color="auto"/>
              <w:right w:val="single" w:sz="4" w:space="0" w:color="auto"/>
            </w:tcBorders>
          </w:tcPr>
          <w:p/>
        </w:tc>
        <w:tc>
          <w:tcPr>
            <w:tcW w:w="900" w:type="dxa"/>
            <w:tcBorders>
              <w:top w:val="single" w:sz="4" w:space="0" w:color="auto"/>
              <w:left w:val="nil"/>
              <w:bottom w:val="single" w:sz="4" w:space="0" w:color="auto"/>
              <w:right w:val="single" w:sz="4" w:space="0" w:color="auto"/>
            </w:tcBorders>
          </w:tcPr>
          <w:p/>
        </w:tc>
        <w:tc>
          <w:tcPr>
            <w:tcW w:w="1401" w:type="dxa"/>
            <w:tcBorders>
              <w:top w:val="single" w:sz="4" w:space="0" w:color="auto"/>
              <w:left w:val="nil"/>
              <w:bottom w:val="single" w:sz="4" w:space="0" w:color="auto"/>
              <w:right w:val="single" w:sz="4" w:space="0" w:color="auto"/>
            </w:tcBorders>
          </w:tcPr>
          <w:p/>
        </w:tc>
        <w:tc>
          <w:tcPr>
            <w:tcW w:w="709" w:type="dxa"/>
            <w:tcBorders>
              <w:top w:val="single" w:sz="4" w:space="0" w:color="auto"/>
              <w:left w:val="nil"/>
              <w:bottom w:val="single" w:sz="4" w:space="0" w:color="auto"/>
              <w:right w:val="single" w:sz="4" w:space="0" w:color="auto"/>
            </w:tcBorders>
          </w:tcPr>
          <w:p/>
        </w:tc>
        <w:tc>
          <w:tcPr>
            <w:tcW w:w="992" w:type="dxa"/>
            <w:tcBorders>
              <w:top w:val="single" w:sz="4" w:space="0" w:color="auto"/>
              <w:left w:val="nil"/>
              <w:bottom w:val="single" w:sz="4" w:space="0" w:color="auto"/>
              <w:right w:val="single" w:sz="4" w:space="0" w:color="auto"/>
            </w:tcBorders>
          </w:tc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szCs w:val="21"/>
              </w:rPr>
            </w:pPr>
          </w:p>
        </w:tc>
        <w:tc>
          <w:tcPr>
            <w:tcW w:w="1228" w:type="dxa"/>
            <w:tcBorders>
              <w:top w:val="single" w:sz="4" w:space="0" w:color="auto"/>
              <w:left w:val="nil"/>
              <w:bottom w:val="single" w:sz="4" w:space="0" w:color="auto"/>
              <w:right w:val="single" w:sz="4" w:space="0" w:color="auto"/>
            </w:tcBorders>
          </w:tcPr>
          <w:p/>
        </w:tc>
        <w:tc>
          <w:tcPr>
            <w:tcW w:w="1694" w:type="dxa"/>
            <w:tcBorders>
              <w:top w:val="single" w:sz="4" w:space="0" w:color="auto"/>
              <w:left w:val="nil"/>
              <w:bottom w:val="single" w:sz="4" w:space="0" w:color="auto"/>
              <w:right w:val="single" w:sz="4" w:space="0" w:color="auto"/>
            </w:tcBorders>
          </w:tcPr>
          <w:p/>
        </w:tc>
        <w:tc>
          <w:tcPr>
            <w:tcW w:w="900" w:type="dxa"/>
            <w:tcBorders>
              <w:top w:val="single" w:sz="4" w:space="0" w:color="auto"/>
              <w:left w:val="nil"/>
              <w:bottom w:val="single" w:sz="4" w:space="0" w:color="auto"/>
              <w:right w:val="single" w:sz="4" w:space="0" w:color="auto"/>
            </w:tcBorders>
          </w:tcPr>
          <w:p/>
        </w:tc>
        <w:tc>
          <w:tcPr>
            <w:tcW w:w="1401" w:type="dxa"/>
            <w:tcBorders>
              <w:top w:val="single" w:sz="4" w:space="0" w:color="auto"/>
              <w:left w:val="nil"/>
              <w:bottom w:val="single" w:sz="4" w:space="0" w:color="auto"/>
              <w:right w:val="single" w:sz="4" w:space="0" w:color="auto"/>
            </w:tcBorders>
          </w:tcPr>
          <w:p/>
        </w:tc>
        <w:tc>
          <w:tcPr>
            <w:tcW w:w="709" w:type="dxa"/>
            <w:tcBorders>
              <w:top w:val="single" w:sz="4" w:space="0" w:color="auto"/>
              <w:left w:val="nil"/>
              <w:bottom w:val="single" w:sz="4" w:space="0" w:color="auto"/>
              <w:right w:val="single" w:sz="4" w:space="0" w:color="auto"/>
            </w:tcBorders>
          </w:tcPr>
          <w:p/>
        </w:tc>
        <w:tc>
          <w:tcPr>
            <w:tcW w:w="992" w:type="dxa"/>
            <w:tcBorders>
              <w:top w:val="single" w:sz="4" w:space="0" w:color="auto"/>
              <w:left w:val="nil"/>
              <w:bottom w:val="single" w:sz="4" w:space="0" w:color="auto"/>
              <w:right w:val="single" w:sz="4" w:space="0" w:color="auto"/>
            </w:tcBorders>
          </w:tc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tc>
        <w:tc>
          <w:tcPr>
            <w:tcW w:w="1228" w:type="dxa"/>
            <w:tcBorders>
              <w:top w:val="single" w:sz="4" w:space="0" w:color="auto"/>
              <w:left w:val="nil"/>
              <w:bottom w:val="single" w:sz="4" w:space="0" w:color="auto"/>
              <w:right w:val="single" w:sz="4" w:space="0" w:color="auto"/>
            </w:tcBorders>
          </w:tcPr>
          <w:p/>
        </w:tc>
        <w:tc>
          <w:tcPr>
            <w:tcW w:w="1694" w:type="dxa"/>
            <w:tcBorders>
              <w:top w:val="single" w:sz="4" w:space="0" w:color="auto"/>
              <w:left w:val="nil"/>
              <w:bottom w:val="single" w:sz="4" w:space="0" w:color="auto"/>
              <w:right w:val="single" w:sz="4" w:space="0" w:color="auto"/>
            </w:tcBorders>
          </w:tcPr>
          <w:p/>
        </w:tc>
        <w:tc>
          <w:tcPr>
            <w:tcW w:w="900" w:type="dxa"/>
            <w:tcBorders>
              <w:top w:val="single" w:sz="4" w:space="0" w:color="auto"/>
              <w:left w:val="nil"/>
              <w:bottom w:val="single" w:sz="4" w:space="0" w:color="auto"/>
              <w:right w:val="single" w:sz="4" w:space="0" w:color="auto"/>
            </w:tcBorders>
          </w:tcPr>
          <w:p/>
        </w:tc>
        <w:tc>
          <w:tcPr>
            <w:tcW w:w="1401" w:type="dxa"/>
            <w:tcBorders>
              <w:top w:val="single" w:sz="4" w:space="0" w:color="auto"/>
              <w:left w:val="nil"/>
              <w:bottom w:val="single" w:sz="4" w:space="0" w:color="auto"/>
              <w:right w:val="single" w:sz="4" w:space="0" w:color="auto"/>
            </w:tcBorders>
          </w:tcPr>
          <w:p/>
        </w:tc>
        <w:tc>
          <w:tcPr>
            <w:tcW w:w="709" w:type="dxa"/>
            <w:tcBorders>
              <w:top w:val="single" w:sz="4" w:space="0" w:color="auto"/>
              <w:left w:val="nil"/>
              <w:bottom w:val="single" w:sz="4" w:space="0" w:color="auto"/>
              <w:right w:val="single" w:sz="4" w:space="0" w:color="auto"/>
            </w:tcBorders>
          </w:tcPr>
          <w:p/>
        </w:tc>
        <w:tc>
          <w:tcPr>
            <w:tcW w:w="992" w:type="dxa"/>
            <w:tcBorders>
              <w:top w:val="single" w:sz="4" w:space="0" w:color="auto"/>
              <w:left w:val="nil"/>
              <w:bottom w:val="single" w:sz="4" w:space="0" w:color="auto"/>
              <w:right w:val="single" w:sz="4" w:space="0" w:color="auto"/>
            </w:tcBorders>
          </w:tc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tc>
        <w:tc>
          <w:tcPr>
            <w:tcW w:w="1228" w:type="dxa"/>
            <w:tcBorders>
              <w:top w:val="single" w:sz="4" w:space="0" w:color="auto"/>
              <w:left w:val="nil"/>
              <w:bottom w:val="single" w:sz="4" w:space="0" w:color="auto"/>
              <w:right w:val="single" w:sz="4" w:space="0" w:color="auto"/>
            </w:tcBorders>
          </w:tcPr>
          <w:p/>
        </w:tc>
        <w:tc>
          <w:tcPr>
            <w:tcW w:w="1694" w:type="dxa"/>
            <w:tcBorders>
              <w:top w:val="single" w:sz="4" w:space="0" w:color="auto"/>
              <w:left w:val="nil"/>
              <w:bottom w:val="single" w:sz="4" w:space="0" w:color="auto"/>
              <w:right w:val="single" w:sz="4" w:space="0" w:color="auto"/>
            </w:tcBorders>
          </w:tcPr>
          <w:p/>
        </w:tc>
        <w:tc>
          <w:tcPr>
            <w:tcW w:w="900" w:type="dxa"/>
            <w:tcBorders>
              <w:top w:val="single" w:sz="4" w:space="0" w:color="auto"/>
              <w:left w:val="nil"/>
              <w:bottom w:val="single" w:sz="4" w:space="0" w:color="auto"/>
              <w:right w:val="single" w:sz="4" w:space="0" w:color="auto"/>
            </w:tcBorders>
          </w:tcPr>
          <w:p/>
        </w:tc>
        <w:tc>
          <w:tcPr>
            <w:tcW w:w="1401" w:type="dxa"/>
            <w:tcBorders>
              <w:top w:val="single" w:sz="4" w:space="0" w:color="auto"/>
              <w:left w:val="nil"/>
              <w:bottom w:val="single" w:sz="4" w:space="0" w:color="auto"/>
              <w:right w:val="single" w:sz="4" w:space="0" w:color="auto"/>
            </w:tcBorders>
          </w:tcPr>
          <w:p/>
        </w:tc>
        <w:tc>
          <w:tcPr>
            <w:tcW w:w="709" w:type="dxa"/>
            <w:tcBorders>
              <w:top w:val="single" w:sz="4" w:space="0" w:color="auto"/>
              <w:left w:val="nil"/>
              <w:bottom w:val="single" w:sz="4" w:space="0" w:color="auto"/>
              <w:right w:val="single" w:sz="4" w:space="0" w:color="auto"/>
            </w:tcBorders>
          </w:tcPr>
          <w:p/>
        </w:tc>
        <w:tc>
          <w:tcPr>
            <w:tcW w:w="992" w:type="dxa"/>
            <w:tcBorders>
              <w:top w:val="single" w:sz="4" w:space="0" w:color="auto"/>
              <w:left w:val="nil"/>
              <w:bottom w:val="single" w:sz="4" w:space="0" w:color="auto"/>
              <w:right w:val="single" w:sz="4" w:space="0" w:color="auto"/>
            </w:tcBorders>
          </w:tcPr>
          <w:p/>
        </w:tc>
      </w:tr>
    </w:tbl>
    <w:p>
      <w:pPr>
        <w:ind w:firstLine="480" w:firstLineChars="200"/>
        <w:rPr>
          <w:rFonts w:hAnsi="宋体"/>
          <w:b/>
          <w:bCs/>
        </w:rPr>
      </w:pPr>
      <w:r>
        <w:rPr>
          <w:rFonts w:hAnsi="宋体"/>
          <w:b/>
          <w:bCs/>
        </w:rPr>
        <w:t xml:space="preserve"> </w:t>
      </w:r>
    </w:p>
    <w:tbl>
      <w:tblPr>
        <w:tblStyle w:val="TableNormal"/>
        <w:tblW w:w="7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84"/>
        <w:gridCol w:w="2593"/>
        <w:gridCol w:w="1842"/>
        <w:gridCol w:w="2219"/>
      </w:tblGrid>
      <w:tr>
        <w:tblPrEx>
          <w:tblW w:w="7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11"/>
          <w:jc w:val="center"/>
        </w:trPr>
        <w:tc>
          <w:tcPr>
            <w:tcW w:w="1084" w:type="dxa"/>
            <w:tcBorders>
              <w:top w:val="single" w:sz="4" w:space="0" w:color="auto"/>
              <w:left w:val="single" w:sz="4" w:space="0" w:color="auto"/>
              <w:bottom w:val="single" w:sz="4" w:space="0" w:color="auto"/>
              <w:right w:val="single" w:sz="4" w:space="0" w:color="auto"/>
            </w:tcBorders>
          </w:tcPr>
          <w:p>
            <w:pPr>
              <w:jc w:val="center"/>
              <w:rPr>
                <w:szCs w:val="21"/>
              </w:rPr>
            </w:pPr>
            <w:r>
              <w:rPr>
                <w:rFonts w:hint="eastAsia"/>
              </w:rPr>
              <w:t>序号</w:t>
            </w:r>
          </w:p>
        </w:tc>
        <w:tc>
          <w:tcPr>
            <w:tcW w:w="2593" w:type="dxa"/>
            <w:tcBorders>
              <w:top w:val="single" w:sz="4" w:space="0" w:color="auto"/>
              <w:left w:val="nil"/>
              <w:bottom w:val="single" w:sz="4" w:space="0" w:color="auto"/>
              <w:right w:val="single" w:sz="4" w:space="0" w:color="auto"/>
            </w:tcBorders>
          </w:tcPr>
          <w:p>
            <w:pPr>
              <w:jc w:val="center"/>
            </w:pPr>
            <w:r>
              <w:rPr>
                <w:rFonts w:hint="eastAsia"/>
              </w:rPr>
              <w:t>服务名称</w:t>
            </w:r>
          </w:p>
        </w:tc>
        <w:tc>
          <w:tcPr>
            <w:tcW w:w="1842" w:type="dxa"/>
            <w:tcBorders>
              <w:top w:val="single" w:sz="4" w:space="0" w:color="auto"/>
              <w:left w:val="nil"/>
              <w:bottom w:val="single" w:sz="4" w:space="0" w:color="auto"/>
              <w:right w:val="single" w:sz="4" w:space="0" w:color="auto"/>
            </w:tcBorders>
          </w:tcPr>
          <w:p>
            <w:pPr>
              <w:jc w:val="center"/>
            </w:pPr>
            <w:r>
              <w:rPr>
                <w:rFonts w:hint="eastAsia"/>
              </w:rPr>
              <w:t>服务内容</w:t>
            </w:r>
          </w:p>
        </w:tc>
        <w:tc>
          <w:tcPr>
            <w:tcW w:w="2219" w:type="dxa"/>
            <w:tcBorders>
              <w:top w:val="single" w:sz="4" w:space="0" w:color="auto"/>
              <w:left w:val="nil"/>
              <w:bottom w:val="single" w:sz="4" w:space="0" w:color="auto"/>
              <w:right w:val="single" w:sz="4" w:space="0" w:color="auto"/>
            </w:tcBorders>
          </w:tcPr>
          <w:p>
            <w:pPr>
              <w:jc w:val="center"/>
            </w:pPr>
            <w:r>
              <w:rPr>
                <w:rFonts w:hint="eastAsia"/>
              </w:rPr>
              <w:t>价格（元）</w:t>
            </w:r>
          </w:p>
        </w:tc>
      </w:tr>
      <w:tr>
        <w:tblPrEx>
          <w:tblW w:w="7738" w:type="dxa"/>
          <w:jc w:val="center"/>
          <w:tblLayout w:type="fixed"/>
          <w:tblCellMar>
            <w:top w:w="0" w:type="dxa"/>
            <w:left w:w="108" w:type="dxa"/>
            <w:bottom w:w="0" w:type="dxa"/>
            <w:right w:w="108" w:type="dxa"/>
          </w:tblCellMar>
        </w:tblPrEx>
        <w:trPr>
          <w:trHeight w:val="311"/>
          <w:jc w:val="center"/>
        </w:trPr>
        <w:tc>
          <w:tcPr>
            <w:tcW w:w="1084" w:type="dxa"/>
            <w:tcBorders>
              <w:top w:val="single" w:sz="4" w:space="0" w:color="auto"/>
              <w:left w:val="single" w:sz="4" w:space="0" w:color="auto"/>
              <w:bottom w:val="single" w:sz="4" w:space="0" w:color="auto"/>
              <w:right w:val="single" w:sz="4" w:space="0" w:color="auto"/>
            </w:tcBorders>
          </w:tcPr>
          <w:p>
            <w:pPr>
              <w:ind w:right="-79" w:rightChars="-33"/>
              <w:jc w:val="center"/>
            </w:pPr>
            <w:r>
              <w:rPr>
                <w:rFonts w:hint="eastAsia"/>
              </w:rPr>
              <w:t>1</w:t>
            </w:r>
          </w:p>
        </w:tc>
        <w:tc>
          <w:tcPr>
            <w:tcW w:w="2593" w:type="dxa"/>
            <w:tcBorders>
              <w:top w:val="single" w:sz="4" w:space="0" w:color="auto"/>
              <w:left w:val="nil"/>
              <w:bottom w:val="single" w:sz="4" w:space="0" w:color="auto"/>
              <w:right w:val="single" w:sz="4" w:space="0" w:color="auto"/>
            </w:tcBorders>
          </w:tcPr>
          <w:p>
            <w:pPr>
              <w:jc w:val="center"/>
            </w:pPr>
            <w:r>
              <w:rPr>
                <w:rFonts w:hint="eastAsia"/>
              </w:rPr>
              <w:t>延续保修合同</w:t>
            </w:r>
          </w:p>
        </w:tc>
        <w:tc>
          <w:tcPr>
            <w:tcW w:w="1842" w:type="dxa"/>
            <w:tcBorders>
              <w:top w:val="single" w:sz="4" w:space="0" w:color="auto"/>
              <w:left w:val="nil"/>
              <w:bottom w:val="single" w:sz="4" w:space="0" w:color="auto"/>
              <w:right w:val="single" w:sz="4" w:space="0" w:color="auto"/>
            </w:tcBorders>
          </w:tcPr>
          <w:p>
            <w:pPr>
              <w:jc w:val="center"/>
              <w:rPr>
                <w:rFonts w:hAnsi="宋体"/>
                <w:b/>
                <w:bCs/>
              </w:rPr>
            </w:pPr>
          </w:p>
        </w:tc>
        <w:tc>
          <w:tcPr>
            <w:tcW w:w="2219" w:type="dxa"/>
            <w:tcBorders>
              <w:top w:val="single" w:sz="4" w:space="0" w:color="auto"/>
              <w:left w:val="nil"/>
              <w:bottom w:val="single" w:sz="4" w:space="0" w:color="auto"/>
              <w:right w:val="single" w:sz="4" w:space="0" w:color="auto"/>
            </w:tcBorders>
          </w:tcPr>
          <w:p>
            <w:pPr>
              <w:jc w:val="center"/>
              <w:rPr>
                <w:rFonts w:hAnsi="宋体"/>
                <w:b/>
                <w:bCs/>
              </w:rPr>
            </w:pPr>
          </w:p>
        </w:tc>
      </w:tr>
      <w:tr>
        <w:tblPrEx>
          <w:tblW w:w="7738" w:type="dxa"/>
          <w:jc w:val="center"/>
          <w:tblLayout w:type="fixed"/>
          <w:tblCellMar>
            <w:top w:w="0" w:type="dxa"/>
            <w:left w:w="108" w:type="dxa"/>
            <w:bottom w:w="0" w:type="dxa"/>
            <w:right w:w="108" w:type="dxa"/>
          </w:tblCellMar>
        </w:tblPrEx>
        <w:trPr>
          <w:trHeight w:val="304"/>
          <w:jc w:val="center"/>
        </w:trPr>
        <w:tc>
          <w:tcPr>
            <w:tcW w:w="1084" w:type="dxa"/>
            <w:tcBorders>
              <w:top w:val="single" w:sz="4" w:space="0" w:color="auto"/>
              <w:left w:val="single" w:sz="4" w:space="0" w:color="auto"/>
              <w:bottom w:val="single" w:sz="4" w:space="0" w:color="auto"/>
              <w:right w:val="single" w:sz="4" w:space="0" w:color="auto"/>
            </w:tcBorders>
          </w:tcPr>
          <w:p>
            <w:pPr>
              <w:ind w:right="-79" w:rightChars="-33"/>
              <w:jc w:val="center"/>
              <w:rPr>
                <w:szCs w:val="21"/>
              </w:rPr>
            </w:pPr>
          </w:p>
        </w:tc>
        <w:tc>
          <w:tcPr>
            <w:tcW w:w="2593" w:type="dxa"/>
            <w:tcBorders>
              <w:top w:val="single" w:sz="4" w:space="0" w:color="auto"/>
              <w:left w:val="nil"/>
              <w:bottom w:val="single" w:sz="4" w:space="0" w:color="auto"/>
              <w:right w:val="single" w:sz="4" w:space="0" w:color="auto"/>
            </w:tcBorders>
          </w:tcPr>
          <w:p>
            <w:pPr>
              <w:jc w:val="center"/>
            </w:pPr>
          </w:p>
        </w:tc>
        <w:tc>
          <w:tcPr>
            <w:tcW w:w="1842" w:type="dxa"/>
            <w:tcBorders>
              <w:top w:val="single" w:sz="4" w:space="0" w:color="auto"/>
              <w:left w:val="nil"/>
              <w:bottom w:val="single" w:sz="4" w:space="0" w:color="auto"/>
              <w:right w:val="single" w:sz="4" w:space="0" w:color="auto"/>
            </w:tcBorders>
          </w:tcPr>
          <w:p>
            <w:pPr>
              <w:jc w:val="center"/>
              <w:rPr>
                <w:rFonts w:hAnsi="宋体"/>
                <w:b/>
                <w:bCs/>
              </w:rPr>
            </w:pPr>
          </w:p>
        </w:tc>
        <w:tc>
          <w:tcPr>
            <w:tcW w:w="2219" w:type="dxa"/>
            <w:tcBorders>
              <w:top w:val="single" w:sz="4" w:space="0" w:color="auto"/>
              <w:left w:val="nil"/>
              <w:bottom w:val="single" w:sz="4" w:space="0" w:color="auto"/>
              <w:right w:val="single" w:sz="4" w:space="0" w:color="auto"/>
            </w:tcBorders>
          </w:tcPr>
          <w:p>
            <w:pPr>
              <w:jc w:val="center"/>
              <w:rPr>
                <w:rFonts w:hAnsi="宋体"/>
                <w:b/>
                <w:bCs/>
              </w:rPr>
            </w:pPr>
          </w:p>
        </w:tc>
      </w:tr>
    </w:tbl>
    <w:p>
      <w:pPr>
        <w:ind w:firstLine="480" w:firstLineChars="200"/>
        <w:rPr>
          <w:rFonts w:hAnsi="宋体"/>
          <w:b/>
          <w:bCs/>
        </w:rPr>
      </w:pPr>
      <w:r>
        <w:rPr>
          <w:rFonts w:hAnsi="宋体"/>
          <w:b/>
          <w:bCs/>
        </w:rPr>
        <w:t xml:space="preserve"> </w:t>
      </w:r>
    </w:p>
    <w:p>
      <w:pPr>
        <w:ind w:firstLine="480" w:firstLineChars="200"/>
        <w:rPr>
          <w:rFonts w:hAnsi="宋体"/>
          <w:b/>
          <w:bCs/>
        </w:rPr>
      </w:pPr>
    </w:p>
    <w:p>
      <w:pPr>
        <w:tabs>
          <w:tab w:val="left" w:pos="720"/>
        </w:tabs>
        <w:jc w:val="center"/>
        <w:rPr>
          <w:b/>
        </w:rPr>
      </w:pPr>
      <w:bookmarkStart w:id="68" w:name="_Hlk72073235"/>
      <w:r>
        <w:rPr>
          <w:rFonts w:eastAsia="宋体" w:hint="eastAsia"/>
          <w:b/>
        </w:rPr>
        <w:t>（四）</w:t>
      </w:r>
      <w:r>
        <w:rPr>
          <w:rFonts w:hint="eastAsia"/>
          <w:b/>
        </w:rPr>
        <w:t>投标人认为需要涉及的其他内容报价清单</w:t>
      </w:r>
      <w:bookmarkEnd w:id="68"/>
    </w:p>
    <w:p>
      <w:pPr>
        <w:tabs>
          <w:tab w:val="left" w:pos="720"/>
        </w:tabs>
        <w:jc w:val="center"/>
        <w:rPr>
          <w:rFonts w:eastAsia="宋体"/>
          <w:b/>
        </w:rPr>
      </w:pPr>
    </w:p>
    <w:p>
      <w:pPr>
        <w:tabs>
          <w:tab w:val="left" w:pos="720"/>
        </w:tabs>
        <w:jc w:val="center"/>
        <w:rPr>
          <w:rFonts w:eastAsia="宋体"/>
          <w:b/>
        </w:rPr>
      </w:pPr>
    </w:p>
    <w:p>
      <w:pPr>
        <w:pStyle w:val="a0"/>
      </w:pPr>
    </w:p>
    <w:p>
      <w:pPr>
        <w:pStyle w:val="Heading4"/>
        <w:jc w:val="center"/>
        <w:rPr>
          <w:rFonts w:ascii="黑体" w:hint="eastAsia"/>
          <w:b w:val="0"/>
          <w:sz w:val="24"/>
          <w:szCs w:val="24"/>
        </w:rPr>
      </w:pPr>
      <w:r>
        <w:rPr>
          <w:rFonts w:ascii="黑体" w:hint="eastAsia"/>
          <w:b w:val="0"/>
          <w:sz w:val="24"/>
          <w:szCs w:val="24"/>
          <w:lang w:val="en-US" w:eastAsia="zh-CN"/>
        </w:rPr>
        <w:t>五、同类业绩</w:t>
      </w:r>
    </w:p>
    <w:p>
      <w:pPr>
        <w:bidi w:val="0"/>
        <w:rPr>
          <w:rFonts w:hint="eastAsia"/>
        </w:rPr>
      </w:pPr>
    </w:p>
    <w:p>
      <w:pPr>
        <w:pStyle w:val="Heading4"/>
        <w:jc w:val="center"/>
        <w:rPr>
          <w:rFonts w:ascii="黑体" w:hint="eastAsia"/>
          <w:b w:val="0"/>
          <w:sz w:val="24"/>
          <w:szCs w:val="24"/>
        </w:rPr>
      </w:pPr>
      <w:r>
        <w:rPr>
          <w:rFonts w:ascii="黑体" w:hint="eastAsia"/>
          <w:b w:val="0"/>
          <w:sz w:val="24"/>
          <w:szCs w:val="24"/>
        </w:rPr>
        <w:t>六</w:t>
      </w:r>
      <w:r>
        <w:rPr>
          <w:rFonts w:ascii="黑体" w:hint="eastAsia"/>
          <w:b w:val="0"/>
          <w:sz w:val="24"/>
          <w:szCs w:val="24"/>
          <w:lang w:eastAsia="zh-CN"/>
        </w:rPr>
        <w:t>、</w:t>
      </w:r>
      <w:r>
        <w:rPr>
          <w:rFonts w:ascii="黑体" w:hint="eastAsia"/>
          <w:b w:val="0"/>
          <w:sz w:val="24"/>
          <w:szCs w:val="24"/>
        </w:rPr>
        <w:t>投标人认为信息公开部分需要加以说明的其他内容</w:t>
      </w:r>
    </w:p>
    <w:p>
      <w:pPr>
        <w:tabs>
          <w:tab w:val="left" w:pos="720"/>
        </w:tabs>
        <w:jc w:val="center"/>
        <w:rPr>
          <w:b/>
        </w:rPr>
      </w:pPr>
    </w:p>
    <w:p>
      <w:pPr>
        <w:rPr>
          <w:b/>
          <w:bCs/>
        </w:rPr>
      </w:pPr>
    </w:p>
    <w:p/>
    <w:p/>
    <w:p>
      <w:pPr>
        <w:ind w:firstLine="720" w:firstLineChars="300"/>
        <w:rPr>
          <w:b/>
          <w:color w:val="FF0000"/>
        </w:rPr>
      </w:pPr>
      <w:r>
        <w:rPr>
          <w:rFonts w:hint="eastAsia"/>
          <w:b/>
          <w:color w:val="FF0000"/>
        </w:rPr>
        <w:t>（信息公开部分的内容到此为止！以下为信息不公开部分。）</w:t>
      </w:r>
    </w:p>
    <w:p>
      <w:bookmarkEnd w:id="65"/>
      <w:r>
        <w:br w:type="page"/>
      </w:r>
    </w:p>
    <w:p>
      <w:pPr>
        <w:outlineLvl w:val="2"/>
        <w:rPr>
          <w:rFonts w:ascii="宋体" w:hAnsi="宋体"/>
          <w:b/>
          <w:color w:val="FF0000"/>
          <w:sz w:val="28"/>
          <w:szCs w:val="28"/>
        </w:rPr>
      </w:pPr>
      <w:bookmarkStart w:id="69" w:name="_Hlk72260530"/>
      <w:r>
        <w:rPr>
          <w:rFonts w:ascii="宋体" w:hAnsi="宋体" w:hint="eastAsia"/>
          <w:b/>
          <w:color w:val="FF0000"/>
          <w:sz w:val="28"/>
          <w:szCs w:val="28"/>
        </w:rPr>
        <w:t>投标文件附件（信息不公开部分）</w:t>
      </w:r>
    </w:p>
    <w:p>
      <w:pPr>
        <w:pStyle w:val="Heading4"/>
        <w:jc w:val="center"/>
        <w:rPr>
          <w:rFonts w:ascii="黑体"/>
          <w:b w:val="0"/>
          <w:sz w:val="24"/>
        </w:rPr>
      </w:pPr>
      <w:r>
        <w:rPr>
          <w:rFonts w:ascii="黑体" w:hint="eastAsia"/>
          <w:b w:val="0"/>
          <w:sz w:val="24"/>
        </w:rPr>
        <w:t>一、</w:t>
      </w:r>
      <w:bookmarkStart w:id="70" w:name="_Hlk72092499"/>
      <w:r>
        <w:rPr>
          <w:rFonts w:ascii="黑体" w:hint="eastAsia"/>
          <w:b w:val="0"/>
          <w:sz w:val="24"/>
        </w:rPr>
        <w:t>法定代表人（负责人）证明书</w:t>
      </w:r>
      <w:bookmarkEnd w:id="70"/>
    </w:p>
    <w:p/>
    <w:p>
      <w:pPr>
        <w:spacing w:line="360" w:lineRule="auto"/>
        <w:ind w:firstLine="480" w:firstLineChars="200"/>
        <w:rPr>
          <w:szCs w:val="21"/>
        </w:rPr>
      </w:pPr>
      <w:r>
        <w:rPr>
          <w:rFonts w:hint="eastAsia"/>
          <w:szCs w:val="21"/>
          <w:u w:val="single"/>
        </w:rPr>
        <w:t xml:space="preserve">                   </w:t>
      </w:r>
      <w:r>
        <w:rPr>
          <w:rFonts w:hint="eastAsia"/>
          <w:szCs w:val="21"/>
        </w:rPr>
        <w:t xml:space="preserve"> 同志，现任我单位</w:t>
      </w:r>
      <w:r>
        <w:rPr>
          <w:rFonts w:hint="eastAsia"/>
          <w:szCs w:val="21"/>
          <w:u w:val="single"/>
        </w:rPr>
        <w:t xml:space="preserve">                   </w:t>
      </w:r>
      <w:r>
        <w:rPr>
          <w:rFonts w:hint="eastAsia"/>
          <w:szCs w:val="21"/>
        </w:rPr>
        <w:t>职务，为法定代表人（负责人），特此证明。</w:t>
      </w:r>
    </w:p>
    <w:p>
      <w:pPr>
        <w:spacing w:line="360" w:lineRule="auto"/>
        <w:rPr>
          <w:szCs w:val="21"/>
        </w:rPr>
      </w:pPr>
    </w:p>
    <w:p>
      <w:pPr>
        <w:spacing w:line="360" w:lineRule="auto"/>
        <w:rPr>
          <w:szCs w:val="21"/>
        </w:rPr>
      </w:pPr>
      <w:r>
        <w:rPr>
          <w:rFonts w:hint="eastAsia"/>
          <w:szCs w:val="21"/>
        </w:rPr>
        <w:t>说明：1、法定代表人为投标人（企业事业单位、国家机关、社会团体）的主要行政负责人。</w:t>
      </w:r>
    </w:p>
    <w:p>
      <w:pPr>
        <w:rPr>
          <w:szCs w:val="21"/>
        </w:rPr>
      </w:pPr>
      <w:r>
        <w:rPr>
          <w:rFonts w:hint="eastAsia"/>
          <w:szCs w:val="21"/>
        </w:rPr>
        <w:t xml:space="preserve">      2、内容必须填写真实、清楚，涂改无效，不得转让、买卖。</w:t>
      </w:r>
    </w:p>
    <w:p/>
    <w:p>
      <w:pPr>
        <w:spacing w:line="360" w:lineRule="auto"/>
        <w:ind w:firstLine="480" w:firstLineChars="200"/>
        <w:rPr>
          <w:b/>
          <w:color w:val="FF0000"/>
          <w:szCs w:val="21"/>
        </w:rPr>
      </w:pPr>
      <w:r>
        <w:rPr>
          <w:rFonts w:hint="eastAsia"/>
          <w:b/>
          <w:color w:val="FF0000"/>
          <w:szCs w:val="21"/>
        </w:rPr>
        <w:t>附： 请提供法定代表人（负责人）身份证扫描件（正反两面）；港澳台居民可提供来往通行证扫描件；非中国国籍管辖范围人员，可提供公安部门认可的身份证明材料扫描件。</w:t>
      </w:r>
    </w:p>
    <w:p>
      <w:pPr>
        <w:rPr>
          <w:b/>
          <w:bCs/>
        </w:rPr>
      </w:pPr>
    </w:p>
    <w:p>
      <w:pPr>
        <w:rPr>
          <w:rFonts w:ascii="黑体" w:eastAsia="黑体"/>
        </w:rPr>
      </w:pPr>
      <w:r>
        <w:rPr>
          <w:rFonts w:ascii="黑体" w:eastAsia="黑体" w:hint="eastAsia"/>
        </w:rPr>
        <w:br w:type="page"/>
      </w:r>
    </w:p>
    <w:p>
      <w:pPr>
        <w:pStyle w:val="Heading4"/>
        <w:spacing w:before="120" w:after="120"/>
        <w:jc w:val="center"/>
        <w:rPr>
          <w:rFonts w:ascii="黑体"/>
          <w:b w:val="0"/>
          <w:sz w:val="24"/>
        </w:rPr>
      </w:pPr>
      <w:r>
        <w:rPr>
          <w:rFonts w:ascii="黑体" w:hint="eastAsia"/>
          <w:b w:val="0"/>
          <w:sz w:val="24"/>
        </w:rPr>
        <w:t>二、投标文件签署授权委托书</w:t>
      </w:r>
    </w:p>
    <w:p>
      <w:pPr>
        <w:spacing w:line="360" w:lineRule="auto"/>
        <w:ind w:firstLine="480" w:firstLineChars="200"/>
        <w:rPr>
          <w:szCs w:val="21"/>
        </w:rPr>
      </w:pPr>
      <w:r>
        <w:rPr>
          <w:rFonts w:hint="eastAsia"/>
          <w:szCs w:val="21"/>
        </w:rPr>
        <w:t>本授权委托书声明：我（姓名）</w:t>
      </w:r>
      <w:r>
        <w:rPr>
          <w:rFonts w:hint="eastAsia"/>
          <w:szCs w:val="21"/>
          <w:u w:val="single"/>
        </w:rPr>
        <w:t xml:space="preserve">                   </w:t>
      </w:r>
      <w:r>
        <w:rPr>
          <w:rFonts w:hint="eastAsia"/>
          <w:szCs w:val="21"/>
        </w:rPr>
        <w:t xml:space="preserve"> 系（投标人名称）</w:t>
      </w:r>
      <w:r>
        <w:rPr>
          <w:rFonts w:hint="eastAsia"/>
          <w:szCs w:val="21"/>
          <w:u w:val="single"/>
        </w:rPr>
        <w:t xml:space="preserve">                                    </w:t>
      </w:r>
      <w:r>
        <w:rPr>
          <w:rFonts w:hint="eastAsia"/>
          <w:szCs w:val="21"/>
        </w:rPr>
        <w:t xml:space="preserve">  的法定代表人（负责人），现授权委托（姓名）</w:t>
      </w:r>
      <w:r>
        <w:rPr>
          <w:szCs w:val="21"/>
          <w:u w:val="single"/>
        </w:rPr>
        <w:t xml:space="preserve">                   </w:t>
      </w:r>
      <w:r>
        <w:rPr>
          <w:rFonts w:hint="eastAsia"/>
          <w:szCs w:val="21"/>
        </w:rPr>
        <w:t>为我单位签署本项目已递交的投标文件的法定代表人（负责人）的授权委托代理人，代理人全权代表我所签署的本项目已递交的投标文件内容我均承认。</w:t>
      </w:r>
    </w:p>
    <w:p>
      <w:pPr>
        <w:pStyle w:val="NormalIndent"/>
        <w:spacing w:line="360" w:lineRule="auto"/>
        <w:rPr>
          <w:szCs w:val="21"/>
        </w:rPr>
      </w:pPr>
      <w:r>
        <w:rPr>
          <w:rFonts w:hint="eastAsia"/>
          <w:szCs w:val="21"/>
        </w:rPr>
        <w:t>代理人无转委托权，特此委托。</w:t>
      </w:r>
    </w:p>
    <w:p>
      <w:pPr>
        <w:pStyle w:val="NormalIndent"/>
        <w:spacing w:line="360" w:lineRule="auto"/>
        <w:rPr>
          <w:szCs w:val="21"/>
        </w:rPr>
      </w:pPr>
    </w:p>
    <w:p>
      <w:pPr>
        <w:pStyle w:val="NormalIndent"/>
        <w:spacing w:line="360" w:lineRule="auto"/>
        <w:ind w:left="617" w:firstLine="0" w:leftChars="257"/>
        <w:rPr>
          <w:szCs w:val="21"/>
        </w:rPr>
      </w:pPr>
      <w:r>
        <w:rPr>
          <w:rFonts w:hint="eastAsia"/>
          <w:szCs w:val="21"/>
        </w:rPr>
        <w:t>代理人：</w:t>
      </w:r>
      <w:r>
        <w:rPr>
          <w:rFonts w:hint="eastAsia"/>
          <w:szCs w:val="21"/>
          <w:u w:val="single"/>
        </w:rPr>
        <w:t xml:space="preserve">                                    </w:t>
      </w:r>
      <w:r>
        <w:rPr>
          <w:rFonts w:hint="eastAsia"/>
          <w:szCs w:val="21"/>
          <w:u w:val="single"/>
        </w:rPr>
        <w:tab/>
      </w:r>
      <w:r>
        <w:rPr>
          <w:rFonts w:hint="eastAsia"/>
          <w:szCs w:val="21"/>
          <w:u w:val="single"/>
        </w:rPr>
        <w:t xml:space="preserve">          </w:t>
      </w:r>
    </w:p>
    <w:p>
      <w:pPr>
        <w:spacing w:line="360" w:lineRule="auto"/>
        <w:ind w:left="617" w:leftChars="257"/>
        <w:rPr>
          <w:szCs w:val="21"/>
        </w:rPr>
      </w:pPr>
      <w:r>
        <w:rPr>
          <w:rFonts w:hint="eastAsia"/>
          <w:szCs w:val="21"/>
        </w:rPr>
        <w:t>联系电话：</w:t>
      </w:r>
      <w:r>
        <w:rPr>
          <w:rFonts w:hint="eastAsia"/>
          <w:szCs w:val="21"/>
          <w:u w:val="single"/>
        </w:rPr>
        <w:t xml:space="preserve">                                    </w:t>
      </w:r>
      <w:r>
        <w:rPr>
          <w:rFonts w:hint="eastAsia"/>
          <w:szCs w:val="21"/>
          <w:u w:val="single"/>
        </w:rPr>
        <w:tab/>
      </w:r>
      <w:r>
        <w:rPr>
          <w:rFonts w:hint="eastAsia"/>
          <w:szCs w:val="21"/>
        </w:rPr>
        <w:t xml:space="preserve">                邮箱：</w:t>
      </w:r>
      <w:r>
        <w:rPr>
          <w:rFonts w:hint="eastAsia"/>
          <w:szCs w:val="21"/>
          <w:u w:val="single"/>
        </w:rPr>
        <w:t xml:space="preserve">                                    </w:t>
      </w:r>
      <w:r>
        <w:rPr>
          <w:rFonts w:hint="eastAsia"/>
          <w:szCs w:val="21"/>
          <w:u w:val="single"/>
        </w:rPr>
        <w:tab/>
      </w:r>
    </w:p>
    <w:p>
      <w:pPr>
        <w:spacing w:line="360" w:lineRule="auto"/>
        <w:ind w:left="617" w:leftChars="257"/>
        <w:rPr>
          <w:szCs w:val="21"/>
          <w:u w:val="single"/>
        </w:rPr>
      </w:pPr>
      <w:r>
        <w:rPr>
          <w:rFonts w:hint="eastAsia"/>
          <w:szCs w:val="21"/>
        </w:rPr>
        <w:t>身份证号码：</w:t>
      </w:r>
      <w:r>
        <w:rPr>
          <w:rFonts w:hint="eastAsia"/>
          <w:szCs w:val="21"/>
          <w:u w:val="single"/>
        </w:rPr>
        <w:t xml:space="preserve">                                    </w:t>
      </w:r>
      <w:r>
        <w:rPr>
          <w:rFonts w:hint="eastAsia"/>
          <w:szCs w:val="21"/>
          <w:u w:val="single"/>
        </w:rPr>
        <w:tab/>
      </w:r>
      <w:r>
        <w:rPr>
          <w:rFonts w:hint="eastAsia"/>
          <w:szCs w:val="21"/>
        </w:rPr>
        <w:t xml:space="preserve">               职务：</w:t>
      </w:r>
      <w:r>
        <w:rPr>
          <w:rFonts w:hint="eastAsia"/>
          <w:szCs w:val="21"/>
          <w:u w:val="single"/>
        </w:rPr>
        <w:t xml:space="preserve">                                    </w:t>
      </w:r>
      <w:r>
        <w:rPr>
          <w:rFonts w:hint="eastAsia"/>
          <w:szCs w:val="21"/>
          <w:u w:val="single"/>
        </w:rPr>
        <w:tab/>
      </w:r>
    </w:p>
    <w:p>
      <w:pPr>
        <w:spacing w:line="360" w:lineRule="auto"/>
        <w:ind w:left="617" w:leftChars="257"/>
        <w:rPr>
          <w:szCs w:val="21"/>
        </w:rPr>
      </w:pPr>
      <w:r>
        <w:rPr>
          <w:rFonts w:hint="eastAsia"/>
          <w:szCs w:val="21"/>
        </w:rPr>
        <w:t>授权委托日期：</w:t>
      </w:r>
      <w:r>
        <w:rPr>
          <w:rFonts w:hint="eastAsia"/>
          <w:szCs w:val="21"/>
          <w:u w:val="single"/>
        </w:rPr>
        <w:t xml:space="preserve">             </w:t>
      </w:r>
      <w:r>
        <w:rPr>
          <w:rFonts w:hint="eastAsia"/>
          <w:szCs w:val="21"/>
        </w:rPr>
        <w:t xml:space="preserve"> 年</w:t>
      </w:r>
      <w:r>
        <w:rPr>
          <w:rFonts w:hint="eastAsia"/>
          <w:szCs w:val="21"/>
          <w:u w:val="single"/>
        </w:rPr>
        <w:t xml:space="preserve">        </w:t>
      </w:r>
      <w:r>
        <w:rPr>
          <w:rFonts w:hint="eastAsia"/>
          <w:szCs w:val="21"/>
          <w:u w:val="single"/>
        </w:rPr>
        <w:tab/>
      </w:r>
      <w:r>
        <w:rPr>
          <w:rFonts w:hint="eastAsia"/>
          <w:szCs w:val="21"/>
        </w:rPr>
        <w:t xml:space="preserve">月  </w:t>
      </w:r>
      <w:r>
        <w:rPr>
          <w:rFonts w:hint="eastAsia"/>
          <w:szCs w:val="21"/>
          <w:u w:val="single"/>
        </w:rPr>
        <w:t xml:space="preserve">             </w:t>
      </w:r>
      <w:r>
        <w:rPr>
          <w:rFonts w:hint="eastAsia"/>
          <w:szCs w:val="21"/>
          <w:u w:val="single"/>
        </w:rPr>
        <w:tab/>
      </w:r>
      <w:r>
        <w:rPr>
          <w:rFonts w:hint="eastAsia"/>
          <w:szCs w:val="21"/>
        </w:rPr>
        <w:t xml:space="preserve"> 日</w:t>
      </w:r>
    </w:p>
    <w:p/>
    <w:p>
      <w:pPr>
        <w:spacing w:line="360" w:lineRule="auto"/>
        <w:ind w:firstLine="480" w:firstLineChars="200"/>
        <w:rPr>
          <w:b/>
          <w:color w:val="FF0000"/>
          <w:szCs w:val="21"/>
        </w:rPr>
      </w:pPr>
      <w:r>
        <w:rPr>
          <w:rFonts w:hint="eastAsia"/>
          <w:b/>
          <w:color w:val="FF0000"/>
          <w:szCs w:val="21"/>
        </w:rPr>
        <w:t>附： 请提供代理人身份证扫描件（正反两面）；港澳台居民可提供来往通行证扫描件；非中国国籍管辖范围人员，可提供公安部门认可的身份证明材料扫描件。</w:t>
      </w:r>
    </w:p>
    <w:p>
      <w:pPr>
        <w:spacing w:line="360" w:lineRule="auto"/>
        <w:rPr>
          <w:b/>
          <w:szCs w:val="21"/>
        </w:rPr>
      </w:pPr>
    </w:p>
    <w:p>
      <w:pPr>
        <w:rPr>
          <w:rFonts w:ascii="黑体" w:eastAsia="黑体"/>
        </w:rPr>
      </w:pPr>
      <w:r>
        <w:rPr>
          <w:rFonts w:ascii="黑体" w:eastAsia="黑体" w:hint="eastAsia"/>
        </w:rPr>
        <w:br w:type="page"/>
      </w:r>
    </w:p>
    <w:p>
      <w:pPr>
        <w:pStyle w:val="Heading4"/>
        <w:jc w:val="center"/>
        <w:rPr>
          <w:rFonts w:ascii="黑体"/>
          <w:b w:val="0"/>
          <w:sz w:val="24"/>
          <w:szCs w:val="24"/>
        </w:rPr>
      </w:pPr>
      <w:r>
        <w:rPr>
          <w:rFonts w:ascii="黑体" w:hint="eastAsia"/>
          <w:b w:val="0"/>
          <w:sz w:val="24"/>
          <w:szCs w:val="24"/>
        </w:rPr>
        <w:t>三、</w:t>
      </w:r>
      <w:bookmarkStart w:id="71" w:name="_Hlk72092634"/>
      <w:r>
        <w:rPr>
          <w:rFonts w:ascii="黑体" w:hint="eastAsia"/>
          <w:b w:val="0"/>
          <w:sz w:val="24"/>
          <w:szCs w:val="24"/>
        </w:rPr>
        <w:t>实质性条款响应情况表</w:t>
      </w:r>
      <w:bookmarkEnd w:id="71"/>
    </w:p>
    <w:tbl>
      <w:tblPr>
        <w:tblStyle w:val="TableNormal"/>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96"/>
        <w:gridCol w:w="4400"/>
        <w:gridCol w:w="2084"/>
        <w:gridCol w:w="762"/>
        <w:gridCol w:w="580"/>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1"/>
        </w:trPr>
        <w:tc>
          <w:tcPr>
            <w:tcW w:w="696" w:type="dxa"/>
            <w:vAlign w:val="center"/>
          </w:tcPr>
          <w:p>
            <w:pPr>
              <w:adjustRightInd w:val="0"/>
              <w:snapToGrid w:val="0"/>
              <w:spacing w:line="360" w:lineRule="auto"/>
              <w:jc w:val="center"/>
              <w:rPr>
                <w:rFonts w:ascii="宋体" w:hAnsi="宋体"/>
                <w:szCs w:val="21"/>
              </w:rPr>
            </w:pPr>
            <w:bookmarkStart w:id="72" w:name="_Hlk72092651"/>
            <w:r>
              <w:rPr>
                <w:rFonts w:ascii="宋体" w:hAnsi="宋体" w:hint="eastAsia"/>
                <w:szCs w:val="21"/>
              </w:rPr>
              <w:t>序号</w:t>
            </w:r>
          </w:p>
        </w:tc>
        <w:tc>
          <w:tcPr>
            <w:tcW w:w="4400" w:type="dxa"/>
            <w:vAlign w:val="center"/>
          </w:tcPr>
          <w:p>
            <w:pPr>
              <w:adjustRightInd w:val="0"/>
              <w:snapToGrid w:val="0"/>
              <w:spacing w:line="360" w:lineRule="auto"/>
              <w:jc w:val="center"/>
              <w:rPr>
                <w:rFonts w:ascii="宋体" w:hAnsi="宋体"/>
                <w:szCs w:val="21"/>
              </w:rPr>
            </w:pPr>
            <w:r>
              <w:rPr>
                <w:rFonts w:ascii="宋体" w:hAnsi="宋体" w:hint="eastAsia"/>
                <w:szCs w:val="21"/>
              </w:rPr>
              <w:t>实质性条款具体内容</w:t>
            </w:r>
          </w:p>
        </w:tc>
        <w:tc>
          <w:tcPr>
            <w:tcW w:w="2084" w:type="dxa"/>
            <w:vAlign w:val="center"/>
          </w:tcPr>
          <w:p>
            <w:pPr>
              <w:adjustRightInd w:val="0"/>
              <w:snapToGrid w:val="0"/>
              <w:spacing w:line="360" w:lineRule="auto"/>
              <w:jc w:val="center"/>
              <w:rPr>
                <w:rFonts w:ascii="宋体" w:hAnsi="宋体"/>
                <w:szCs w:val="21"/>
              </w:rPr>
            </w:pPr>
            <w:r>
              <w:rPr>
                <w:rFonts w:hint="eastAsia"/>
              </w:rPr>
              <w:t>投标响应</w:t>
            </w:r>
          </w:p>
        </w:tc>
        <w:tc>
          <w:tcPr>
            <w:tcW w:w="762" w:type="dxa"/>
            <w:vAlign w:val="center"/>
          </w:tcPr>
          <w:p>
            <w:pPr>
              <w:adjustRightInd w:val="0"/>
              <w:snapToGrid w:val="0"/>
              <w:spacing w:line="360" w:lineRule="auto"/>
              <w:jc w:val="center"/>
              <w:rPr>
                <w:rFonts w:ascii="宋体" w:hAnsi="宋体"/>
                <w:szCs w:val="21"/>
              </w:rPr>
            </w:pPr>
            <w:r>
              <w:rPr>
                <w:rFonts w:hint="eastAsia"/>
              </w:rPr>
              <w:t>偏离情况</w:t>
            </w:r>
          </w:p>
        </w:tc>
        <w:tc>
          <w:tcPr>
            <w:tcW w:w="580" w:type="dxa"/>
            <w:vAlign w:val="center"/>
          </w:tcPr>
          <w:p>
            <w:pPr>
              <w:adjustRightInd w:val="0"/>
              <w:snapToGrid w:val="0"/>
              <w:spacing w:line="360" w:lineRule="auto"/>
              <w:jc w:val="center"/>
              <w:rPr>
                <w:rFonts w:ascii="宋体" w:hAnsi="宋体"/>
                <w:szCs w:val="21"/>
              </w:rPr>
            </w:pPr>
            <w:r>
              <w:rPr>
                <w:rFonts w:hint="eastAsia"/>
              </w:rPr>
              <w:t>说明</w:t>
            </w:r>
          </w:p>
        </w:tc>
      </w:tr>
      <w:tr>
        <w:tblPrEx>
          <w:tblW w:w="8522" w:type="dxa"/>
          <w:tblInd w:w="0" w:type="dxa"/>
          <w:tblLayout w:type="fixed"/>
          <w:tblCellMar>
            <w:top w:w="0" w:type="dxa"/>
            <w:left w:w="108" w:type="dxa"/>
            <w:bottom w:w="0" w:type="dxa"/>
            <w:right w:w="108" w:type="dxa"/>
          </w:tblCellMar>
        </w:tblPrEx>
        <w:tc>
          <w:tcPr>
            <w:tcW w:w="696" w:type="dxa"/>
            <w:vAlign w:val="center"/>
          </w:tcPr>
          <w:p>
            <w:pPr>
              <w:adjustRightInd w:val="0"/>
              <w:snapToGrid w:val="0"/>
              <w:spacing w:line="360" w:lineRule="auto"/>
              <w:jc w:val="center"/>
              <w:rPr>
                <w:rFonts w:ascii="宋体" w:hAnsi="宋体"/>
                <w:szCs w:val="21"/>
              </w:rPr>
            </w:pPr>
            <w:bookmarkEnd w:id="72"/>
            <w:r>
              <w:rPr>
                <w:rFonts w:ascii="宋体" w:hAnsi="宋体" w:hint="eastAsia"/>
                <w:szCs w:val="21"/>
              </w:rPr>
              <w:t>1</w:t>
            </w:r>
          </w:p>
        </w:tc>
        <w:tc>
          <w:tcPr>
            <w:tcW w:w="4400" w:type="dxa"/>
            <w:vAlign w:val="top"/>
          </w:tcPr>
          <w:p>
            <w:pPr>
              <w:adjustRightInd w:val="0"/>
              <w:snapToGrid w:val="0"/>
              <w:spacing w:line="360" w:lineRule="auto"/>
              <w:rPr>
                <w:rFonts w:hAnsi="宋体"/>
                <w:color w:val="4F81BD" w:themeColor="accent1"/>
                <w:szCs w:val="21"/>
              </w:rPr>
            </w:pPr>
            <w:r>
              <w:rPr>
                <w:rFonts w:hAnsi="宋体" w:hint="eastAsia"/>
                <w:szCs w:val="21"/>
              </w:rPr>
              <w:t>投标文件载明的交货期不超过招标文件规定的期限</w:t>
            </w:r>
          </w:p>
        </w:tc>
        <w:tc>
          <w:tcPr>
            <w:tcW w:w="2084" w:type="dxa"/>
          </w:tcPr>
          <w:p>
            <w:pPr>
              <w:adjustRightInd w:val="0"/>
              <w:snapToGrid w:val="0"/>
              <w:spacing w:line="360" w:lineRule="auto"/>
              <w:rPr>
                <w:rFonts w:ascii="宋体" w:hAnsi="宋体"/>
                <w:szCs w:val="21"/>
              </w:rPr>
            </w:pPr>
          </w:p>
        </w:tc>
        <w:tc>
          <w:tcPr>
            <w:tcW w:w="762" w:type="dxa"/>
          </w:tcPr>
          <w:p>
            <w:pPr>
              <w:adjustRightInd w:val="0"/>
              <w:snapToGrid w:val="0"/>
              <w:spacing w:line="360" w:lineRule="auto"/>
              <w:rPr>
                <w:rFonts w:ascii="宋体" w:hAnsi="宋体"/>
                <w:szCs w:val="21"/>
              </w:rPr>
            </w:pPr>
          </w:p>
        </w:tc>
        <w:tc>
          <w:tcPr>
            <w:tcW w:w="580" w:type="dxa"/>
          </w:tcPr>
          <w:p>
            <w:pPr>
              <w:adjustRightInd w:val="0"/>
              <w:snapToGrid w:val="0"/>
              <w:spacing w:line="360" w:lineRule="auto"/>
              <w:rPr>
                <w:rFonts w:ascii="宋体" w:hAnsi="宋体"/>
                <w:szCs w:val="21"/>
              </w:rPr>
            </w:pPr>
          </w:p>
        </w:tc>
      </w:tr>
      <w:tr>
        <w:tblPrEx>
          <w:tblW w:w="8522" w:type="dxa"/>
          <w:tblInd w:w="0" w:type="dxa"/>
          <w:tblLayout w:type="fixed"/>
          <w:tblCellMar>
            <w:top w:w="0" w:type="dxa"/>
            <w:left w:w="108" w:type="dxa"/>
            <w:bottom w:w="0" w:type="dxa"/>
            <w:right w:w="108" w:type="dxa"/>
          </w:tblCellMar>
        </w:tblPrEx>
        <w:tc>
          <w:tcPr>
            <w:tcW w:w="696" w:type="dxa"/>
            <w:vAlign w:val="center"/>
          </w:tcPr>
          <w:p>
            <w:pPr>
              <w:adjustRightInd w:val="0"/>
              <w:snapToGrid w:val="0"/>
              <w:spacing w:line="360" w:lineRule="auto"/>
              <w:jc w:val="center"/>
              <w:rPr>
                <w:rFonts w:ascii="宋体" w:hAnsi="宋体"/>
                <w:szCs w:val="21"/>
              </w:rPr>
            </w:pPr>
            <w:r>
              <w:rPr>
                <w:rFonts w:ascii="宋体" w:hAnsi="宋体" w:hint="eastAsia"/>
                <w:szCs w:val="21"/>
              </w:rPr>
              <w:t>2</w:t>
            </w:r>
          </w:p>
        </w:tc>
        <w:tc>
          <w:tcPr>
            <w:tcW w:w="4400" w:type="dxa"/>
            <w:vAlign w:val="top"/>
          </w:tcPr>
          <w:p>
            <w:pPr>
              <w:adjustRightInd w:val="0"/>
              <w:snapToGrid w:val="0"/>
              <w:spacing w:line="360" w:lineRule="auto"/>
              <w:rPr>
                <w:rFonts w:hAnsi="宋体"/>
                <w:color w:val="4F81BD" w:themeColor="accent1"/>
                <w:szCs w:val="21"/>
              </w:rPr>
            </w:pPr>
            <w:r>
              <w:rPr>
                <w:rFonts w:hAnsi="宋体" w:hint="eastAsia"/>
                <w:szCs w:val="21"/>
              </w:rPr>
              <w:t>投标文件载明的免费保修期不低于招标文件规定的期限</w:t>
            </w:r>
          </w:p>
        </w:tc>
        <w:tc>
          <w:tcPr>
            <w:tcW w:w="2084" w:type="dxa"/>
          </w:tcPr>
          <w:p>
            <w:pPr>
              <w:adjustRightInd w:val="0"/>
              <w:snapToGrid w:val="0"/>
              <w:spacing w:line="360" w:lineRule="auto"/>
              <w:rPr>
                <w:rFonts w:ascii="宋体" w:hAnsi="宋体"/>
                <w:szCs w:val="21"/>
              </w:rPr>
            </w:pPr>
          </w:p>
        </w:tc>
        <w:tc>
          <w:tcPr>
            <w:tcW w:w="762" w:type="dxa"/>
          </w:tcPr>
          <w:p>
            <w:pPr>
              <w:adjustRightInd w:val="0"/>
              <w:snapToGrid w:val="0"/>
              <w:spacing w:line="360" w:lineRule="auto"/>
              <w:rPr>
                <w:rFonts w:ascii="宋体" w:hAnsi="宋体"/>
                <w:szCs w:val="21"/>
              </w:rPr>
            </w:pPr>
          </w:p>
        </w:tc>
        <w:tc>
          <w:tcPr>
            <w:tcW w:w="580" w:type="dxa"/>
          </w:tcPr>
          <w:p>
            <w:pPr>
              <w:adjustRightInd w:val="0"/>
              <w:snapToGrid w:val="0"/>
              <w:spacing w:line="360" w:lineRule="auto"/>
              <w:rPr>
                <w:rFonts w:ascii="宋体" w:hAnsi="宋体"/>
                <w:szCs w:val="21"/>
              </w:rPr>
            </w:pPr>
          </w:p>
        </w:tc>
      </w:tr>
      <w:tr>
        <w:tblPrEx>
          <w:tblW w:w="8522" w:type="dxa"/>
          <w:tblInd w:w="0" w:type="dxa"/>
          <w:tblLayout w:type="fixed"/>
          <w:tblCellMar>
            <w:top w:w="0" w:type="dxa"/>
            <w:left w:w="108" w:type="dxa"/>
            <w:bottom w:w="0" w:type="dxa"/>
            <w:right w:w="108" w:type="dxa"/>
          </w:tblCellMar>
        </w:tblPrEx>
        <w:tc>
          <w:tcPr>
            <w:tcW w:w="696" w:type="dxa"/>
            <w:vAlign w:val="center"/>
          </w:tcPr>
          <w:p>
            <w:pPr>
              <w:adjustRightInd w:val="0"/>
              <w:snapToGrid w:val="0"/>
              <w:spacing w:line="360" w:lineRule="auto"/>
              <w:jc w:val="center"/>
              <w:rPr>
                <w:rFonts w:ascii="宋体" w:hAnsi="宋体"/>
                <w:szCs w:val="21"/>
              </w:rPr>
            </w:pPr>
            <w:r>
              <w:rPr>
                <w:rFonts w:ascii="宋体" w:hAnsi="宋体" w:hint="eastAsia"/>
                <w:szCs w:val="21"/>
              </w:rPr>
              <w:t>3</w:t>
            </w:r>
          </w:p>
        </w:tc>
        <w:tc>
          <w:tcPr>
            <w:tcW w:w="4400" w:type="dxa"/>
            <w:vAlign w:val="top"/>
          </w:tcPr>
          <w:p>
            <w:pPr>
              <w:adjustRightInd w:val="0"/>
              <w:snapToGrid w:val="0"/>
              <w:spacing w:line="360" w:lineRule="auto"/>
              <w:rPr>
                <w:rFonts w:hAnsi="宋体"/>
                <w:color w:val="4F81BD" w:themeColor="accent1"/>
                <w:szCs w:val="21"/>
              </w:rPr>
            </w:pPr>
            <w:r>
              <w:rPr>
                <w:rFonts w:hAnsi="宋体" w:hint="eastAsia"/>
                <w:szCs w:val="21"/>
              </w:rPr>
              <w:t>具体技术要求、商务需求中带“★”要求</w:t>
            </w:r>
          </w:p>
        </w:tc>
        <w:tc>
          <w:tcPr>
            <w:tcW w:w="2084" w:type="dxa"/>
          </w:tcPr>
          <w:p>
            <w:pPr>
              <w:adjustRightInd w:val="0"/>
              <w:snapToGrid w:val="0"/>
              <w:spacing w:line="360" w:lineRule="auto"/>
              <w:rPr>
                <w:rFonts w:ascii="宋体" w:hAnsi="宋体"/>
                <w:szCs w:val="21"/>
              </w:rPr>
            </w:pPr>
          </w:p>
        </w:tc>
        <w:tc>
          <w:tcPr>
            <w:tcW w:w="762" w:type="dxa"/>
          </w:tcPr>
          <w:p>
            <w:pPr>
              <w:adjustRightInd w:val="0"/>
              <w:snapToGrid w:val="0"/>
              <w:spacing w:line="360" w:lineRule="auto"/>
              <w:rPr>
                <w:rFonts w:ascii="宋体" w:hAnsi="宋体"/>
                <w:szCs w:val="21"/>
              </w:rPr>
            </w:pPr>
          </w:p>
        </w:tc>
        <w:tc>
          <w:tcPr>
            <w:tcW w:w="580" w:type="dxa"/>
          </w:tcPr>
          <w:p>
            <w:pPr>
              <w:adjustRightInd w:val="0"/>
              <w:snapToGrid w:val="0"/>
              <w:spacing w:line="360" w:lineRule="auto"/>
              <w:rPr>
                <w:rFonts w:ascii="宋体" w:hAnsi="宋体"/>
                <w:szCs w:val="21"/>
              </w:rPr>
            </w:pPr>
          </w:p>
        </w:tc>
      </w:tr>
    </w:tbl>
    <w:p>
      <w:pPr>
        <w:ind w:firstLine="480" w:firstLineChars="200"/>
        <w:rPr>
          <w:b/>
          <w:szCs w:val="22"/>
        </w:rPr>
      </w:pPr>
    </w:p>
    <w:p>
      <w:pPr>
        <w:ind w:firstLine="480" w:firstLineChars="200"/>
        <w:rPr>
          <w:b/>
          <w:szCs w:val="22"/>
        </w:rPr>
      </w:pPr>
      <w:r>
        <w:rPr>
          <w:rFonts w:hint="eastAsia"/>
          <w:b/>
          <w:szCs w:val="22"/>
        </w:rPr>
        <w:t>注：1. 上表所列各项均为不可负偏离条款。</w:t>
      </w:r>
    </w:p>
    <w:p>
      <w:pPr>
        <w:ind w:firstLine="480" w:firstLineChars="200"/>
        <w:rPr>
          <w:b/>
          <w:szCs w:val="22"/>
        </w:rPr>
      </w:pPr>
      <w:r>
        <w:rPr>
          <w:rFonts w:hint="eastAsia"/>
          <w:b/>
          <w:szCs w:val="22"/>
        </w:rPr>
        <w:t>2.“投标响应”一栏应当详细填写投标人自身响应情况，而不能不合理照搬照抄招实质性条款具体内容。</w:t>
      </w:r>
    </w:p>
    <w:p>
      <w:pPr>
        <w:ind w:firstLine="480" w:firstLineChars="200"/>
        <w:rPr>
          <w:b/>
          <w:szCs w:val="22"/>
        </w:rPr>
      </w:pPr>
      <w:r>
        <w:rPr>
          <w:rFonts w:hint="eastAsia"/>
          <w:b/>
          <w:szCs w:val="22"/>
        </w:rPr>
        <w:t>3</w:t>
      </w:r>
      <w:r>
        <w:rPr>
          <w:b/>
          <w:szCs w:val="22"/>
        </w:rPr>
        <w:t>.</w:t>
      </w:r>
      <w:r>
        <w:rPr>
          <w:rFonts w:hint="eastAsia"/>
          <w:b/>
          <w:szCs w:val="22"/>
        </w:rPr>
        <w:t>“偏离情况”一栏应填写“正偏离”、“负偏离”或“无偏离”，</w:t>
      </w:r>
      <w:r>
        <w:rPr>
          <w:rFonts w:hint="eastAsia"/>
          <w:b/>
        </w:rPr>
        <w:t>“正偏离”表示“投标响应优于实质性条款具体内容要求”，“负偏离”表示“投标响应不满足实质性条款具体内容要求”，“无偏离”表示“投标响应与实质性条款具体内容要求一致”。</w:t>
      </w:r>
    </w:p>
    <w:p>
      <w:pPr>
        <w:ind w:firstLine="480" w:firstLineChars="200"/>
        <w:rPr>
          <w:b/>
        </w:rPr>
      </w:pPr>
      <w:r>
        <w:rPr>
          <w:b/>
        </w:rPr>
        <w:t>4.</w:t>
      </w:r>
      <w:r>
        <w:rPr>
          <w:rFonts w:hint="eastAsia"/>
          <w:b/>
        </w:rPr>
        <w:t>评审委员会有权对投标响应情况作出判断（作出评审结论）。</w:t>
      </w:r>
    </w:p>
    <w:p>
      <w:pPr>
        <w:ind w:firstLine="480" w:firstLineChars="200"/>
        <w:rPr>
          <w:b/>
          <w:szCs w:val="22"/>
        </w:rPr>
      </w:pPr>
      <w:r>
        <w:rPr>
          <w:b/>
          <w:szCs w:val="22"/>
        </w:rPr>
        <w:t>5</w:t>
      </w:r>
      <w:r>
        <w:rPr>
          <w:rFonts w:hint="eastAsia"/>
          <w:b/>
          <w:szCs w:val="22"/>
        </w:rPr>
        <w:t>.实质性响应条款“投标响应情况”与投标文件其它内容冲突的，以实质性响应条款“投标响应情况”为准。</w:t>
      </w:r>
      <w:bookmarkEnd w:id="69"/>
    </w:p>
    <w:p/>
    <w:p>
      <w:pPr>
        <w:rPr>
          <w:rFonts w:ascii="黑体" w:eastAsia="黑体"/>
        </w:rPr>
      </w:pPr>
      <w:r>
        <w:rPr>
          <w:rFonts w:ascii="黑体" w:eastAsia="黑体" w:hint="eastAsia"/>
        </w:rPr>
        <w:br w:type="page"/>
      </w:r>
    </w:p>
    <w:p>
      <w:pPr>
        <w:pStyle w:val="Heading4"/>
        <w:jc w:val="center"/>
      </w:pPr>
      <w:r>
        <w:rPr>
          <w:rFonts w:ascii="黑体" w:hint="eastAsia"/>
          <w:b w:val="0"/>
          <w:sz w:val="24"/>
          <w:szCs w:val="24"/>
        </w:rPr>
        <w:t>四、技术要求偏离表</w:t>
      </w:r>
    </w:p>
    <w:tbl>
      <w:tblPr>
        <w:tblStyle w:val="TableNormal"/>
        <w:tblW w:w="8520" w:type="dxa"/>
        <w:tblInd w:w="0" w:type="dxa"/>
        <w:tblLayout w:type="fixed"/>
        <w:tblCellMar>
          <w:top w:w="0" w:type="dxa"/>
          <w:left w:w="108" w:type="dxa"/>
          <w:bottom w:w="0" w:type="dxa"/>
          <w:right w:w="108" w:type="dxa"/>
        </w:tblCellMar>
      </w:tblPr>
      <w:tblGrid>
        <w:gridCol w:w="589"/>
        <w:gridCol w:w="787"/>
        <w:gridCol w:w="3300"/>
        <w:gridCol w:w="1800"/>
        <w:gridCol w:w="1275"/>
        <w:gridCol w:w="769"/>
      </w:tblGrid>
      <w:tr>
        <w:tblPrEx>
          <w:tblW w:w="8520" w:type="dxa"/>
          <w:tblInd w:w="0" w:type="dxa"/>
          <w:tblLayout w:type="fixed"/>
          <w:tblCellMar>
            <w:top w:w="0" w:type="dxa"/>
            <w:left w:w="108" w:type="dxa"/>
            <w:bottom w:w="0" w:type="dxa"/>
            <w:right w:w="108" w:type="dxa"/>
          </w:tblCellMar>
        </w:tblPrEx>
        <w:trPr>
          <w:trHeight w:val="450"/>
        </w:trPr>
        <w:tc>
          <w:tcPr>
            <w:tcW w:w="589"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eastAsia="宋体" w:hAnsi="宋体" w:cs="宋体" w:hint="eastAsia"/>
                <w:b/>
                <w:bCs/>
                <w:sz w:val="24"/>
                <w:szCs w:val="24"/>
              </w:rPr>
            </w:pPr>
            <w:bookmarkStart w:id="73" w:name="_Hlk72095977"/>
            <w:r>
              <w:rPr>
                <w:rFonts w:hint="eastAsia"/>
                <w:b/>
                <w:bCs/>
              </w:rPr>
              <w:t>序号</w:t>
            </w:r>
          </w:p>
        </w:tc>
        <w:tc>
          <w:tcPr>
            <w:tcW w:w="78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eastAsia="宋体" w:hAnsi="宋体" w:cs="宋体" w:hint="eastAsia"/>
                <w:b/>
                <w:bCs/>
                <w:sz w:val="24"/>
                <w:szCs w:val="24"/>
              </w:rPr>
            </w:pPr>
            <w:r>
              <w:rPr>
                <w:rFonts w:hint="eastAsia"/>
                <w:b/>
                <w:bCs/>
              </w:rPr>
              <w:t>货物名称</w:t>
            </w:r>
          </w:p>
        </w:tc>
        <w:tc>
          <w:tcPr>
            <w:tcW w:w="3300" w:type="dxa"/>
            <w:tcBorders>
              <w:top w:val="single" w:sz="4" w:space="0" w:color="auto"/>
              <w:left w:val="nil"/>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eastAsia="宋体" w:hAnsi="宋体" w:cs="宋体" w:hint="eastAsia"/>
                <w:b/>
                <w:bCs/>
                <w:sz w:val="24"/>
                <w:szCs w:val="24"/>
              </w:rPr>
            </w:pPr>
            <w:r>
              <w:rPr>
                <w:rFonts w:hint="eastAsia"/>
                <w:b/>
                <w:bCs/>
              </w:rPr>
              <w:t>招标技术要求</w:t>
            </w:r>
          </w:p>
        </w:tc>
        <w:tc>
          <w:tcPr>
            <w:tcW w:w="1800" w:type="dxa"/>
            <w:tcBorders>
              <w:top w:val="single" w:sz="4" w:space="0" w:color="auto"/>
              <w:left w:val="nil"/>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eastAsia="宋体" w:hAnsi="宋体" w:cs="宋体" w:hint="eastAsia"/>
                <w:b/>
                <w:bCs/>
                <w:sz w:val="24"/>
                <w:szCs w:val="24"/>
              </w:rPr>
            </w:pPr>
            <w:r>
              <w:rPr>
                <w:rFonts w:hint="eastAsia"/>
                <w:b/>
                <w:bCs/>
              </w:rPr>
              <w:t>投标技术响应</w:t>
            </w:r>
          </w:p>
        </w:tc>
        <w:tc>
          <w:tcPr>
            <w:tcW w:w="1275" w:type="dxa"/>
            <w:tcBorders>
              <w:top w:val="single" w:sz="4" w:space="0" w:color="auto"/>
              <w:left w:val="nil"/>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eastAsia="宋体" w:hAnsi="宋体" w:cs="宋体" w:hint="eastAsia"/>
                <w:b/>
                <w:bCs/>
                <w:sz w:val="24"/>
                <w:szCs w:val="24"/>
              </w:rPr>
            </w:pPr>
            <w:r>
              <w:rPr>
                <w:rFonts w:hint="eastAsia"/>
                <w:b/>
                <w:bCs/>
              </w:rPr>
              <w:t>偏离情况</w:t>
            </w:r>
          </w:p>
        </w:tc>
        <w:tc>
          <w:tcPr>
            <w:tcW w:w="769" w:type="dxa"/>
            <w:tcBorders>
              <w:top w:val="single" w:sz="4" w:space="0" w:color="auto"/>
              <w:left w:val="nil"/>
              <w:bottom w:val="single" w:sz="4" w:space="0" w:color="auto"/>
              <w:right w:val="single" w:sz="4" w:space="0" w:color="auto"/>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eastAsia="宋体" w:hAnsi="宋体" w:cs="宋体" w:hint="eastAsia"/>
                <w:b/>
                <w:bCs/>
                <w:sz w:val="24"/>
                <w:szCs w:val="24"/>
              </w:rPr>
            </w:pPr>
            <w:r>
              <w:rPr>
                <w:rFonts w:hint="eastAsia"/>
                <w:b/>
                <w:bCs/>
              </w:rPr>
              <w:t>说明</w:t>
            </w:r>
          </w:p>
        </w:tc>
      </w:tr>
      <w:tr>
        <w:tblPrEx>
          <w:tblW w:w="8520" w:type="dxa"/>
          <w:tblInd w:w="0" w:type="dxa"/>
          <w:tblLayout w:type="fixed"/>
          <w:tblCellMar>
            <w:top w:w="0" w:type="dxa"/>
            <w:left w:w="108" w:type="dxa"/>
            <w:bottom w:w="0" w:type="dxa"/>
            <w:right w:w="108" w:type="dxa"/>
          </w:tblCellMar>
        </w:tblPrEx>
        <w:trPr>
          <w:trHeight w:val="343"/>
        </w:trPr>
        <w:tc>
          <w:tcPr>
            <w:tcW w:w="589" w:type="dxa"/>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highlight w:val="none"/>
              </w:rPr>
              <w:t>★1</w:t>
            </w:r>
          </w:p>
        </w:tc>
        <w:tc>
          <w:tcPr>
            <w:tcW w:w="4087" w:type="dxa"/>
            <w:gridSpan w:val="2"/>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为保证产品的兼容性、可持续升级性、及售后服务的优质性，达到最佳的使用效果，要求本项目配置清单中产品为同一品牌厂家生产。</w:t>
            </w:r>
          </w:p>
        </w:tc>
        <w:tc>
          <w:tcPr>
            <w:tcW w:w="1800" w:type="dxa"/>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val="restart"/>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w:t>
            </w:r>
          </w:p>
        </w:tc>
        <w:tc>
          <w:tcPr>
            <w:tcW w:w="787" w:type="dxa"/>
            <w:vMerge w:val="restart"/>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高速发药机</w:t>
            </w: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2.1.设备在接收his处方信息后独立运行，自动高速分发盒装药品。</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2.2.储药通道不低于180条，常规药品不少于5000盒。（按照平均厚度20mm计算，提供储药量计算公式）</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▲2.3.药品采用垂直叠加式储存。（提供现场使用照片证明）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▲2.4.存储结构：不少于上下双层模组，下层模组高度不低于600mm，上层模组高度不低于1100mm。（提供设备实际测量照片证明）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▲2.5.每个储位为可拆卸组合式，可根据储位尺寸需求手工调整。（提供现场使用照片证明）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2.6.整机出药速度≥3盒/秒。</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▲2.7.整套设备包含两组储药模块，单模块配置不少于4个出药机械手装置。整套设备不少于8个出药机械手，多机械手可同时驱动高速出药。（提供现场单模组设备出药机械手照片）</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▲2.8.在设备出药口配置传输机构传输药品至指定窗口。为防止大批量药品堵塞传输线，出药传输装置为落地爬坡方式。（提供现场使用照片证明）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▲2.9.单处方在接收处方信息指令后高速出药到传输线出药口不大于8秒钟。（提供现场使用照片证明）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2.10.整体设备配置不小于18.5寸的操作触摸屏（提供现场使用照片证明）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▲2.11.具备根据使用量和库存信息提示批量上药功能，触摸屏操作补药。可维护管理药品的批号效期等信息（提供软件界面证明）。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2.12.上药速度不小于100盒/分钟/人。</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2.13.具备急停按扭/缺药报警/电机过热、过流、过载、自动故障显示和定位功能。</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2.14.具备同步功能，可与HIS系统或其他发药系统对接，按处方要求，单独批量出药，也可与其他发药系统同步出药。</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2.15.具备信息管理和提示功能，库存信息不足时可报警提示，可实现药品数量、效期和批号等信息管理。</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val="restart"/>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w:t>
            </w:r>
          </w:p>
        </w:tc>
        <w:tc>
          <w:tcPr>
            <w:tcW w:w="787" w:type="dxa"/>
            <w:vMerge w:val="restart"/>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kern w:val="2"/>
                <w:sz w:val="24"/>
                <w:szCs w:val="24"/>
              </w:rPr>
              <w:t>无人自助药房</w:t>
            </w: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3.1.用于医院患者自助取药，设备实现处方类药品的存储、发放和管理功能，患者可自助取药。具备远程接收处方功能；患者缴费后凭借取药码在设备自助取药，设备自动调剂、核对、发药，患者全程无接触操作。（提供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▲3.2.进行处方药自动发放，符合处方药品调剂的双环节核对要求（提供双环节核对的说明）。无人药房控制软件可与医院 HIS 实现无缝连接，按照 HIS 处方信息发放药品。缴费完毕后处方信息发送至设备，患者扫码后设备自动拣选药品并进行视觉核对，核对无误后发放给患者。</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3.3.多种取药模式选择：凭缴费单刷单取药、自助缴费取药。</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3.4.药品存储品种数不少于90种。（提供照片证明）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▲3.5.采用叠加式密集存储方式，三层储药机构，能够实现药品的密集存储，最大限度的节省空间。（提供照片证明）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3.6.储药量不少于2000 盒（常规的盒装药品包装尺寸，厚度15mm计算，提供储药量计算公式）</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3.7.处方调剂过程跟踪，发药口有显示屏，可对处方进行实时跟踪，随时了解处方的调配进程。（提供照片证明）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3.8.单槽道储药量</w:t>
            </w:r>
            <w:r>
              <w:rPr>
                <w:rFonts w:ascii="宋体" w:eastAsia="宋体" w:hAnsi="宋体" w:cs="宋体" w:hint="eastAsia"/>
                <w:b w:val="0"/>
                <w:bCs w:val="0"/>
                <w:color w:val="FF0000"/>
                <w:sz w:val="24"/>
                <w:szCs w:val="24"/>
              </w:rPr>
              <w:tab/>
            </w:r>
            <w:r>
              <w:rPr>
                <w:rFonts w:ascii="宋体" w:eastAsia="宋体" w:hAnsi="宋体" w:cs="宋体" w:hint="eastAsia"/>
                <w:b w:val="0"/>
                <w:bCs w:val="0"/>
                <w:color w:val="FF0000"/>
                <w:sz w:val="24"/>
                <w:szCs w:val="24"/>
              </w:rPr>
              <w:t>平均不少于20 盒（平均尺寸）（提供实际槽道尺寸储药照片）</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▲3.9.发药方式为横向和纵向导轨装载发药机械手，快速拣选、核对所需要药品。机械手上具备双面视觉核对装置，具备自动打开出药斗的自动滑轨装置。（提供照片证明）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3.10.具备发药核对功能，机械手单盒拣选药品，视觉核对装置对拣选后的药品进行图像自动采集、自动核对、自动判断和自动反馈过程，核对无误后机械手拣选下一个所需药品。（提供设备发药核对的过程步骤解析图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▲3.11.具备多面核对功能，为确保药品核对的精准度，至少同时识别药盒两个面（提供现场使用照片证明）。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3.12.具有设备自动回收功能，经核对有误药品，送至回收箱，语音提示患者，并重新调剂、核对新的药品。</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3.13.处方发放速度小于25秒/处方（每张处方平均按3盒计算）</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▲3.14.设备规格尺寸：设备长度小于2200mm，宽度小于1200mm，高度小于2000mm。（提供现场使用照片）</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3.15.具备开机自检功能，具备开机自检功能，发现异常，报警提示。</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3.16.具备触摸屏操作补充药品、医嘱信息小票打印、语音提示等功能。</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3.17.具备安全装置和报警功能，具备急停按钮、缺药报警功能，具备电机过热、过流、过载、自动故障显示功能。</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color w:val="FF0000"/>
                <w:sz w:val="24"/>
                <w:szCs w:val="24"/>
              </w:rPr>
              <w:t>▲3.18.具备可扩展性，设备可模块化扩展。（提供不同客户使用不同模块数量的现场照片）</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3.19.同步功能与HIS系统信息同步</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tabs>
                <w:tab w:val="left" w:pos="886"/>
              </w:tabs>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3.20.具备物联网、远程控制功能，通过物联网技术，远程监控处方调配进度、药品的图片以及控制设备整个发药流程。</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tabs>
                <w:tab w:val="left" w:pos="886"/>
              </w:tabs>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tabs>
                <w:tab w:val="left" w:pos="886"/>
              </w:tabs>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tabs>
                <w:tab w:val="left" w:pos="886"/>
              </w:tabs>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color w:val="FF0000"/>
                <w:sz w:val="24"/>
                <w:szCs w:val="24"/>
              </w:rPr>
              <w:t>▲3.21.具备溯源跟踪功能，根据患者信息溯源发药全流程数据，涵盖每一盒药品核对图片、药斗每一次药品变化图片、患者正面视频、患者取药视频（提供现场使用照片）。</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3.22.具有远程管理软件，有库存预警等智能管理功能。</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val="restart"/>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w:t>
            </w:r>
          </w:p>
        </w:tc>
        <w:tc>
          <w:tcPr>
            <w:tcW w:w="787" w:type="dxa"/>
            <w:vMerge w:val="restart"/>
            <w:tcBorders>
              <w:top w:val="single" w:sz="4" w:space="0" w:color="auto"/>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拆零分装机</w:t>
            </w: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4.1.智能拆零分装机系统接收处方信息后，自动将指定数量的指定药品落入接药杯，并按处方信息打印标签。</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4.2.整机结构紧凑、自重轻、稳定性好、并充分考虑人机工程学的要求。</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color w:val="FF0000"/>
                <w:sz w:val="24"/>
                <w:szCs w:val="24"/>
              </w:rPr>
              <w:t>▲4.3.设备整机高度不高于1900mm，占地面积不大于0.75平方米（提供测量图片证明）</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4.4.电气控制方式有手动、自动和多机联网控制可供用户选择；安全保护功能齐全、可靠。</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4.5.具备开机自检功能，开机能够自动检测机器运行状态以及各部分是否工作正常，发现不能工作的部件及时提示报警。</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color w:val="FF0000"/>
                <w:sz w:val="24"/>
                <w:szCs w:val="24"/>
              </w:rPr>
              <w:t>▲4.6.出药方式为不少于2条通道出药，同一处方的多种药品，在相同通道同时出药，提高药师包药效率。（提供现场使用照片）</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4.7.本机主要由储药药盒、出药通道、打印装置、接药装置、电气装置等五部分构成。</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221"/>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4.8.处理速度不小于180处方/小时。</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4.9.出药通道组件由光滑镜面不锈钢制成，并设有分药机构，实现灵活快速出药。</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pStyle w:val="CommentText"/>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rPr>
              <w:t>4.10.重量≤200kg。</w:t>
            </w:r>
          </w:p>
        </w:tc>
        <w:tc>
          <w:tcPr>
            <w:tcW w:w="1800" w:type="dxa"/>
            <w:tcBorders>
              <w:top w:val="single" w:sz="4" w:space="0" w:color="auto"/>
              <w:left w:val="single" w:sz="4" w:space="0" w:color="auto"/>
              <w:bottom w:val="single" w:sz="4" w:space="0" w:color="auto"/>
              <w:right w:val="single" w:sz="4" w:space="0" w:color="auto"/>
            </w:tcBorders>
            <w:vAlign w:val="top"/>
          </w:tcPr>
          <w:p>
            <w:pPr>
              <w:pStyle w:val="CommentText"/>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pStyle w:val="CommentText"/>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pStyle w:val="CommentText"/>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r>
      <w:tr>
        <w:tblPrEx>
          <w:tblW w:w="8520" w:type="dxa"/>
          <w:tblInd w:w="0" w:type="dxa"/>
          <w:tblLayout w:type="fixed"/>
          <w:tblCellMar>
            <w:top w:w="0" w:type="dxa"/>
            <w:left w:w="108" w:type="dxa"/>
            <w:bottom w:w="0" w:type="dxa"/>
            <w:right w:w="108" w:type="dxa"/>
          </w:tblCellMar>
        </w:tblPrEx>
        <w:trPr>
          <w:trHeight w:val="343"/>
        </w:trPr>
        <w:tc>
          <w:tcPr>
            <w:tcW w:w="589" w:type="dxa"/>
            <w:vMerge/>
            <w:tcBorders>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787" w:type="dxa"/>
            <w:vMerge/>
            <w:tcBorders>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sz w:val="24"/>
                <w:szCs w:val="24"/>
              </w:rPr>
            </w:pPr>
          </w:p>
        </w:tc>
        <w:tc>
          <w:tcPr>
            <w:tcW w:w="33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r>
              <w:rPr>
                <w:rFonts w:ascii="宋体" w:eastAsia="宋体" w:hAnsi="宋体" w:cs="宋体" w:hint="eastAsia"/>
                <w:b w:val="0"/>
                <w:bCs w:val="0"/>
                <w:color w:val="FF0000"/>
                <w:sz w:val="24"/>
                <w:szCs w:val="24"/>
              </w:rPr>
              <w:t>▲4.11.储药品种数不少于78种。（提供现场使用照片）</w:t>
            </w:r>
          </w:p>
        </w:tc>
        <w:tc>
          <w:tcPr>
            <w:tcW w:w="1800"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1275"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c>
          <w:tcPr>
            <w:tcW w:w="769" w:type="dxa"/>
            <w:tcBorders>
              <w:top w:val="single" w:sz="4" w:space="0" w:color="auto"/>
              <w:left w:val="single" w:sz="4" w:space="0" w:color="auto"/>
              <w:bottom w:val="single" w:sz="4" w:space="0" w:color="auto"/>
              <w:right w:val="single" w:sz="4" w:space="0" w:color="auto"/>
            </w:tcBorders>
            <w:vAlign w:val="top"/>
          </w:tcPr>
          <w:p>
            <w:pPr>
              <w:keepNext w:val="0"/>
              <w:keepLines w:val="0"/>
              <w:pageBreakBefore w:val="0"/>
              <w:widowControl/>
              <w:kinsoku/>
              <w:wordWrap/>
              <w:overflowPunct/>
              <w:topLinePunct w:val="0"/>
              <w:autoSpaceDE/>
              <w:autoSpaceDN/>
              <w:bidi w:val="0"/>
              <w:adjustRightInd/>
              <w:snapToGrid/>
              <w:jc w:val="both"/>
              <w:textAlignment w:val="auto"/>
              <w:rPr>
                <w:rFonts w:ascii="宋体" w:eastAsia="宋体" w:hAnsi="宋体" w:cs="宋体" w:hint="eastAsia"/>
                <w:b w:val="0"/>
                <w:bCs w:val="0"/>
                <w:color w:val="FF0000"/>
                <w:sz w:val="24"/>
                <w:szCs w:val="24"/>
              </w:rPr>
            </w:pPr>
          </w:p>
        </w:tc>
      </w:tr>
    </w:tbl>
    <w:p>
      <w:pPr>
        <w:rPr>
          <w:rFonts w:hint="eastAsia"/>
        </w:rPr>
      </w:pPr>
    </w:p>
    <w:p>
      <w:r>
        <w:rPr>
          <w:rFonts w:hint="eastAsia"/>
        </w:rPr>
        <w:t>证明资料【如有的话，供应商提供的证明资料应统一编号（排序），格式自定】</w:t>
      </w:r>
      <w:bookmarkEnd w:id="73"/>
      <w:r>
        <w:rPr>
          <w:rFonts w:hint="eastAsia"/>
        </w:rPr>
        <w:t>：</w:t>
      </w:r>
    </w:p>
    <w:p>
      <w:pPr>
        <w:ind w:firstLine="480" w:firstLineChars="200"/>
        <w:rPr>
          <w:b/>
        </w:rPr>
      </w:pPr>
    </w:p>
    <w:p>
      <w:pPr>
        <w:ind w:firstLine="480" w:firstLineChars="200"/>
        <w:rPr>
          <w:b/>
        </w:rPr>
      </w:pPr>
      <w:r>
        <w:rPr>
          <w:rFonts w:hint="eastAsia"/>
          <w:b/>
        </w:rPr>
        <w:t>《技术要求偏离表》编制指引：</w:t>
      </w:r>
    </w:p>
    <w:p>
      <w:pPr>
        <w:ind w:firstLine="480" w:firstLineChars="200"/>
        <w:rPr>
          <w:b/>
        </w:rPr>
      </w:pPr>
      <w:r>
        <w:rPr>
          <w:rFonts w:hint="eastAsia"/>
          <w:b/>
        </w:rPr>
        <w:t>1、技术要求偏离表的序号、货物名称、招标技术要求等栏目</w:t>
      </w:r>
      <w:bookmarkStart w:id="74" w:name="_Hlk72094407"/>
      <w:r>
        <w:rPr>
          <w:rFonts w:hint="eastAsia"/>
          <w:b/>
        </w:rPr>
        <w:t>对应“用户需求书”中的“技术要求”章节</w:t>
      </w:r>
      <w:bookmarkEnd w:id="74"/>
      <w:r>
        <w:rPr>
          <w:rFonts w:hint="eastAsia"/>
          <w:b/>
        </w:rPr>
        <w:t>相关内容。</w:t>
      </w:r>
    </w:p>
    <w:p>
      <w:pPr>
        <w:ind w:firstLine="480" w:firstLineChars="200"/>
        <w:rPr>
          <w:b/>
        </w:rPr>
      </w:pPr>
      <w:r>
        <w:rPr>
          <w:b/>
        </w:rPr>
        <w:t>2</w:t>
      </w:r>
      <w:r>
        <w:rPr>
          <w:rFonts w:hint="eastAsia"/>
          <w:b/>
        </w:rPr>
        <w:t>、“投标技术响应”一栏必须一一对照“招标技术要求”，详细填写投标人自身投标货物的具体参数，而不能不合理照搬照抄招标文件的技术要求，以体现具体响应情况。</w:t>
      </w:r>
    </w:p>
    <w:p>
      <w:pPr>
        <w:ind w:firstLine="480" w:firstLineChars="200"/>
        <w:rPr>
          <w:b/>
        </w:rPr>
      </w:pPr>
      <w:r>
        <w:rPr>
          <w:b/>
        </w:rPr>
        <w:t>3</w:t>
      </w:r>
      <w:r>
        <w:rPr>
          <w:rFonts w:hint="eastAsia"/>
          <w:b/>
        </w:rPr>
        <w:t>、</w:t>
      </w:r>
      <w:bookmarkStart w:id="75" w:name="_Hlk72158270"/>
      <w:r>
        <w:rPr>
          <w:rFonts w:hint="eastAsia"/>
          <w:b/>
        </w:rPr>
        <w:t>“偏离情况”</w:t>
      </w:r>
      <w:bookmarkEnd w:id="75"/>
      <w:r>
        <w:rPr>
          <w:rFonts w:hint="eastAsia"/>
          <w:b/>
        </w:rPr>
        <w:t>一栏填写如实填写“正偏离”、“负偏离”或“无偏离”，其中：</w:t>
      </w:r>
      <w:bookmarkStart w:id="76" w:name="_Hlk72093866"/>
      <w:r>
        <w:rPr>
          <w:rFonts w:hint="eastAsia"/>
          <w:b/>
        </w:rPr>
        <w:t>“正偏离”表示“投标响应优于招标技术要求”，“负偏离”表示“投标响应不满足招标技术要求”，“无偏离”表示“投标响应与招标技术要求一致”</w:t>
      </w:r>
      <w:bookmarkEnd w:id="76"/>
      <w:r>
        <w:rPr>
          <w:rFonts w:hint="eastAsia"/>
          <w:b/>
        </w:rPr>
        <w:t>。“投标技术响应”对比“招标技术要求”存在响应不全（包括未响应整项招标技术要求或者未响应一项招标技术要求的部分内容），均视为“负偏离”。</w:t>
      </w:r>
    </w:p>
    <w:p>
      <w:pPr>
        <w:ind w:firstLine="480" w:firstLineChars="200"/>
        <w:rPr>
          <w:b/>
        </w:rPr>
      </w:pPr>
      <w:r>
        <w:rPr>
          <w:b/>
        </w:rPr>
        <w:t>4</w:t>
      </w:r>
      <w:r>
        <w:rPr>
          <w:rFonts w:hint="eastAsia"/>
          <w:b/>
        </w:rPr>
        <w:t>、未要求提供证明资料的招标技术要求，可以不提供证明资料（如实响应即可）。</w:t>
      </w:r>
    </w:p>
    <w:p>
      <w:pPr>
        <w:ind w:firstLine="480" w:firstLineChars="200"/>
        <w:rPr>
          <w:b/>
        </w:rPr>
      </w:pPr>
      <w:r>
        <w:rPr>
          <w:rFonts w:hint="eastAsia"/>
          <w:b/>
        </w:rPr>
        <w:t>5、</w:t>
      </w:r>
      <w:bookmarkStart w:id="77" w:name="_Hlk72096106"/>
      <w:r>
        <w:rPr>
          <w:rFonts w:hint="eastAsia"/>
          <w:b/>
        </w:rPr>
        <w:t>证明资料条款响应要求</w:t>
      </w:r>
      <w:bookmarkEnd w:id="77"/>
      <w:r>
        <w:rPr>
          <w:rFonts w:hint="eastAsia"/>
          <w:b/>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78" w:name="_Hlk73558782"/>
      <w:r>
        <w:rPr>
          <w:rFonts w:hint="eastAsia"/>
          <w:b/>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79" w:name="_Hlk73558164"/>
      <w:r>
        <w:rPr>
          <w:rFonts w:hint="eastAsia"/>
          <w:b/>
        </w:rPr>
        <w:t>且投标人在“偏离情况”一栏响应为“正偏离”或“无偏离”的，经评审委员会认定，将判定为负偏离。</w:t>
      </w:r>
      <w:bookmarkEnd w:id="78"/>
      <w:bookmarkEnd w:id="79"/>
    </w:p>
    <w:p>
      <w:pPr>
        <w:ind w:firstLine="480" w:firstLineChars="200"/>
        <w:rPr>
          <w:b/>
        </w:rPr>
      </w:pPr>
      <w:r>
        <w:rPr>
          <w:rFonts w:hint="eastAsia"/>
          <w:b/>
        </w:rPr>
        <w:t>6、</w:t>
      </w:r>
      <w:bookmarkStart w:id="80" w:name="_Hlk72096137"/>
      <w:r>
        <w:rPr>
          <w:rFonts w:hint="eastAsia"/>
          <w:b/>
        </w:rPr>
        <w:t>表后“证明资料”部分内容的编制</w:t>
      </w:r>
      <w:bookmarkEnd w:id="80"/>
      <w:r>
        <w:rPr>
          <w:rFonts w:hint="eastAsia"/>
          <w:b/>
        </w:rPr>
        <w:t>：提供的所有证明资料应当统一编号（排序），且证明资料的编号（顺序）、数量和名称（形式）均应与“说明”一栏所填内容保持一致（一一对应），以便评审委员会查看。</w:t>
      </w:r>
      <w:bookmarkStart w:id="81" w:name="_Hlk73558180"/>
      <w:r>
        <w:rPr>
          <w:rFonts w:hint="eastAsia"/>
          <w:b/>
        </w:rPr>
        <w:t>未按照招标文件要求在表后放置证明材料的供应商将承担不利后果，经评审委员会认定，相关技术要求将判定为负偏离。</w:t>
      </w:r>
      <w:bookmarkEnd w:id="81"/>
    </w:p>
    <w:p>
      <w:pPr>
        <w:ind w:firstLine="480" w:firstLineChars="200"/>
        <w:rPr>
          <w:b/>
        </w:rPr>
      </w:pPr>
      <w:r>
        <w:rPr>
          <w:rFonts w:hint="eastAsia"/>
          <w:b/>
        </w:rPr>
        <w:t>7、</w:t>
      </w:r>
      <w:bookmarkStart w:id="82" w:name="_Hlk72096176"/>
      <w:r>
        <w:rPr>
          <w:rFonts w:hint="eastAsia"/>
          <w:b/>
        </w:rPr>
        <w:t>证明资料的形式及其它具体要求</w:t>
      </w:r>
      <w:bookmarkEnd w:id="82"/>
      <w:r>
        <w:rPr>
          <w:rFonts w:hint="eastAsia"/>
          <w:b/>
        </w:rPr>
        <w:t>：</w:t>
      </w:r>
    </w:p>
    <w:p>
      <w:pPr>
        <w:ind w:firstLine="480" w:firstLineChars="200"/>
        <w:rPr>
          <w:b/>
        </w:rPr>
      </w:pPr>
      <w:r>
        <w:rPr>
          <w:rFonts w:hint="eastAsia"/>
          <w:b/>
        </w:rPr>
        <w:t>（1）除照片、图片（截图）及不需加盖公章的文字说明（技术说明）外，其它证明资料均要求为原件扫描件；</w:t>
      </w:r>
    </w:p>
    <w:p>
      <w:pPr>
        <w:ind w:firstLine="480" w:firstLineChars="200"/>
        <w:rPr>
          <w:b/>
        </w:rPr>
      </w:pPr>
      <w:r>
        <w:rPr>
          <w:rFonts w:hint="eastAsia"/>
          <w:b/>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0" w:firstLineChars="200"/>
        <w:rPr>
          <w:b/>
        </w:rPr>
      </w:pPr>
      <w:r>
        <w:rPr>
          <w:rFonts w:hint="eastAsia"/>
          <w:b/>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0" w:firstLineChars="200"/>
        <w:rPr>
          <w:b/>
        </w:rPr>
      </w:pPr>
      <w:r>
        <w:rPr>
          <w:rFonts w:hint="eastAsia"/>
          <w:b/>
        </w:rPr>
        <w:t>我国政府机构出具的产品检验和核准证件应为证件正面、背面和附件标注的全部具体内容；产品检验和核准证件的尺寸和清晰度应该能够在电脑上被阅读、识别和判断；</w:t>
      </w:r>
    </w:p>
    <w:p>
      <w:pPr>
        <w:ind w:firstLine="480" w:firstLineChars="200"/>
        <w:rPr>
          <w:b/>
        </w:rPr>
      </w:pPr>
      <w:r>
        <w:rPr>
          <w:rFonts w:hint="eastAsia"/>
          <w:b/>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0" w:firstLineChars="200"/>
        <w:rPr>
          <w:b/>
        </w:rPr>
      </w:pPr>
      <w:r>
        <w:rPr>
          <w:rFonts w:hint="eastAsia"/>
          <w:b/>
        </w:rPr>
        <w:t>其它证明资料的形式要求参照以上要求执行；</w:t>
      </w:r>
    </w:p>
    <w:p>
      <w:pPr>
        <w:ind w:firstLine="480" w:firstLineChars="200"/>
        <w:rPr>
          <w:b/>
        </w:rPr>
      </w:pPr>
      <w:r>
        <w:rPr>
          <w:rFonts w:hint="eastAsia"/>
          <w:b/>
        </w:rPr>
        <w:t>（4）证明资料均要求原件备查。</w:t>
      </w:r>
    </w:p>
    <w:p>
      <w:pPr>
        <w:ind w:firstLine="480" w:firstLineChars="200"/>
        <w:rPr>
          <w:b/>
        </w:rPr>
      </w:pPr>
      <w:r>
        <w:rPr>
          <w:rFonts w:hint="eastAsia"/>
          <w:b/>
        </w:rPr>
        <w:t>8、其它注意事项：</w:t>
      </w:r>
    </w:p>
    <w:p>
      <w:pPr>
        <w:ind w:firstLine="480" w:firstLineChars="200"/>
        <w:rPr>
          <w:b/>
        </w:rPr>
      </w:pPr>
      <w:r>
        <w:rPr>
          <w:rFonts w:hint="eastAsia"/>
          <w:b/>
        </w:rPr>
        <w:t>（1）评审委员会有权对投标人的响应情况作出判断（评审结论）；</w:t>
      </w:r>
    </w:p>
    <w:p>
      <w:pPr>
        <w:ind w:firstLine="480" w:firstLineChars="200"/>
        <w:rPr>
          <w:b/>
        </w:rPr>
      </w:pPr>
      <w:r>
        <w:rPr>
          <w:rFonts w:hint="eastAsia"/>
          <w:b/>
        </w:rPr>
        <w:t>（2）</w:t>
      </w:r>
      <w:bookmarkStart w:id="83" w:name="_Hlk72158213"/>
      <w:r>
        <w:rPr>
          <w:rFonts w:hint="eastAsia"/>
          <w:b/>
        </w:rPr>
        <w:t>评审委员会有权对以谋取中标为目的的技术规格模糊响应（如有意不合理照搬照抄招标文件的技术要求）或虚假响应予以认定，并视情况经</w:t>
      </w:r>
      <w:r>
        <w:rPr>
          <w:rFonts w:eastAsia="宋体" w:hint="eastAsia"/>
          <w:b/>
        </w:rPr>
        <w:t>招标机构</w:t>
      </w:r>
      <w:r>
        <w:rPr>
          <w:rFonts w:hint="eastAsia"/>
          <w:b/>
        </w:rPr>
        <w:t>报主管部门进行处理。</w:t>
      </w:r>
      <w:bookmarkEnd w:id="83"/>
    </w:p>
    <w:p>
      <w:pPr>
        <w:ind w:firstLine="480" w:firstLineChars="200"/>
        <w:rPr>
          <w:b/>
        </w:rPr>
      </w:pPr>
    </w:p>
    <w:p/>
    <w:p>
      <w:pPr>
        <w:rPr>
          <w:rFonts w:ascii="黑体" w:eastAsia="黑体"/>
          <w:szCs w:val="20"/>
        </w:rPr>
      </w:pPr>
      <w:r>
        <w:rPr>
          <w:rFonts w:ascii="黑体" w:eastAsia="黑体" w:hint="eastAsia"/>
          <w:szCs w:val="20"/>
        </w:rPr>
        <w:br w:type="page"/>
      </w:r>
    </w:p>
    <w:p>
      <w:pPr>
        <w:pStyle w:val="Heading4"/>
        <w:jc w:val="center"/>
        <w:rPr>
          <w:b/>
        </w:rPr>
      </w:pPr>
      <w:r>
        <w:rPr>
          <w:rFonts w:ascii="黑体" w:hint="eastAsia"/>
          <w:b w:val="0"/>
          <w:bCs w:val="0"/>
          <w:sz w:val="24"/>
          <w:szCs w:val="20"/>
        </w:rPr>
        <w:t>五、商务要求偏离表</w:t>
      </w:r>
    </w:p>
    <w:tbl>
      <w:tblPr>
        <w:tblStyle w:val="TableNormal"/>
        <w:tblW w:w="853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14"/>
        <w:gridCol w:w="975"/>
        <w:gridCol w:w="3300"/>
        <w:gridCol w:w="1781"/>
        <w:gridCol w:w="1219"/>
        <w:gridCol w:w="750"/>
      </w:tblGrid>
      <w:tr>
        <w:tblPrEx>
          <w:tblW w:w="853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97"/>
        </w:trPr>
        <w:tc>
          <w:tcPr>
            <w:tcW w:w="514" w:type="dxa"/>
            <w:vAlign w:val="center"/>
          </w:tcPr>
          <w:p>
            <w:pPr>
              <w:jc w:val="center"/>
              <w:rPr>
                <w:rFonts w:ascii="宋体" w:eastAsia="宋体" w:hAnsi="宋体" w:cs="宋体" w:hint="eastAsia"/>
                <w:b/>
                <w:sz w:val="24"/>
                <w:szCs w:val="24"/>
              </w:rPr>
            </w:pPr>
            <w:r>
              <w:rPr>
                <w:rFonts w:hint="eastAsia"/>
              </w:rPr>
              <w:t>序号</w:t>
            </w:r>
          </w:p>
        </w:tc>
        <w:tc>
          <w:tcPr>
            <w:tcW w:w="975" w:type="dxa"/>
            <w:vAlign w:val="center"/>
          </w:tcPr>
          <w:p>
            <w:pPr>
              <w:jc w:val="center"/>
              <w:rPr>
                <w:rFonts w:ascii="宋体" w:eastAsia="宋体" w:hAnsi="宋体" w:cs="宋体" w:hint="eastAsia"/>
                <w:b/>
                <w:sz w:val="24"/>
                <w:szCs w:val="24"/>
              </w:rPr>
            </w:pPr>
            <w:r>
              <w:rPr>
                <w:rFonts w:hint="eastAsia"/>
              </w:rPr>
              <w:t>商务需求项</w:t>
            </w:r>
          </w:p>
        </w:tc>
        <w:tc>
          <w:tcPr>
            <w:tcW w:w="3300" w:type="dxa"/>
            <w:vAlign w:val="center"/>
          </w:tcPr>
          <w:p>
            <w:pPr>
              <w:jc w:val="center"/>
              <w:rPr>
                <w:rFonts w:ascii="宋体" w:eastAsia="宋体" w:hAnsi="宋体" w:cs="宋体" w:hint="eastAsia"/>
                <w:b/>
                <w:sz w:val="24"/>
                <w:szCs w:val="24"/>
              </w:rPr>
            </w:pPr>
            <w:r>
              <w:rPr>
                <w:rFonts w:hint="eastAsia"/>
              </w:rPr>
              <w:t>招标商务要求</w:t>
            </w:r>
          </w:p>
        </w:tc>
        <w:tc>
          <w:tcPr>
            <w:tcW w:w="1781" w:type="dxa"/>
            <w:vAlign w:val="center"/>
          </w:tcPr>
          <w:p>
            <w:pPr>
              <w:jc w:val="center"/>
              <w:rPr>
                <w:rFonts w:ascii="宋体" w:eastAsia="宋体" w:hAnsi="宋体" w:cs="宋体" w:hint="eastAsia"/>
                <w:b/>
                <w:sz w:val="24"/>
                <w:szCs w:val="24"/>
              </w:rPr>
            </w:pPr>
            <w:r>
              <w:rPr>
                <w:rFonts w:hint="eastAsia"/>
              </w:rPr>
              <w:t>投标商务响应</w:t>
            </w:r>
          </w:p>
        </w:tc>
        <w:tc>
          <w:tcPr>
            <w:tcW w:w="1219" w:type="dxa"/>
            <w:vAlign w:val="center"/>
          </w:tcPr>
          <w:p>
            <w:pPr>
              <w:jc w:val="center"/>
              <w:rPr>
                <w:rFonts w:ascii="宋体" w:eastAsia="宋体" w:hAnsi="宋体" w:cs="宋体" w:hint="eastAsia"/>
                <w:b/>
                <w:sz w:val="24"/>
                <w:szCs w:val="24"/>
              </w:rPr>
            </w:pPr>
            <w:r>
              <w:rPr>
                <w:rFonts w:hint="eastAsia"/>
              </w:rPr>
              <w:t>偏离情况</w:t>
            </w:r>
          </w:p>
        </w:tc>
        <w:tc>
          <w:tcPr>
            <w:tcW w:w="750" w:type="dxa"/>
            <w:vAlign w:val="center"/>
          </w:tcPr>
          <w:p>
            <w:pPr>
              <w:jc w:val="center"/>
              <w:rPr>
                <w:rFonts w:ascii="宋体" w:eastAsia="宋体" w:hAnsi="宋体" w:cs="宋体" w:hint="eastAsia"/>
                <w:b/>
                <w:sz w:val="24"/>
                <w:szCs w:val="24"/>
              </w:rPr>
            </w:pPr>
            <w:r>
              <w:rPr>
                <w:rFonts w:hint="eastAsia"/>
              </w:rPr>
              <w:t>说明</w:t>
            </w:r>
          </w:p>
        </w:tc>
      </w:tr>
      <w:tr>
        <w:tblPrEx>
          <w:tblW w:w="8539" w:type="dxa"/>
          <w:tblInd w:w="0" w:type="dxa"/>
          <w:tblLayout w:type="fixed"/>
          <w:tblCellMar>
            <w:top w:w="0" w:type="dxa"/>
            <w:left w:w="108" w:type="dxa"/>
            <w:bottom w:w="0" w:type="dxa"/>
            <w:right w:w="108" w:type="dxa"/>
          </w:tblCellMar>
        </w:tblPrEx>
        <w:trPr>
          <w:trHeight w:val="280"/>
        </w:trPr>
        <w:tc>
          <w:tcPr>
            <w:tcW w:w="6570" w:type="dxa"/>
            <w:gridSpan w:val="4"/>
            <w:vAlign w:val="top"/>
          </w:tcPr>
          <w:p>
            <w:pPr>
              <w:jc w:val="both"/>
              <w:rPr>
                <w:rFonts w:hint="eastAsia"/>
                <w:b/>
              </w:rPr>
            </w:pPr>
            <w:r>
              <w:rPr>
                <w:rFonts w:hint="eastAsia"/>
                <w:b/>
              </w:rPr>
              <w:t>（一）免费保修期内售后服务要求</w:t>
            </w:r>
          </w:p>
        </w:tc>
        <w:tc>
          <w:tcPr>
            <w:tcW w:w="1219" w:type="dxa"/>
            <w:vAlign w:val="top"/>
          </w:tcPr>
          <w:p>
            <w:pPr>
              <w:jc w:val="both"/>
              <w:rPr>
                <w:rFonts w:hint="eastAsia"/>
                <w:b/>
              </w:rPr>
            </w:pPr>
          </w:p>
        </w:tc>
        <w:tc>
          <w:tcPr>
            <w:tcW w:w="750" w:type="dxa"/>
            <w:vAlign w:val="top"/>
          </w:tcPr>
          <w:p>
            <w:pPr>
              <w:jc w:val="both"/>
              <w:rPr>
                <w:rFonts w:hint="eastAsia"/>
                <w:b/>
              </w:rPr>
            </w:pPr>
          </w:p>
        </w:tc>
      </w:tr>
      <w:tr>
        <w:tblPrEx>
          <w:tblW w:w="8539" w:type="dxa"/>
          <w:tblInd w:w="0" w:type="dxa"/>
          <w:tblLayout w:type="fixed"/>
          <w:tblCellMar>
            <w:top w:w="0" w:type="dxa"/>
            <w:left w:w="108" w:type="dxa"/>
            <w:bottom w:w="0" w:type="dxa"/>
            <w:right w:w="108" w:type="dxa"/>
          </w:tblCellMar>
        </w:tblPrEx>
        <w:trPr>
          <w:trHeight w:val="723"/>
        </w:trPr>
        <w:tc>
          <w:tcPr>
            <w:tcW w:w="514" w:type="dxa"/>
            <w:vMerge w:val="restart"/>
            <w:vAlign w:val="center"/>
          </w:tcPr>
          <w:p>
            <w:pPr>
              <w:jc w:val="center"/>
              <w:rPr>
                <w:rFonts w:ascii="宋体" w:eastAsia="宋体" w:hAnsi="宋体" w:cs="宋体" w:hint="eastAsia"/>
                <w:b/>
                <w:sz w:val="24"/>
                <w:szCs w:val="24"/>
              </w:rPr>
            </w:pPr>
            <w:r>
              <w:rPr>
                <w:rFonts w:ascii="宋体" w:eastAsia="宋体" w:hAnsi="宋体" w:cs="宋体" w:hint="eastAsia"/>
                <w:color w:val="000000"/>
                <w:sz w:val="24"/>
                <w:szCs w:val="24"/>
              </w:rPr>
              <w:t>1</w:t>
            </w:r>
          </w:p>
        </w:tc>
        <w:tc>
          <w:tcPr>
            <w:tcW w:w="975" w:type="dxa"/>
            <w:vMerge w:val="restart"/>
            <w:vAlign w:val="center"/>
          </w:tcPr>
          <w:p>
            <w:pPr>
              <w:jc w:val="center"/>
              <w:rPr>
                <w:rFonts w:ascii="宋体" w:eastAsia="宋体" w:hAnsi="宋体" w:cs="宋体" w:hint="eastAsia"/>
                <w:b/>
                <w:sz w:val="24"/>
                <w:szCs w:val="24"/>
              </w:rPr>
            </w:pPr>
            <w:r>
              <w:rPr>
                <w:rFonts w:ascii="宋体" w:eastAsia="宋体" w:hAnsi="宋体" w:cs="宋体" w:hint="eastAsia"/>
                <w:color w:val="000000" w:themeColor="text1"/>
                <w:sz w:val="24"/>
                <w:szCs w:val="24"/>
              </w:rPr>
              <w:t>维修响应及维护服务</w:t>
            </w:r>
          </w:p>
        </w:tc>
        <w:tc>
          <w:tcPr>
            <w:tcW w:w="3300" w:type="dxa"/>
            <w:vAlign w:val="top"/>
          </w:tcPr>
          <w:p>
            <w:pPr>
              <w:jc w:val="both"/>
              <w:rPr>
                <w:rFonts w:ascii="宋体" w:eastAsia="宋体" w:hAnsi="宋体" w:cs="宋体" w:hint="eastAsia"/>
                <w:sz w:val="24"/>
                <w:szCs w:val="24"/>
              </w:rPr>
            </w:pPr>
            <w:r>
              <w:rPr>
                <w:rFonts w:ascii="宋体" w:eastAsia="宋体" w:hAnsi="宋体" w:cs="宋体" w:hint="eastAsia"/>
                <w:b/>
                <w:color w:val="000000" w:themeColor="text1"/>
                <w:sz w:val="24"/>
                <w:szCs w:val="24"/>
              </w:rPr>
              <w:t xml:space="preserve">1.1 </w:t>
            </w:r>
            <w:r>
              <w:rPr>
                <w:rFonts w:ascii="宋体" w:eastAsia="宋体" w:hAnsi="宋体" w:cs="宋体" w:hint="eastAsia"/>
                <w:bCs/>
                <w:color w:val="000000" w:themeColor="text1"/>
                <w:sz w:val="24"/>
                <w:szCs w:val="24"/>
              </w:rPr>
              <w:t>各投标人应在投标文件中列明各主机、配件和易耗品的保 修期限。</w:t>
            </w:r>
          </w:p>
        </w:tc>
        <w:tc>
          <w:tcPr>
            <w:tcW w:w="1781" w:type="dxa"/>
            <w:vAlign w:val="top"/>
          </w:tcPr>
          <w:p>
            <w:pPr>
              <w:jc w:val="both"/>
              <w:rPr>
                <w:rFonts w:ascii="宋体" w:eastAsia="宋体" w:hAnsi="宋体" w:cs="宋体" w:hint="eastAsia"/>
                <w:b/>
                <w:color w:val="000000" w:themeColor="text1"/>
                <w:sz w:val="24"/>
                <w:szCs w:val="24"/>
              </w:rPr>
            </w:pPr>
          </w:p>
        </w:tc>
        <w:tc>
          <w:tcPr>
            <w:tcW w:w="1219" w:type="dxa"/>
            <w:vAlign w:val="top"/>
          </w:tcPr>
          <w:p>
            <w:pPr>
              <w:jc w:val="both"/>
              <w:rPr>
                <w:rFonts w:ascii="宋体" w:eastAsia="宋体" w:hAnsi="宋体" w:cs="宋体" w:hint="eastAsia"/>
                <w:b/>
                <w:color w:val="000000" w:themeColor="text1"/>
                <w:sz w:val="24"/>
                <w:szCs w:val="24"/>
              </w:rPr>
            </w:pPr>
          </w:p>
        </w:tc>
        <w:tc>
          <w:tcPr>
            <w:tcW w:w="750" w:type="dxa"/>
            <w:vAlign w:val="top"/>
          </w:tcPr>
          <w:p>
            <w:pPr>
              <w:jc w:val="both"/>
              <w:rPr>
                <w:rFonts w:ascii="宋体" w:eastAsia="宋体" w:hAnsi="宋体" w:cs="宋体" w:hint="eastAsia"/>
                <w:b/>
                <w:color w:val="000000" w:themeColor="text1"/>
                <w:sz w:val="24"/>
                <w:szCs w:val="24"/>
              </w:rPr>
            </w:pPr>
          </w:p>
        </w:tc>
      </w:tr>
      <w:tr>
        <w:tblPrEx>
          <w:tblW w:w="8539" w:type="dxa"/>
          <w:tblInd w:w="0" w:type="dxa"/>
          <w:tblLayout w:type="fixed"/>
          <w:tblCellMar>
            <w:top w:w="0" w:type="dxa"/>
            <w:left w:w="108" w:type="dxa"/>
            <w:bottom w:w="0" w:type="dxa"/>
            <w:right w:w="108" w:type="dxa"/>
          </w:tblCellMar>
        </w:tblPrEx>
        <w:trPr>
          <w:trHeight w:val="723"/>
        </w:trPr>
        <w:tc>
          <w:tcPr>
            <w:tcW w:w="514" w:type="dxa"/>
            <w:vMerge/>
            <w:vAlign w:val="center"/>
          </w:tcPr>
          <w:p>
            <w:pPr>
              <w:jc w:val="center"/>
              <w:rPr>
                <w:rFonts w:ascii="宋体" w:eastAsia="宋体" w:hAnsi="宋体" w:cs="宋体" w:hint="eastAsia"/>
                <w:color w:val="000000"/>
                <w:sz w:val="24"/>
                <w:szCs w:val="24"/>
              </w:rPr>
            </w:pPr>
          </w:p>
        </w:tc>
        <w:tc>
          <w:tcPr>
            <w:tcW w:w="975" w:type="dxa"/>
            <w:vMerge/>
            <w:vAlign w:val="center"/>
          </w:tcPr>
          <w:p>
            <w:pPr>
              <w:jc w:val="center"/>
              <w:rPr>
                <w:rFonts w:ascii="宋体" w:eastAsia="宋体" w:hAnsi="宋体" w:cs="宋体" w:hint="eastAsia"/>
                <w:bCs/>
                <w:sz w:val="24"/>
                <w:szCs w:val="24"/>
              </w:rPr>
            </w:pPr>
          </w:p>
        </w:tc>
        <w:tc>
          <w:tcPr>
            <w:tcW w:w="3300" w:type="dxa"/>
            <w:vAlign w:val="top"/>
          </w:tcPr>
          <w:p>
            <w:pPr>
              <w:jc w:val="both"/>
              <w:rPr>
                <w:rFonts w:ascii="宋体" w:eastAsia="宋体" w:hAnsi="宋体" w:cs="宋体" w:hint="eastAsia"/>
                <w:bCs/>
                <w:color w:val="000000"/>
                <w:sz w:val="24"/>
                <w:szCs w:val="24"/>
              </w:rPr>
            </w:pPr>
            <w:r>
              <w:rPr>
                <w:rFonts w:ascii="宋体" w:eastAsia="宋体" w:hAnsi="宋体" w:cs="宋体" w:hint="eastAsia"/>
                <w:b/>
                <w:color w:val="000000" w:themeColor="text1"/>
                <w:sz w:val="24"/>
                <w:szCs w:val="24"/>
              </w:rPr>
              <w:t>★1.2</w:t>
            </w:r>
            <w:r>
              <w:rPr>
                <w:rFonts w:ascii="宋体" w:eastAsia="宋体" w:hAnsi="宋体" w:cs="宋体" w:hint="eastAsia"/>
                <w:bCs/>
                <w:color w:val="000000" w:themeColor="text1"/>
                <w:sz w:val="24"/>
                <w:szCs w:val="24"/>
              </w:rPr>
              <w:t>承诺提供整机免费保</w:t>
            </w:r>
            <w:r>
              <w:rPr>
                <w:rFonts w:ascii="宋体" w:eastAsia="宋体" w:hAnsi="宋体" w:cs="宋体" w:hint="eastAsia"/>
                <w:bCs/>
                <w:color w:val="000000" w:themeColor="text1"/>
                <w:sz w:val="24"/>
                <w:szCs w:val="24"/>
                <w:highlight w:val="none"/>
              </w:rPr>
              <w:t>修期不少于</w:t>
            </w:r>
            <w:r>
              <w:rPr>
                <w:rFonts w:ascii="宋体" w:eastAsia="宋体" w:hAnsi="宋体" w:cs="宋体" w:hint="eastAsia"/>
                <w:bCs/>
                <w:color w:val="000000" w:themeColor="text1"/>
                <w:sz w:val="24"/>
                <w:szCs w:val="24"/>
                <w:highlight w:val="none"/>
                <w:u w:val="single"/>
              </w:rPr>
              <w:t xml:space="preserve">2 </w:t>
            </w:r>
            <w:r>
              <w:rPr>
                <w:rFonts w:ascii="宋体" w:eastAsia="宋体" w:hAnsi="宋体" w:cs="宋体" w:hint="eastAsia"/>
                <w:bCs/>
                <w:color w:val="000000" w:themeColor="text1"/>
                <w:sz w:val="24"/>
                <w:szCs w:val="24"/>
                <w:highlight w:val="none"/>
              </w:rPr>
              <w:t>年，终身维修，保修期内,年度定期预防性维护保养次数应不</w:t>
            </w:r>
            <w:r>
              <w:rPr>
                <w:rFonts w:ascii="宋体" w:eastAsia="宋体" w:hAnsi="宋体" w:cs="宋体" w:hint="eastAsia"/>
                <w:bCs/>
                <w:color w:val="000000" w:themeColor="text1"/>
                <w:sz w:val="24"/>
                <w:szCs w:val="24"/>
              </w:rPr>
              <w:t xml:space="preserve">少于 3 次。保修期内免费 更换零配件、免工时费。 </w:t>
            </w:r>
          </w:p>
        </w:tc>
        <w:tc>
          <w:tcPr>
            <w:tcW w:w="1781" w:type="dxa"/>
            <w:vAlign w:val="top"/>
          </w:tcPr>
          <w:p>
            <w:pPr>
              <w:jc w:val="both"/>
              <w:rPr>
                <w:rFonts w:ascii="宋体" w:eastAsia="宋体" w:hAnsi="宋体" w:cs="宋体" w:hint="eastAsia"/>
                <w:b/>
                <w:color w:val="000000" w:themeColor="text1"/>
                <w:sz w:val="24"/>
                <w:szCs w:val="24"/>
              </w:rPr>
            </w:pPr>
          </w:p>
        </w:tc>
        <w:tc>
          <w:tcPr>
            <w:tcW w:w="1219" w:type="dxa"/>
            <w:vAlign w:val="top"/>
          </w:tcPr>
          <w:p>
            <w:pPr>
              <w:jc w:val="both"/>
              <w:rPr>
                <w:rFonts w:ascii="宋体" w:eastAsia="宋体" w:hAnsi="宋体" w:cs="宋体" w:hint="eastAsia"/>
                <w:b/>
                <w:color w:val="000000" w:themeColor="text1"/>
                <w:sz w:val="24"/>
                <w:szCs w:val="24"/>
              </w:rPr>
            </w:pPr>
          </w:p>
        </w:tc>
        <w:tc>
          <w:tcPr>
            <w:tcW w:w="750" w:type="dxa"/>
            <w:vAlign w:val="top"/>
          </w:tcPr>
          <w:p>
            <w:pPr>
              <w:jc w:val="both"/>
              <w:rPr>
                <w:rFonts w:ascii="宋体" w:eastAsia="宋体" w:hAnsi="宋体" w:cs="宋体" w:hint="eastAsia"/>
                <w:b/>
                <w:color w:val="000000" w:themeColor="text1"/>
                <w:sz w:val="24"/>
                <w:szCs w:val="24"/>
              </w:rPr>
            </w:pPr>
          </w:p>
        </w:tc>
      </w:tr>
      <w:tr>
        <w:tblPrEx>
          <w:tblW w:w="8539" w:type="dxa"/>
          <w:tblInd w:w="0" w:type="dxa"/>
          <w:tblLayout w:type="fixed"/>
          <w:tblCellMar>
            <w:top w:w="0" w:type="dxa"/>
            <w:left w:w="108" w:type="dxa"/>
            <w:bottom w:w="0" w:type="dxa"/>
            <w:right w:w="108" w:type="dxa"/>
          </w:tblCellMar>
        </w:tblPrEx>
        <w:trPr>
          <w:trHeight w:val="723"/>
        </w:trPr>
        <w:tc>
          <w:tcPr>
            <w:tcW w:w="514" w:type="dxa"/>
            <w:vMerge/>
            <w:vAlign w:val="center"/>
          </w:tcPr>
          <w:p>
            <w:pPr>
              <w:jc w:val="center"/>
              <w:rPr>
                <w:rFonts w:ascii="宋体" w:eastAsia="宋体" w:hAnsi="宋体" w:cs="宋体" w:hint="eastAsia"/>
                <w:color w:val="000000"/>
                <w:sz w:val="24"/>
                <w:szCs w:val="24"/>
              </w:rPr>
            </w:pPr>
          </w:p>
        </w:tc>
        <w:tc>
          <w:tcPr>
            <w:tcW w:w="975" w:type="dxa"/>
            <w:vMerge/>
            <w:vAlign w:val="center"/>
          </w:tcPr>
          <w:p>
            <w:pPr>
              <w:jc w:val="center"/>
              <w:rPr>
                <w:rFonts w:ascii="宋体" w:eastAsia="宋体" w:hAnsi="宋体" w:cs="宋体" w:hint="eastAsia"/>
                <w:bCs/>
                <w:sz w:val="24"/>
                <w:szCs w:val="24"/>
              </w:rPr>
            </w:pPr>
          </w:p>
        </w:tc>
        <w:tc>
          <w:tcPr>
            <w:tcW w:w="3300" w:type="dxa"/>
            <w:vAlign w:val="top"/>
          </w:tcPr>
          <w:p>
            <w:pPr>
              <w:jc w:val="both"/>
              <w:rPr>
                <w:rFonts w:ascii="宋体" w:eastAsia="宋体" w:hAnsi="宋体" w:cs="宋体" w:hint="eastAsia"/>
                <w:bCs/>
                <w:color w:val="000000"/>
                <w:sz w:val="24"/>
                <w:szCs w:val="24"/>
              </w:rPr>
            </w:pPr>
            <w:r>
              <w:rPr>
                <w:rFonts w:ascii="宋体" w:eastAsia="宋体" w:hAnsi="宋体" w:cs="宋体" w:hint="eastAsia"/>
                <w:b/>
                <w:color w:val="000000" w:themeColor="text1"/>
                <w:sz w:val="24"/>
                <w:szCs w:val="24"/>
              </w:rPr>
              <w:t xml:space="preserve">1.3 </w:t>
            </w:r>
            <w:r>
              <w:rPr>
                <w:rFonts w:ascii="宋体" w:eastAsia="宋体" w:hAnsi="宋体" w:cs="宋体" w:hint="eastAsia"/>
                <w:bCs/>
                <w:color w:val="000000" w:themeColor="text1"/>
                <w:sz w:val="24"/>
                <w:szCs w:val="24"/>
              </w:rPr>
              <w:t>由设备制造商提供售后服务，</w:t>
            </w:r>
            <w:r>
              <w:rPr>
                <w:rFonts w:ascii="宋体" w:eastAsia="宋体" w:hAnsi="宋体" w:cs="宋体" w:hint="eastAsia"/>
                <w:bCs/>
                <w:color w:val="000000" w:themeColor="text1"/>
                <w:sz w:val="24"/>
                <w:szCs w:val="24"/>
                <w:u w:val="single"/>
              </w:rPr>
              <w:t xml:space="preserve">4 </w:t>
            </w:r>
            <w:r>
              <w:rPr>
                <w:rFonts w:ascii="宋体" w:eastAsia="宋体" w:hAnsi="宋体" w:cs="宋体" w:hint="eastAsia"/>
                <w:bCs/>
                <w:color w:val="000000" w:themeColor="text1"/>
                <w:sz w:val="24"/>
                <w:szCs w:val="24"/>
              </w:rPr>
              <w:t>小时内响应，</w:t>
            </w:r>
            <w:r>
              <w:rPr>
                <w:rFonts w:ascii="宋体" w:eastAsia="宋体" w:hAnsi="宋体" w:cs="宋体" w:hint="eastAsia"/>
                <w:bCs/>
                <w:color w:val="000000" w:themeColor="text1"/>
                <w:sz w:val="24"/>
                <w:szCs w:val="24"/>
                <w:u w:val="single"/>
              </w:rPr>
              <w:t xml:space="preserve">24 </w:t>
            </w:r>
            <w:r>
              <w:rPr>
                <w:rFonts w:ascii="宋体" w:eastAsia="宋体" w:hAnsi="宋体" w:cs="宋体" w:hint="eastAsia"/>
                <w:bCs/>
                <w:color w:val="000000" w:themeColor="text1"/>
                <w:sz w:val="24"/>
                <w:szCs w:val="24"/>
              </w:rPr>
              <w:t xml:space="preserve">小时维修到位（不可抗力情况除外）,否则提供备用机,消耗品和零配件供应及时。 </w:t>
            </w:r>
          </w:p>
        </w:tc>
        <w:tc>
          <w:tcPr>
            <w:tcW w:w="1781" w:type="dxa"/>
            <w:vAlign w:val="top"/>
          </w:tcPr>
          <w:p>
            <w:pPr>
              <w:jc w:val="both"/>
              <w:rPr>
                <w:rFonts w:ascii="宋体" w:eastAsia="宋体" w:hAnsi="宋体" w:cs="宋体" w:hint="eastAsia"/>
                <w:b/>
                <w:color w:val="000000" w:themeColor="text1"/>
                <w:sz w:val="24"/>
                <w:szCs w:val="24"/>
              </w:rPr>
            </w:pPr>
          </w:p>
        </w:tc>
        <w:tc>
          <w:tcPr>
            <w:tcW w:w="1219" w:type="dxa"/>
            <w:vAlign w:val="top"/>
          </w:tcPr>
          <w:p>
            <w:pPr>
              <w:jc w:val="both"/>
              <w:rPr>
                <w:rFonts w:ascii="宋体" w:eastAsia="宋体" w:hAnsi="宋体" w:cs="宋体" w:hint="eastAsia"/>
                <w:b/>
                <w:color w:val="000000" w:themeColor="text1"/>
                <w:sz w:val="24"/>
                <w:szCs w:val="24"/>
              </w:rPr>
            </w:pPr>
          </w:p>
        </w:tc>
        <w:tc>
          <w:tcPr>
            <w:tcW w:w="750" w:type="dxa"/>
            <w:vAlign w:val="top"/>
          </w:tcPr>
          <w:p>
            <w:pPr>
              <w:jc w:val="both"/>
              <w:rPr>
                <w:rFonts w:ascii="宋体" w:eastAsia="宋体" w:hAnsi="宋体" w:cs="宋体" w:hint="eastAsia"/>
                <w:b/>
                <w:color w:val="000000" w:themeColor="text1"/>
                <w:sz w:val="24"/>
                <w:szCs w:val="24"/>
              </w:rPr>
            </w:pPr>
          </w:p>
        </w:tc>
      </w:tr>
      <w:tr>
        <w:tblPrEx>
          <w:tblW w:w="8539" w:type="dxa"/>
          <w:tblInd w:w="0" w:type="dxa"/>
          <w:tblLayout w:type="fixed"/>
          <w:tblCellMar>
            <w:top w:w="0" w:type="dxa"/>
            <w:left w:w="108" w:type="dxa"/>
            <w:bottom w:w="0" w:type="dxa"/>
            <w:right w:w="108" w:type="dxa"/>
          </w:tblCellMar>
        </w:tblPrEx>
        <w:trPr>
          <w:trHeight w:val="723"/>
        </w:trPr>
        <w:tc>
          <w:tcPr>
            <w:tcW w:w="514" w:type="dxa"/>
            <w:vMerge/>
            <w:vAlign w:val="center"/>
          </w:tcPr>
          <w:p>
            <w:pPr>
              <w:jc w:val="center"/>
              <w:rPr>
                <w:rFonts w:ascii="宋体" w:eastAsia="宋体" w:hAnsi="宋体" w:cs="宋体" w:hint="eastAsia"/>
                <w:color w:val="000000"/>
                <w:sz w:val="24"/>
                <w:szCs w:val="24"/>
              </w:rPr>
            </w:pPr>
          </w:p>
        </w:tc>
        <w:tc>
          <w:tcPr>
            <w:tcW w:w="975" w:type="dxa"/>
            <w:vMerge/>
            <w:vAlign w:val="center"/>
          </w:tcPr>
          <w:p>
            <w:pPr>
              <w:jc w:val="center"/>
              <w:rPr>
                <w:rFonts w:ascii="宋体" w:eastAsia="宋体" w:hAnsi="宋体" w:cs="宋体" w:hint="eastAsia"/>
                <w:bCs/>
                <w:sz w:val="24"/>
                <w:szCs w:val="24"/>
              </w:rPr>
            </w:pPr>
          </w:p>
        </w:tc>
        <w:tc>
          <w:tcPr>
            <w:tcW w:w="3300" w:type="dxa"/>
            <w:vAlign w:val="top"/>
          </w:tcPr>
          <w:p>
            <w:pPr>
              <w:jc w:val="both"/>
              <w:rPr>
                <w:rFonts w:ascii="宋体" w:eastAsia="宋体" w:hAnsi="宋体" w:cs="宋体" w:hint="eastAsia"/>
                <w:bCs/>
                <w:color w:val="000000"/>
                <w:sz w:val="24"/>
                <w:szCs w:val="24"/>
              </w:rPr>
            </w:pPr>
            <w:r>
              <w:rPr>
                <w:rFonts w:ascii="宋体" w:eastAsia="宋体" w:hAnsi="宋体" w:cs="宋体" w:hint="eastAsia"/>
                <w:b/>
                <w:color w:val="000000" w:themeColor="text1"/>
                <w:sz w:val="24"/>
                <w:szCs w:val="24"/>
              </w:rPr>
              <w:t>1.4</w:t>
            </w:r>
            <w:r>
              <w:rPr>
                <w:rFonts w:ascii="宋体" w:eastAsia="宋体" w:hAnsi="宋体" w:cs="宋体" w:hint="eastAsia"/>
                <w:color w:val="000000" w:themeColor="text1"/>
                <w:sz w:val="24"/>
                <w:szCs w:val="24"/>
              </w:rPr>
              <w:t>投标人负责货物的终身维护</w:t>
            </w:r>
            <w:r>
              <w:rPr>
                <w:rFonts w:ascii="宋体" w:eastAsia="宋体" w:hAnsi="宋体" w:cs="宋体" w:hint="eastAsia"/>
                <w:bCs/>
                <w:color w:val="000000" w:themeColor="text1"/>
                <w:sz w:val="24"/>
                <w:szCs w:val="24"/>
              </w:rPr>
              <w:t>，保证</w:t>
            </w:r>
            <w:r>
              <w:rPr>
                <w:rFonts w:ascii="宋体" w:eastAsia="宋体" w:hAnsi="宋体" w:cs="宋体" w:hint="eastAsia"/>
                <w:bCs/>
                <w:color w:val="000000" w:themeColor="text1"/>
                <w:sz w:val="24"/>
                <w:szCs w:val="24"/>
                <w:u w:val="single"/>
              </w:rPr>
              <w:t xml:space="preserve"> 5 </w:t>
            </w:r>
            <w:r>
              <w:rPr>
                <w:rFonts w:ascii="宋体" w:eastAsia="宋体" w:hAnsi="宋体" w:cs="宋体" w:hint="eastAsia"/>
                <w:bCs/>
                <w:color w:val="000000" w:themeColor="text1"/>
                <w:sz w:val="24"/>
                <w:szCs w:val="24"/>
              </w:rPr>
              <w:t>年以上供应维修配件，终身免费提供软件升级服务。在免费保修期后，维修只收取零配件费用，不收取其他任何费用。</w:t>
            </w:r>
          </w:p>
        </w:tc>
        <w:tc>
          <w:tcPr>
            <w:tcW w:w="1781" w:type="dxa"/>
            <w:vAlign w:val="top"/>
          </w:tcPr>
          <w:p>
            <w:pPr>
              <w:jc w:val="both"/>
              <w:rPr>
                <w:rFonts w:ascii="宋体" w:eastAsia="宋体" w:hAnsi="宋体" w:cs="宋体" w:hint="eastAsia"/>
                <w:b/>
                <w:color w:val="000000" w:themeColor="text1"/>
                <w:sz w:val="24"/>
                <w:szCs w:val="24"/>
              </w:rPr>
            </w:pPr>
          </w:p>
        </w:tc>
        <w:tc>
          <w:tcPr>
            <w:tcW w:w="1219" w:type="dxa"/>
            <w:vAlign w:val="top"/>
          </w:tcPr>
          <w:p>
            <w:pPr>
              <w:jc w:val="both"/>
              <w:rPr>
                <w:rFonts w:ascii="宋体" w:eastAsia="宋体" w:hAnsi="宋体" w:cs="宋体" w:hint="eastAsia"/>
                <w:b/>
                <w:color w:val="000000" w:themeColor="text1"/>
                <w:sz w:val="24"/>
                <w:szCs w:val="24"/>
              </w:rPr>
            </w:pPr>
          </w:p>
        </w:tc>
        <w:tc>
          <w:tcPr>
            <w:tcW w:w="750" w:type="dxa"/>
            <w:vAlign w:val="top"/>
          </w:tcPr>
          <w:p>
            <w:pPr>
              <w:jc w:val="both"/>
              <w:rPr>
                <w:rFonts w:ascii="宋体" w:eastAsia="宋体" w:hAnsi="宋体" w:cs="宋体" w:hint="eastAsia"/>
                <w:b/>
                <w:color w:val="000000" w:themeColor="text1"/>
                <w:sz w:val="24"/>
                <w:szCs w:val="24"/>
              </w:rPr>
            </w:pPr>
          </w:p>
        </w:tc>
      </w:tr>
      <w:tr>
        <w:tblPrEx>
          <w:tblW w:w="8539" w:type="dxa"/>
          <w:tblInd w:w="0" w:type="dxa"/>
          <w:tblLayout w:type="fixed"/>
          <w:tblCellMar>
            <w:top w:w="0" w:type="dxa"/>
            <w:left w:w="108" w:type="dxa"/>
            <w:bottom w:w="0" w:type="dxa"/>
            <w:right w:w="108" w:type="dxa"/>
          </w:tblCellMar>
        </w:tblPrEx>
        <w:trPr>
          <w:trHeight w:val="723"/>
        </w:trPr>
        <w:tc>
          <w:tcPr>
            <w:tcW w:w="514" w:type="dxa"/>
            <w:vMerge/>
            <w:vAlign w:val="center"/>
          </w:tcPr>
          <w:p>
            <w:pPr>
              <w:jc w:val="center"/>
              <w:rPr>
                <w:rFonts w:ascii="宋体" w:eastAsia="宋体" w:hAnsi="宋体" w:cs="宋体" w:hint="eastAsia"/>
                <w:color w:val="000000"/>
                <w:sz w:val="24"/>
                <w:szCs w:val="24"/>
              </w:rPr>
            </w:pPr>
          </w:p>
        </w:tc>
        <w:tc>
          <w:tcPr>
            <w:tcW w:w="975" w:type="dxa"/>
            <w:vMerge/>
            <w:vAlign w:val="center"/>
          </w:tcPr>
          <w:p>
            <w:pPr>
              <w:jc w:val="center"/>
              <w:rPr>
                <w:rFonts w:ascii="宋体" w:eastAsia="宋体" w:hAnsi="宋体" w:cs="宋体" w:hint="eastAsia"/>
                <w:bCs/>
                <w:sz w:val="24"/>
                <w:szCs w:val="24"/>
              </w:rPr>
            </w:pPr>
          </w:p>
        </w:tc>
        <w:tc>
          <w:tcPr>
            <w:tcW w:w="3300" w:type="dxa"/>
            <w:vAlign w:val="top"/>
          </w:tcPr>
          <w:p>
            <w:pPr>
              <w:jc w:val="both"/>
              <w:rPr>
                <w:rFonts w:ascii="宋体" w:eastAsia="宋体" w:hAnsi="宋体" w:cs="宋体" w:hint="eastAsia"/>
                <w:bCs/>
                <w:color w:val="000000"/>
                <w:sz w:val="24"/>
                <w:szCs w:val="24"/>
              </w:rPr>
            </w:pPr>
            <w:r>
              <w:rPr>
                <w:rFonts w:ascii="宋体" w:eastAsia="宋体" w:hAnsi="宋体" w:cs="宋体" w:hint="eastAsia"/>
                <w:b/>
                <w:color w:val="000000" w:themeColor="text1"/>
                <w:sz w:val="24"/>
                <w:szCs w:val="24"/>
              </w:rPr>
              <w:t>1.5</w:t>
            </w:r>
            <w:r>
              <w:rPr>
                <w:rFonts w:ascii="宋体" w:eastAsia="宋体" w:hAnsi="宋体" w:cs="宋体" w:hint="eastAsia"/>
                <w:color w:val="000000" w:themeColor="text1"/>
                <w:sz w:val="24"/>
                <w:szCs w:val="24"/>
              </w:rPr>
              <w:t>需免费提供标准DICOM格式及开放接口，并与医院H</w:t>
            </w:r>
            <w:r>
              <w:rPr>
                <w:rFonts w:ascii="宋体" w:eastAsia="宋体" w:hAnsi="宋体" w:cs="宋体" w:hint="eastAsia"/>
                <w:color w:val="000000" w:themeColor="text1"/>
                <w:sz w:val="24"/>
                <w:szCs w:val="24"/>
                <w:highlight w:val="none"/>
              </w:rPr>
              <w:t>IS</w:t>
            </w:r>
            <w:r>
              <w:rPr>
                <w:rFonts w:ascii="宋体" w:eastAsia="宋体" w:hAnsi="宋体" w:cs="宋体" w:hint="eastAsia"/>
                <w:strike w:val="0"/>
                <w:dstrike w:val="0"/>
                <w:color w:val="000000" w:themeColor="text1"/>
                <w:sz w:val="24"/>
                <w:szCs w:val="24"/>
                <w:highlight w:val="none"/>
              </w:rPr>
              <w:t>等</w:t>
            </w:r>
            <w:r>
              <w:rPr>
                <w:rFonts w:ascii="宋体" w:eastAsia="宋体" w:hAnsi="宋体" w:cs="宋体" w:hint="eastAsia"/>
                <w:strike w:val="0"/>
                <w:dstrike w:val="0"/>
                <w:color w:val="000000" w:themeColor="text1"/>
                <w:sz w:val="24"/>
                <w:szCs w:val="24"/>
                <w:highlight w:val="none"/>
                <w:lang w:val="en-US" w:eastAsia="zh-CN"/>
              </w:rPr>
              <w:t>信息化软件</w:t>
            </w:r>
            <w:r>
              <w:rPr>
                <w:rFonts w:ascii="宋体" w:eastAsia="宋体" w:hAnsi="宋体" w:cs="宋体" w:hint="eastAsia"/>
                <w:strike w:val="0"/>
                <w:dstrike w:val="0"/>
                <w:color w:val="000000" w:themeColor="text1"/>
                <w:sz w:val="24"/>
                <w:szCs w:val="24"/>
                <w:highlight w:val="none"/>
              </w:rPr>
              <w:t>系统</w:t>
            </w:r>
            <w:r>
              <w:rPr>
                <w:rFonts w:ascii="宋体" w:eastAsia="宋体" w:hAnsi="宋体" w:cs="宋体" w:hint="eastAsia"/>
                <w:color w:val="000000" w:themeColor="text1"/>
                <w:sz w:val="24"/>
                <w:szCs w:val="24"/>
                <w:highlight w:val="none"/>
              </w:rPr>
              <w:t>进行</w:t>
            </w:r>
            <w:r>
              <w:rPr>
                <w:rFonts w:ascii="宋体" w:eastAsia="宋体" w:hAnsi="宋体" w:cs="宋体" w:hint="eastAsia"/>
                <w:color w:val="000000" w:themeColor="text1"/>
                <w:sz w:val="24"/>
                <w:szCs w:val="24"/>
              </w:rPr>
              <w:t>无缝对接，符合实时数据采集上传和局域网存储功能，产生费用由中标单位自行承担</w:t>
            </w:r>
            <w:r>
              <w:rPr>
                <w:rStyle w:val="CommentReference"/>
                <w:rFonts w:ascii="宋体" w:eastAsia="宋体" w:hAnsi="宋体" w:cs="宋体" w:hint="eastAsia"/>
                <w:color w:val="000000" w:themeColor="text1"/>
                <w:sz w:val="24"/>
                <w:szCs w:val="24"/>
              </w:rPr>
              <w:t>。</w:t>
            </w:r>
          </w:p>
        </w:tc>
        <w:tc>
          <w:tcPr>
            <w:tcW w:w="1781" w:type="dxa"/>
            <w:vAlign w:val="top"/>
          </w:tcPr>
          <w:p>
            <w:pPr>
              <w:jc w:val="both"/>
              <w:rPr>
                <w:rFonts w:ascii="宋体" w:eastAsia="宋体" w:hAnsi="宋体" w:cs="宋体" w:hint="eastAsia"/>
                <w:b/>
                <w:color w:val="000000" w:themeColor="text1"/>
                <w:sz w:val="24"/>
                <w:szCs w:val="24"/>
              </w:rPr>
            </w:pPr>
          </w:p>
        </w:tc>
        <w:tc>
          <w:tcPr>
            <w:tcW w:w="1219" w:type="dxa"/>
            <w:vAlign w:val="top"/>
          </w:tcPr>
          <w:p>
            <w:pPr>
              <w:jc w:val="both"/>
              <w:rPr>
                <w:rFonts w:ascii="宋体" w:eastAsia="宋体" w:hAnsi="宋体" w:cs="宋体" w:hint="eastAsia"/>
                <w:b/>
                <w:color w:val="000000" w:themeColor="text1"/>
                <w:sz w:val="24"/>
                <w:szCs w:val="24"/>
              </w:rPr>
            </w:pPr>
          </w:p>
        </w:tc>
        <w:tc>
          <w:tcPr>
            <w:tcW w:w="750" w:type="dxa"/>
            <w:vAlign w:val="top"/>
          </w:tcPr>
          <w:p>
            <w:pPr>
              <w:jc w:val="both"/>
              <w:rPr>
                <w:rFonts w:ascii="宋体" w:eastAsia="宋体" w:hAnsi="宋体" w:cs="宋体" w:hint="eastAsia"/>
                <w:b/>
                <w:color w:val="000000" w:themeColor="text1"/>
                <w:sz w:val="24"/>
                <w:szCs w:val="24"/>
              </w:rPr>
            </w:pPr>
          </w:p>
        </w:tc>
      </w:tr>
      <w:tr>
        <w:tblPrEx>
          <w:tblW w:w="8539" w:type="dxa"/>
          <w:tblInd w:w="0" w:type="dxa"/>
          <w:tblLayout w:type="fixed"/>
          <w:tblCellMar>
            <w:top w:w="0" w:type="dxa"/>
            <w:left w:w="108" w:type="dxa"/>
            <w:bottom w:w="0" w:type="dxa"/>
            <w:right w:w="108" w:type="dxa"/>
          </w:tblCellMar>
        </w:tblPrEx>
        <w:trPr>
          <w:trHeight w:val="723"/>
        </w:trPr>
        <w:tc>
          <w:tcPr>
            <w:tcW w:w="514" w:type="dxa"/>
            <w:vAlign w:val="center"/>
          </w:tcPr>
          <w:p>
            <w:pPr>
              <w:jc w:val="center"/>
              <w:rPr>
                <w:rFonts w:ascii="宋体" w:eastAsia="宋体" w:hAnsi="宋体" w:cs="宋体" w:hint="eastAsia"/>
                <w:color w:val="000000"/>
                <w:sz w:val="24"/>
                <w:szCs w:val="24"/>
              </w:rPr>
            </w:pPr>
            <w:r>
              <w:rPr>
                <w:rFonts w:ascii="宋体" w:eastAsia="宋体" w:hAnsi="宋体" w:cs="宋体" w:hint="eastAsia"/>
                <w:color w:val="000000"/>
                <w:sz w:val="24"/>
                <w:szCs w:val="24"/>
              </w:rPr>
              <w:t>2</w:t>
            </w:r>
          </w:p>
        </w:tc>
        <w:tc>
          <w:tcPr>
            <w:tcW w:w="975" w:type="dxa"/>
            <w:vAlign w:val="center"/>
          </w:tcPr>
          <w:p>
            <w:pPr>
              <w:jc w:val="center"/>
              <w:rPr>
                <w:rFonts w:ascii="宋体" w:eastAsia="宋体" w:hAnsi="宋体" w:cs="宋体" w:hint="eastAsia"/>
                <w:bCs/>
                <w:sz w:val="24"/>
                <w:szCs w:val="24"/>
              </w:rPr>
            </w:pPr>
            <w:r>
              <w:rPr>
                <w:rFonts w:ascii="宋体" w:eastAsia="宋体" w:hAnsi="宋体" w:cs="宋体" w:hint="eastAsia"/>
                <w:sz w:val="24"/>
                <w:szCs w:val="24"/>
              </w:rPr>
              <w:t>质量保证</w:t>
            </w:r>
          </w:p>
        </w:tc>
        <w:tc>
          <w:tcPr>
            <w:tcW w:w="3300" w:type="dxa"/>
            <w:vAlign w:val="top"/>
          </w:tcPr>
          <w:p>
            <w:pPr>
              <w:jc w:val="both"/>
              <w:rPr>
                <w:rFonts w:ascii="宋体" w:eastAsia="宋体" w:hAnsi="宋体" w:cs="宋体" w:hint="eastAsia"/>
                <w:bCs/>
                <w:color w:val="000000"/>
                <w:sz w:val="24"/>
                <w:szCs w:val="24"/>
              </w:rPr>
            </w:pPr>
            <w:r>
              <w:rPr>
                <w:rFonts w:ascii="宋体" w:eastAsia="宋体" w:hAnsi="宋体" w:cs="宋体" w:hint="eastAsia"/>
                <w:b/>
                <w:sz w:val="24"/>
                <w:szCs w:val="24"/>
              </w:rPr>
              <w:t>2.1</w:t>
            </w:r>
            <w:r>
              <w:rPr>
                <w:rFonts w:ascii="宋体" w:eastAsia="宋体" w:hAnsi="宋体" w:cs="宋体" w:hint="eastAsia"/>
                <w:bCs/>
                <w:sz w:val="24"/>
                <w:szCs w:val="24"/>
              </w:rPr>
              <w:t>在保修期内, 投标人应确保年开机率在95%</w:t>
            </w:r>
            <w:r>
              <w:rPr>
                <w:rFonts w:ascii="宋体" w:eastAsia="宋体" w:hAnsi="宋体" w:cs="宋体" w:hint="eastAsia"/>
                <w:sz w:val="24"/>
                <w:szCs w:val="24"/>
              </w:rPr>
              <w:t>（含95%）</w:t>
            </w:r>
            <w:r>
              <w:rPr>
                <w:rFonts w:ascii="宋体" w:eastAsia="宋体" w:hAnsi="宋体" w:cs="宋体" w:hint="eastAsia"/>
                <w:bCs/>
                <w:sz w:val="24"/>
                <w:szCs w:val="24"/>
              </w:rPr>
              <w:t>以上, 若不能达到此开机率，将作以下处理：a. 年开机率在90</w:t>
            </w:r>
            <w:r>
              <w:rPr>
                <w:rFonts w:ascii="宋体" w:eastAsia="宋体" w:hAnsi="宋体" w:cs="宋体" w:hint="eastAsia"/>
                <w:sz w:val="24"/>
                <w:szCs w:val="24"/>
              </w:rPr>
              <w:t>（含90%）</w:t>
            </w:r>
            <w:r>
              <w:rPr>
                <w:rFonts w:ascii="宋体" w:eastAsia="宋体" w:hAnsi="宋体" w:cs="宋体" w:hint="eastAsia"/>
                <w:bCs/>
                <w:sz w:val="24"/>
                <w:szCs w:val="24"/>
              </w:rPr>
              <w:t>-95%之间按一赔</w:t>
            </w:r>
            <w:r>
              <w:rPr>
                <w:rFonts w:ascii="宋体" w:eastAsia="宋体" w:hAnsi="宋体" w:cs="宋体" w:hint="eastAsia"/>
                <w:bCs/>
                <w:sz w:val="24"/>
                <w:szCs w:val="24"/>
                <w:u w:val="single"/>
              </w:rPr>
              <w:t xml:space="preserve">2  </w:t>
            </w:r>
            <w:r>
              <w:rPr>
                <w:rFonts w:ascii="宋体" w:eastAsia="宋体" w:hAnsi="宋体" w:cs="宋体" w:hint="eastAsia"/>
                <w:bCs/>
                <w:sz w:val="24"/>
                <w:szCs w:val="24"/>
              </w:rPr>
              <w:t>延长保修期；b. 年开机率在85</w:t>
            </w:r>
            <w:r>
              <w:rPr>
                <w:rFonts w:ascii="宋体" w:eastAsia="宋体" w:hAnsi="宋体" w:cs="宋体" w:hint="eastAsia"/>
                <w:sz w:val="24"/>
                <w:szCs w:val="24"/>
              </w:rPr>
              <w:t>（含85%）</w:t>
            </w:r>
            <w:r>
              <w:rPr>
                <w:rFonts w:ascii="宋体" w:eastAsia="宋体" w:hAnsi="宋体" w:cs="宋体" w:hint="eastAsia"/>
                <w:bCs/>
                <w:sz w:val="24"/>
                <w:szCs w:val="24"/>
              </w:rPr>
              <w:t>-90%之间按一赔</w:t>
            </w:r>
            <w:r>
              <w:rPr>
                <w:rFonts w:ascii="宋体" w:eastAsia="宋体" w:hAnsi="宋体" w:cs="宋体" w:hint="eastAsia"/>
                <w:bCs/>
                <w:sz w:val="24"/>
                <w:szCs w:val="24"/>
                <w:u w:val="single"/>
              </w:rPr>
              <w:t xml:space="preserve"> 3</w:t>
            </w:r>
            <w:r>
              <w:rPr>
                <w:rFonts w:ascii="宋体" w:eastAsia="宋体" w:hAnsi="宋体" w:cs="宋体" w:hint="eastAsia"/>
                <w:bCs/>
                <w:sz w:val="24"/>
                <w:szCs w:val="24"/>
              </w:rPr>
              <w:t>延长保修期；c. 年开机率低于85%，投标人必须无条件更换新机，并重新计算保修期，以及赔偿用户的直接经济损失和间接经济损失。注：年开机率=（365-停机天数）/365）</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723"/>
        </w:trPr>
        <w:tc>
          <w:tcPr>
            <w:tcW w:w="514" w:type="dxa"/>
            <w:vMerge w:val="restart"/>
            <w:vAlign w:val="center"/>
          </w:tcPr>
          <w:p>
            <w:pPr>
              <w:jc w:val="center"/>
              <w:rPr>
                <w:rFonts w:ascii="宋体" w:eastAsia="宋体" w:hAnsi="宋体" w:cs="宋体" w:hint="eastAsia"/>
                <w:color w:val="000000"/>
                <w:sz w:val="24"/>
                <w:szCs w:val="24"/>
              </w:rPr>
            </w:pPr>
            <w:r>
              <w:rPr>
                <w:rFonts w:ascii="宋体" w:eastAsia="宋体" w:hAnsi="宋体" w:cs="宋体" w:hint="eastAsia"/>
                <w:color w:val="000000"/>
                <w:sz w:val="24"/>
                <w:szCs w:val="24"/>
              </w:rPr>
              <w:t>3</w:t>
            </w:r>
          </w:p>
        </w:tc>
        <w:tc>
          <w:tcPr>
            <w:tcW w:w="975" w:type="dxa"/>
            <w:vMerge w:val="restart"/>
            <w:vAlign w:val="center"/>
          </w:tcPr>
          <w:p>
            <w:pPr>
              <w:jc w:val="center"/>
              <w:rPr>
                <w:rFonts w:ascii="宋体" w:eastAsia="宋体" w:hAnsi="宋体" w:cs="宋体" w:hint="eastAsia"/>
                <w:bCs/>
                <w:sz w:val="24"/>
                <w:szCs w:val="24"/>
              </w:rPr>
            </w:pPr>
            <w:r>
              <w:rPr>
                <w:rFonts w:ascii="宋体" w:eastAsia="宋体" w:hAnsi="宋体" w:cs="宋体" w:hint="eastAsia"/>
                <w:sz w:val="24"/>
                <w:szCs w:val="24"/>
              </w:rPr>
              <w:t>其他</w:t>
            </w:r>
          </w:p>
        </w:tc>
        <w:tc>
          <w:tcPr>
            <w:tcW w:w="3300" w:type="dxa"/>
            <w:vAlign w:val="top"/>
          </w:tcPr>
          <w:p>
            <w:pPr>
              <w:jc w:val="both"/>
              <w:rPr>
                <w:rFonts w:ascii="宋体" w:eastAsia="宋体" w:hAnsi="宋体" w:cs="宋体" w:hint="eastAsia"/>
                <w:b/>
                <w:sz w:val="24"/>
                <w:szCs w:val="24"/>
              </w:rPr>
            </w:pPr>
            <w:r>
              <w:rPr>
                <w:rFonts w:ascii="宋体" w:eastAsia="宋体" w:hAnsi="宋体" w:cs="宋体" w:hint="eastAsia"/>
                <w:b/>
                <w:sz w:val="24"/>
                <w:szCs w:val="24"/>
              </w:rPr>
              <w:t>3.1</w:t>
            </w:r>
            <w:r>
              <w:rPr>
                <w:rFonts w:ascii="宋体" w:eastAsia="宋体" w:hAnsi="宋体" w:cs="宋体" w:hint="eastAsia"/>
                <w:bCs/>
                <w:sz w:val="24"/>
                <w:szCs w:val="24"/>
              </w:rPr>
              <w:t>投标人应按其投标文件中的承诺，进行其他售后服务工作。</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723"/>
        </w:trPr>
        <w:tc>
          <w:tcPr>
            <w:tcW w:w="514" w:type="dxa"/>
            <w:vMerge/>
            <w:vAlign w:val="top"/>
          </w:tcPr>
          <w:p>
            <w:pPr>
              <w:jc w:val="both"/>
              <w:rPr>
                <w:rFonts w:ascii="宋体" w:eastAsia="宋体" w:hAnsi="宋体" w:cs="宋体" w:hint="eastAsia"/>
                <w:color w:val="000000"/>
                <w:sz w:val="24"/>
                <w:szCs w:val="24"/>
              </w:rPr>
            </w:pPr>
          </w:p>
        </w:tc>
        <w:tc>
          <w:tcPr>
            <w:tcW w:w="975" w:type="dxa"/>
            <w:vMerge/>
            <w:vAlign w:val="top"/>
          </w:tcPr>
          <w:p>
            <w:pPr>
              <w:jc w:val="both"/>
              <w:rPr>
                <w:rFonts w:ascii="宋体" w:eastAsia="宋体" w:hAnsi="宋体" w:cs="宋体" w:hint="eastAsia"/>
                <w:bCs/>
                <w:sz w:val="24"/>
                <w:szCs w:val="24"/>
              </w:rPr>
            </w:pPr>
          </w:p>
        </w:tc>
        <w:tc>
          <w:tcPr>
            <w:tcW w:w="3300" w:type="dxa"/>
            <w:vAlign w:val="top"/>
          </w:tcPr>
          <w:p>
            <w:pPr>
              <w:jc w:val="both"/>
              <w:rPr>
                <w:rFonts w:ascii="宋体" w:eastAsia="宋体" w:hAnsi="宋体" w:cs="宋体" w:hint="eastAsia"/>
                <w:bCs/>
                <w:color w:val="000000"/>
                <w:sz w:val="24"/>
                <w:szCs w:val="24"/>
              </w:rPr>
            </w:pPr>
            <w:r>
              <w:rPr>
                <w:rFonts w:ascii="宋体" w:eastAsia="宋体" w:hAnsi="宋体" w:cs="宋体" w:hint="eastAsia"/>
                <w:b/>
                <w:sz w:val="24"/>
                <w:szCs w:val="24"/>
              </w:rPr>
              <w:t>3.2</w:t>
            </w:r>
            <w:r>
              <w:rPr>
                <w:rFonts w:ascii="宋体" w:eastAsia="宋体" w:hAnsi="宋体" w:cs="宋体" w:hint="eastAsia"/>
                <w:bCs/>
                <w:sz w:val="24"/>
                <w:szCs w:val="24"/>
              </w:rPr>
              <w:t>为保障用户利益，设备生产厂家或其全资子公司需在广东配备有常驻人员，需提供常驻人员的缴纳社保的证明。</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215"/>
        </w:trPr>
        <w:tc>
          <w:tcPr>
            <w:tcW w:w="8539" w:type="dxa"/>
            <w:gridSpan w:val="6"/>
            <w:vAlign w:val="top"/>
          </w:tcPr>
          <w:p>
            <w:pPr>
              <w:spacing w:line="300" w:lineRule="exact"/>
              <w:jc w:val="both"/>
              <w:rPr>
                <w:rFonts w:hint="eastAsia"/>
                <w:b/>
              </w:rPr>
            </w:pPr>
            <w:r>
              <w:rPr>
                <w:rFonts w:hint="eastAsia"/>
                <w:b/>
              </w:rPr>
              <w:t>（二）免费保修期外售后服务要求</w:t>
            </w:r>
          </w:p>
        </w:tc>
      </w:tr>
      <w:tr>
        <w:tblPrEx>
          <w:tblW w:w="8539" w:type="dxa"/>
          <w:tblInd w:w="0" w:type="dxa"/>
          <w:tblLayout w:type="fixed"/>
          <w:tblCellMar>
            <w:top w:w="0" w:type="dxa"/>
            <w:left w:w="108" w:type="dxa"/>
            <w:bottom w:w="0" w:type="dxa"/>
            <w:right w:w="108" w:type="dxa"/>
          </w:tblCellMar>
        </w:tblPrEx>
        <w:trPr>
          <w:trHeight w:val="350"/>
        </w:trPr>
        <w:tc>
          <w:tcPr>
            <w:tcW w:w="514" w:type="dxa"/>
            <w:vMerge w:val="restart"/>
            <w:vAlign w:val="center"/>
          </w:tcPr>
          <w:p>
            <w:pPr>
              <w:jc w:val="center"/>
              <w:rPr>
                <w:rFonts w:ascii="宋体" w:eastAsia="宋体" w:hAnsi="宋体" w:cs="宋体" w:hint="eastAsia"/>
                <w:b/>
                <w:sz w:val="24"/>
                <w:szCs w:val="24"/>
              </w:rPr>
            </w:pPr>
            <w:r>
              <w:rPr>
                <w:rFonts w:ascii="宋体" w:eastAsia="宋体" w:hAnsi="宋体" w:cs="宋体" w:hint="eastAsia"/>
                <w:color w:val="000000"/>
                <w:sz w:val="24"/>
                <w:szCs w:val="24"/>
              </w:rPr>
              <w:t>1</w:t>
            </w:r>
          </w:p>
        </w:tc>
        <w:tc>
          <w:tcPr>
            <w:tcW w:w="975" w:type="dxa"/>
            <w:vMerge w:val="restart"/>
            <w:vAlign w:val="center"/>
          </w:tcPr>
          <w:p>
            <w:pPr>
              <w:jc w:val="center"/>
              <w:rPr>
                <w:rFonts w:ascii="宋体" w:eastAsia="宋体" w:hAnsi="宋体" w:cs="宋体" w:hint="eastAsia"/>
                <w:b/>
                <w:sz w:val="24"/>
                <w:szCs w:val="24"/>
              </w:rPr>
            </w:pPr>
            <w:r>
              <w:rPr>
                <w:rFonts w:ascii="宋体" w:eastAsia="宋体" w:hAnsi="宋体" w:cs="宋体" w:hint="eastAsia"/>
                <w:bCs/>
                <w:color w:val="000000"/>
                <w:sz w:val="24"/>
                <w:szCs w:val="24"/>
              </w:rPr>
              <w:t>免费保修期外售后要求</w:t>
            </w:r>
          </w:p>
        </w:tc>
        <w:tc>
          <w:tcPr>
            <w:tcW w:w="3300" w:type="dxa"/>
            <w:vAlign w:val="top"/>
          </w:tcPr>
          <w:p>
            <w:pPr>
              <w:spacing w:line="300" w:lineRule="exact"/>
              <w:jc w:val="both"/>
              <w:rPr>
                <w:rFonts w:ascii="宋体" w:eastAsia="宋体" w:hAnsi="宋体" w:cs="宋体" w:hint="eastAsia"/>
                <w:sz w:val="24"/>
                <w:szCs w:val="24"/>
              </w:rPr>
            </w:pPr>
            <w:r>
              <w:rPr>
                <w:rFonts w:ascii="宋体" w:eastAsia="宋体" w:hAnsi="宋体" w:cs="宋体" w:hint="eastAsia"/>
                <w:b/>
                <w:bCs/>
                <w:sz w:val="24"/>
                <w:szCs w:val="24"/>
              </w:rPr>
              <w:t>1.1</w:t>
            </w:r>
            <w:r>
              <w:rPr>
                <w:rFonts w:ascii="宋体" w:eastAsia="宋体" w:hAnsi="宋体" w:cs="宋体" w:hint="eastAsia"/>
                <w:sz w:val="24"/>
                <w:szCs w:val="24"/>
              </w:rPr>
              <w:t>由设备制造商提供售后服务，</w:t>
            </w:r>
            <w:r>
              <w:rPr>
                <w:rFonts w:ascii="宋体" w:eastAsia="宋体" w:hAnsi="宋体" w:cs="宋体" w:hint="eastAsia"/>
                <w:bCs/>
                <w:sz w:val="24"/>
                <w:szCs w:val="24"/>
                <w:u w:val="single"/>
              </w:rPr>
              <w:t xml:space="preserve"> 4 </w:t>
            </w:r>
            <w:r>
              <w:rPr>
                <w:rFonts w:ascii="宋体" w:eastAsia="宋体" w:hAnsi="宋体" w:cs="宋体" w:hint="eastAsia"/>
                <w:sz w:val="24"/>
                <w:szCs w:val="24"/>
              </w:rPr>
              <w:t>小时内响应</w:t>
            </w:r>
            <w:r>
              <w:rPr>
                <w:rFonts w:ascii="宋体" w:eastAsia="宋体" w:hAnsi="宋体" w:cs="宋体" w:hint="eastAsia"/>
                <w:bCs/>
                <w:sz w:val="24"/>
                <w:szCs w:val="24"/>
                <w:u w:val="single"/>
              </w:rPr>
              <w:t xml:space="preserve">24  </w:t>
            </w:r>
            <w:r>
              <w:rPr>
                <w:rFonts w:ascii="宋体" w:eastAsia="宋体" w:hAnsi="宋体" w:cs="宋体" w:hint="eastAsia"/>
                <w:sz w:val="24"/>
                <w:szCs w:val="24"/>
              </w:rPr>
              <w:t>小时维修到位（不可抗力情况除外）。消耗品和零配件供应及时，特殊情况下可提供备用机。</w:t>
            </w:r>
          </w:p>
        </w:tc>
        <w:tc>
          <w:tcPr>
            <w:tcW w:w="1781" w:type="dxa"/>
            <w:vAlign w:val="top"/>
          </w:tcPr>
          <w:p>
            <w:pPr>
              <w:spacing w:line="300" w:lineRule="exact"/>
              <w:jc w:val="both"/>
              <w:rPr>
                <w:rFonts w:ascii="宋体" w:eastAsia="宋体" w:hAnsi="宋体" w:cs="宋体" w:hint="eastAsia"/>
                <w:b/>
                <w:bCs/>
                <w:sz w:val="24"/>
                <w:szCs w:val="24"/>
              </w:rPr>
            </w:pPr>
          </w:p>
        </w:tc>
        <w:tc>
          <w:tcPr>
            <w:tcW w:w="1219" w:type="dxa"/>
            <w:vAlign w:val="top"/>
          </w:tcPr>
          <w:p>
            <w:pPr>
              <w:spacing w:line="300" w:lineRule="exact"/>
              <w:jc w:val="both"/>
              <w:rPr>
                <w:rFonts w:ascii="宋体" w:eastAsia="宋体" w:hAnsi="宋体" w:cs="宋体" w:hint="eastAsia"/>
                <w:b/>
                <w:bCs/>
                <w:sz w:val="24"/>
                <w:szCs w:val="24"/>
              </w:rPr>
            </w:pPr>
          </w:p>
        </w:tc>
        <w:tc>
          <w:tcPr>
            <w:tcW w:w="750" w:type="dxa"/>
            <w:vAlign w:val="top"/>
          </w:tcPr>
          <w:p>
            <w:pPr>
              <w:spacing w:line="300" w:lineRule="exact"/>
              <w:jc w:val="both"/>
              <w:rPr>
                <w:rFonts w:ascii="宋体" w:eastAsia="宋体" w:hAnsi="宋体" w:cs="宋体" w:hint="eastAsia"/>
                <w:b/>
                <w:bCs/>
                <w:sz w:val="24"/>
                <w:szCs w:val="24"/>
              </w:rPr>
            </w:pPr>
          </w:p>
        </w:tc>
      </w:tr>
      <w:tr>
        <w:tblPrEx>
          <w:tblW w:w="8539" w:type="dxa"/>
          <w:tblInd w:w="0" w:type="dxa"/>
          <w:tblLayout w:type="fixed"/>
          <w:tblCellMar>
            <w:top w:w="0" w:type="dxa"/>
            <w:left w:w="108" w:type="dxa"/>
            <w:bottom w:w="0" w:type="dxa"/>
            <w:right w:w="108" w:type="dxa"/>
          </w:tblCellMar>
        </w:tblPrEx>
        <w:trPr>
          <w:trHeight w:val="350"/>
        </w:trPr>
        <w:tc>
          <w:tcPr>
            <w:tcW w:w="514" w:type="dxa"/>
            <w:vMerge/>
            <w:vAlign w:val="top"/>
          </w:tcPr>
          <w:p>
            <w:pPr>
              <w:jc w:val="both"/>
              <w:rPr>
                <w:rFonts w:ascii="宋体" w:eastAsia="宋体" w:hAnsi="宋体" w:cs="宋体" w:hint="eastAsia"/>
                <w:color w:val="000000"/>
                <w:sz w:val="24"/>
                <w:szCs w:val="24"/>
              </w:rPr>
            </w:pPr>
          </w:p>
        </w:tc>
        <w:tc>
          <w:tcPr>
            <w:tcW w:w="975" w:type="dxa"/>
            <w:vMerge/>
            <w:vAlign w:val="top"/>
          </w:tcPr>
          <w:p>
            <w:pPr>
              <w:jc w:val="both"/>
              <w:rPr>
                <w:rFonts w:ascii="宋体" w:eastAsia="宋体" w:hAnsi="宋体" w:cs="宋体" w:hint="eastAsia"/>
                <w:bCs/>
                <w:color w:val="000000"/>
                <w:sz w:val="24"/>
                <w:szCs w:val="24"/>
              </w:rPr>
            </w:pPr>
          </w:p>
        </w:tc>
        <w:tc>
          <w:tcPr>
            <w:tcW w:w="3300" w:type="dxa"/>
            <w:vAlign w:val="top"/>
          </w:tcPr>
          <w:p>
            <w:pPr>
              <w:spacing w:line="300" w:lineRule="exact"/>
              <w:jc w:val="both"/>
              <w:rPr>
                <w:rFonts w:ascii="宋体" w:eastAsia="宋体" w:hAnsi="宋体" w:cs="宋体" w:hint="eastAsia"/>
                <w:bCs/>
                <w:color w:val="000000"/>
                <w:sz w:val="24"/>
                <w:szCs w:val="24"/>
              </w:rPr>
            </w:pPr>
            <w:r>
              <w:rPr>
                <w:rFonts w:ascii="宋体" w:eastAsia="宋体" w:hAnsi="宋体" w:cs="宋体" w:hint="eastAsia"/>
                <w:b/>
                <w:bCs/>
                <w:sz w:val="24"/>
                <w:szCs w:val="24"/>
              </w:rPr>
              <w:t>1.2</w:t>
            </w:r>
            <w:r>
              <w:rPr>
                <w:rFonts w:ascii="宋体" w:eastAsia="宋体" w:hAnsi="宋体" w:cs="宋体" w:hint="eastAsia"/>
                <w:sz w:val="24"/>
                <w:szCs w:val="24"/>
              </w:rPr>
              <w:t>保修期满后，投标人应以优惠价供应维修零配件、消耗品和延续保修合同。价格最高的前5项零配件、消耗品和延续保修合同的报价明细必须填写于《零配件、消耗品和延续保修合同报价明清单》中。</w:t>
            </w:r>
          </w:p>
        </w:tc>
        <w:tc>
          <w:tcPr>
            <w:tcW w:w="1781" w:type="dxa"/>
            <w:vAlign w:val="top"/>
          </w:tcPr>
          <w:p>
            <w:pPr>
              <w:spacing w:line="300" w:lineRule="exact"/>
              <w:jc w:val="both"/>
              <w:rPr>
                <w:rFonts w:ascii="宋体" w:eastAsia="宋体" w:hAnsi="宋体" w:cs="宋体" w:hint="eastAsia"/>
                <w:b/>
                <w:bCs/>
                <w:sz w:val="24"/>
                <w:szCs w:val="24"/>
              </w:rPr>
            </w:pPr>
          </w:p>
        </w:tc>
        <w:tc>
          <w:tcPr>
            <w:tcW w:w="1219" w:type="dxa"/>
            <w:vAlign w:val="top"/>
          </w:tcPr>
          <w:p>
            <w:pPr>
              <w:spacing w:line="300" w:lineRule="exact"/>
              <w:jc w:val="both"/>
              <w:rPr>
                <w:rFonts w:ascii="宋体" w:eastAsia="宋体" w:hAnsi="宋体" w:cs="宋体" w:hint="eastAsia"/>
                <w:b/>
                <w:bCs/>
                <w:sz w:val="24"/>
                <w:szCs w:val="24"/>
              </w:rPr>
            </w:pPr>
          </w:p>
        </w:tc>
        <w:tc>
          <w:tcPr>
            <w:tcW w:w="750" w:type="dxa"/>
            <w:vAlign w:val="top"/>
          </w:tcPr>
          <w:p>
            <w:pPr>
              <w:spacing w:line="300" w:lineRule="exact"/>
              <w:jc w:val="both"/>
              <w:rPr>
                <w:rFonts w:ascii="宋体" w:eastAsia="宋体" w:hAnsi="宋体" w:cs="宋体" w:hint="eastAsia"/>
                <w:b/>
                <w:bCs/>
                <w:sz w:val="24"/>
                <w:szCs w:val="24"/>
              </w:rPr>
            </w:pPr>
          </w:p>
        </w:tc>
      </w:tr>
      <w:tr>
        <w:tblPrEx>
          <w:tblW w:w="8539" w:type="dxa"/>
          <w:tblInd w:w="0" w:type="dxa"/>
          <w:tblLayout w:type="fixed"/>
          <w:tblCellMar>
            <w:top w:w="0" w:type="dxa"/>
            <w:left w:w="108" w:type="dxa"/>
            <w:bottom w:w="0" w:type="dxa"/>
            <w:right w:w="108" w:type="dxa"/>
          </w:tblCellMar>
        </w:tblPrEx>
        <w:trPr>
          <w:trHeight w:val="350"/>
        </w:trPr>
        <w:tc>
          <w:tcPr>
            <w:tcW w:w="514" w:type="dxa"/>
            <w:vMerge/>
            <w:vAlign w:val="top"/>
          </w:tcPr>
          <w:p>
            <w:pPr>
              <w:jc w:val="both"/>
              <w:rPr>
                <w:rFonts w:ascii="宋体" w:eastAsia="宋体" w:hAnsi="宋体" w:cs="宋体" w:hint="eastAsia"/>
                <w:color w:val="000000"/>
                <w:sz w:val="24"/>
                <w:szCs w:val="24"/>
              </w:rPr>
            </w:pPr>
          </w:p>
        </w:tc>
        <w:tc>
          <w:tcPr>
            <w:tcW w:w="975" w:type="dxa"/>
            <w:vMerge/>
            <w:vAlign w:val="top"/>
          </w:tcPr>
          <w:p>
            <w:pPr>
              <w:jc w:val="both"/>
              <w:rPr>
                <w:rFonts w:ascii="宋体" w:eastAsia="宋体" w:hAnsi="宋体" w:cs="宋体" w:hint="eastAsia"/>
                <w:bCs/>
                <w:color w:val="000000"/>
                <w:sz w:val="24"/>
                <w:szCs w:val="24"/>
              </w:rPr>
            </w:pPr>
          </w:p>
        </w:tc>
        <w:tc>
          <w:tcPr>
            <w:tcW w:w="3300" w:type="dxa"/>
            <w:vAlign w:val="top"/>
          </w:tcPr>
          <w:p>
            <w:pPr>
              <w:spacing w:line="300" w:lineRule="exact"/>
              <w:jc w:val="both"/>
              <w:rPr>
                <w:rFonts w:ascii="宋体" w:eastAsia="宋体" w:hAnsi="宋体" w:cs="宋体" w:hint="eastAsia"/>
                <w:bCs/>
                <w:color w:val="000000"/>
                <w:sz w:val="24"/>
                <w:szCs w:val="24"/>
              </w:rPr>
            </w:pPr>
            <w:r>
              <w:rPr>
                <w:rFonts w:ascii="宋体" w:eastAsia="宋体" w:hAnsi="宋体" w:cs="宋体" w:hint="eastAsia"/>
                <w:b/>
                <w:bCs/>
                <w:sz w:val="24"/>
                <w:szCs w:val="24"/>
              </w:rPr>
              <w:t>1.3</w:t>
            </w:r>
            <w:r>
              <w:rPr>
                <w:rFonts w:ascii="宋体" w:eastAsia="宋体" w:hAnsi="宋体" w:cs="宋体" w:hint="eastAsia"/>
                <w:sz w:val="24"/>
                <w:szCs w:val="24"/>
              </w:rPr>
              <w:t>采购人可与投标人就优惠价进行谈判，但优惠价不得高于投标人在投标文件的《零配件、消耗品和延续保修合同报价明清单》中承诺的维修零配件、消耗品和延续保修合同的报价。</w:t>
            </w:r>
          </w:p>
        </w:tc>
        <w:tc>
          <w:tcPr>
            <w:tcW w:w="1781" w:type="dxa"/>
            <w:vAlign w:val="top"/>
          </w:tcPr>
          <w:p>
            <w:pPr>
              <w:spacing w:line="300" w:lineRule="exact"/>
              <w:jc w:val="both"/>
              <w:rPr>
                <w:rFonts w:ascii="宋体" w:eastAsia="宋体" w:hAnsi="宋体" w:cs="宋体" w:hint="eastAsia"/>
                <w:b/>
                <w:bCs/>
                <w:sz w:val="24"/>
                <w:szCs w:val="24"/>
              </w:rPr>
            </w:pPr>
          </w:p>
        </w:tc>
        <w:tc>
          <w:tcPr>
            <w:tcW w:w="1219" w:type="dxa"/>
            <w:vAlign w:val="top"/>
          </w:tcPr>
          <w:p>
            <w:pPr>
              <w:spacing w:line="300" w:lineRule="exact"/>
              <w:jc w:val="both"/>
              <w:rPr>
                <w:rFonts w:ascii="宋体" w:eastAsia="宋体" w:hAnsi="宋体" w:cs="宋体" w:hint="eastAsia"/>
                <w:b/>
                <w:bCs/>
                <w:sz w:val="24"/>
                <w:szCs w:val="24"/>
              </w:rPr>
            </w:pPr>
          </w:p>
        </w:tc>
        <w:tc>
          <w:tcPr>
            <w:tcW w:w="750" w:type="dxa"/>
            <w:vAlign w:val="top"/>
          </w:tcPr>
          <w:p>
            <w:pPr>
              <w:spacing w:line="300" w:lineRule="exact"/>
              <w:jc w:val="both"/>
              <w:rPr>
                <w:rFonts w:ascii="宋体" w:eastAsia="宋体" w:hAnsi="宋体" w:cs="宋体" w:hint="eastAsia"/>
                <w:b/>
                <w:bCs/>
                <w:sz w:val="24"/>
                <w:szCs w:val="24"/>
              </w:rPr>
            </w:pPr>
          </w:p>
        </w:tc>
      </w:tr>
      <w:tr>
        <w:tblPrEx>
          <w:tblW w:w="8539" w:type="dxa"/>
          <w:tblInd w:w="0" w:type="dxa"/>
          <w:tblLayout w:type="fixed"/>
          <w:tblCellMar>
            <w:top w:w="0" w:type="dxa"/>
            <w:left w:w="108" w:type="dxa"/>
            <w:bottom w:w="0" w:type="dxa"/>
            <w:right w:w="108" w:type="dxa"/>
          </w:tblCellMar>
        </w:tblPrEx>
        <w:trPr>
          <w:trHeight w:val="350"/>
        </w:trPr>
        <w:tc>
          <w:tcPr>
            <w:tcW w:w="514" w:type="dxa"/>
            <w:vMerge/>
            <w:vAlign w:val="top"/>
          </w:tcPr>
          <w:p>
            <w:pPr>
              <w:jc w:val="both"/>
              <w:rPr>
                <w:rFonts w:ascii="宋体" w:eastAsia="宋体" w:hAnsi="宋体" w:cs="宋体" w:hint="eastAsia"/>
                <w:color w:val="000000"/>
                <w:sz w:val="24"/>
                <w:szCs w:val="24"/>
              </w:rPr>
            </w:pPr>
          </w:p>
        </w:tc>
        <w:tc>
          <w:tcPr>
            <w:tcW w:w="975" w:type="dxa"/>
            <w:vMerge/>
            <w:vAlign w:val="top"/>
          </w:tcPr>
          <w:p>
            <w:pPr>
              <w:jc w:val="both"/>
              <w:rPr>
                <w:rFonts w:ascii="宋体" w:eastAsia="宋体" w:hAnsi="宋体" w:cs="宋体" w:hint="eastAsia"/>
                <w:bCs/>
                <w:color w:val="000000"/>
                <w:sz w:val="24"/>
                <w:szCs w:val="24"/>
              </w:rPr>
            </w:pPr>
          </w:p>
        </w:tc>
        <w:tc>
          <w:tcPr>
            <w:tcW w:w="3300" w:type="dxa"/>
            <w:vAlign w:val="top"/>
          </w:tcPr>
          <w:p>
            <w:pPr>
              <w:jc w:val="both"/>
              <w:rPr>
                <w:rFonts w:ascii="宋体" w:eastAsia="宋体" w:hAnsi="宋体" w:cs="宋体" w:hint="eastAsia"/>
                <w:bCs/>
                <w:color w:val="000000"/>
                <w:sz w:val="24"/>
                <w:szCs w:val="24"/>
              </w:rPr>
            </w:pPr>
            <w:r>
              <w:rPr>
                <w:rFonts w:ascii="宋体" w:eastAsia="宋体" w:hAnsi="宋体" w:cs="宋体" w:hint="eastAsia"/>
                <w:b/>
                <w:bCs/>
                <w:sz w:val="24"/>
                <w:szCs w:val="24"/>
              </w:rPr>
              <w:t>1.4</w:t>
            </w:r>
            <w:r>
              <w:rPr>
                <w:rFonts w:ascii="宋体" w:eastAsia="宋体" w:hAnsi="宋体" w:cs="宋体" w:hint="eastAsia"/>
                <w:sz w:val="24"/>
                <w:szCs w:val="24"/>
              </w:rPr>
              <w:t>设备制造商维修的货物经采购人验收合格，且设备制造商提供维修专用发票后，采购人支付维修费用。</w:t>
            </w:r>
          </w:p>
        </w:tc>
        <w:tc>
          <w:tcPr>
            <w:tcW w:w="1781" w:type="dxa"/>
            <w:vAlign w:val="top"/>
          </w:tcPr>
          <w:p>
            <w:pPr>
              <w:jc w:val="both"/>
              <w:rPr>
                <w:rFonts w:ascii="宋体" w:eastAsia="宋体" w:hAnsi="宋体" w:cs="宋体" w:hint="eastAsia"/>
                <w:b/>
                <w:bCs/>
                <w:sz w:val="24"/>
                <w:szCs w:val="24"/>
              </w:rPr>
            </w:pPr>
          </w:p>
        </w:tc>
        <w:tc>
          <w:tcPr>
            <w:tcW w:w="1219" w:type="dxa"/>
            <w:vAlign w:val="top"/>
          </w:tcPr>
          <w:p>
            <w:pPr>
              <w:jc w:val="both"/>
              <w:rPr>
                <w:rFonts w:ascii="宋体" w:eastAsia="宋体" w:hAnsi="宋体" w:cs="宋体" w:hint="eastAsia"/>
                <w:b/>
                <w:bCs/>
                <w:sz w:val="24"/>
                <w:szCs w:val="24"/>
              </w:rPr>
            </w:pPr>
          </w:p>
        </w:tc>
        <w:tc>
          <w:tcPr>
            <w:tcW w:w="750" w:type="dxa"/>
            <w:vAlign w:val="top"/>
          </w:tcPr>
          <w:p>
            <w:pPr>
              <w:jc w:val="both"/>
              <w:rPr>
                <w:rFonts w:ascii="宋体" w:eastAsia="宋体" w:hAnsi="宋体" w:cs="宋体" w:hint="eastAsia"/>
                <w:b/>
                <w:bCs/>
                <w:sz w:val="24"/>
                <w:szCs w:val="24"/>
              </w:rPr>
            </w:pPr>
          </w:p>
        </w:tc>
      </w:tr>
      <w:tr>
        <w:tblPrEx>
          <w:tblW w:w="8539" w:type="dxa"/>
          <w:tblInd w:w="0" w:type="dxa"/>
          <w:tblLayout w:type="fixed"/>
          <w:tblCellMar>
            <w:top w:w="0" w:type="dxa"/>
            <w:left w:w="108" w:type="dxa"/>
            <w:bottom w:w="0" w:type="dxa"/>
            <w:right w:w="108" w:type="dxa"/>
          </w:tblCellMar>
        </w:tblPrEx>
        <w:trPr>
          <w:trHeight w:val="350"/>
        </w:trPr>
        <w:tc>
          <w:tcPr>
            <w:tcW w:w="514" w:type="dxa"/>
            <w:vMerge/>
            <w:vAlign w:val="top"/>
          </w:tcPr>
          <w:p>
            <w:pPr>
              <w:jc w:val="both"/>
              <w:rPr>
                <w:rFonts w:ascii="宋体" w:eastAsia="宋体" w:hAnsi="宋体" w:cs="宋体" w:hint="eastAsia"/>
                <w:color w:val="000000"/>
                <w:sz w:val="24"/>
                <w:szCs w:val="24"/>
              </w:rPr>
            </w:pPr>
          </w:p>
        </w:tc>
        <w:tc>
          <w:tcPr>
            <w:tcW w:w="975" w:type="dxa"/>
            <w:vMerge/>
            <w:vAlign w:val="top"/>
          </w:tcPr>
          <w:p>
            <w:pPr>
              <w:jc w:val="both"/>
              <w:rPr>
                <w:rFonts w:ascii="宋体" w:eastAsia="宋体" w:hAnsi="宋体" w:cs="宋体" w:hint="eastAsia"/>
                <w:bCs/>
                <w:color w:val="000000"/>
                <w:sz w:val="24"/>
                <w:szCs w:val="24"/>
              </w:rPr>
            </w:pPr>
          </w:p>
        </w:tc>
        <w:tc>
          <w:tcPr>
            <w:tcW w:w="3300" w:type="dxa"/>
            <w:vAlign w:val="top"/>
          </w:tcPr>
          <w:p>
            <w:pPr>
              <w:jc w:val="both"/>
              <w:rPr>
                <w:rFonts w:ascii="宋体" w:eastAsia="宋体" w:hAnsi="宋体" w:cs="宋体" w:hint="eastAsia"/>
                <w:bCs/>
                <w:color w:val="000000"/>
                <w:sz w:val="24"/>
                <w:szCs w:val="24"/>
              </w:rPr>
            </w:pPr>
            <w:r>
              <w:rPr>
                <w:rFonts w:ascii="宋体" w:eastAsia="宋体" w:hAnsi="宋体" w:cs="宋体" w:hint="eastAsia"/>
                <w:b/>
                <w:bCs/>
                <w:sz w:val="24"/>
                <w:szCs w:val="24"/>
              </w:rPr>
              <w:t>1.5</w:t>
            </w:r>
            <w:r>
              <w:rPr>
                <w:rFonts w:ascii="宋体" w:eastAsia="宋体" w:hAnsi="宋体" w:cs="宋体" w:hint="eastAsia"/>
                <w:sz w:val="24"/>
                <w:szCs w:val="24"/>
              </w:rPr>
              <w:t>投标人及设备制造商不得以任何理由不按时进行维修，不得要求采购人购买所谓“保修服务”（即：不论设备有无故障先买保修服务），不得在设备中嵌设任何不利于采购人使用与维修设备的障碍。</w:t>
            </w:r>
          </w:p>
        </w:tc>
        <w:tc>
          <w:tcPr>
            <w:tcW w:w="1781" w:type="dxa"/>
            <w:vAlign w:val="top"/>
          </w:tcPr>
          <w:p>
            <w:pPr>
              <w:jc w:val="both"/>
              <w:rPr>
                <w:rFonts w:ascii="宋体" w:eastAsia="宋体" w:hAnsi="宋体" w:cs="宋体" w:hint="eastAsia"/>
                <w:b/>
                <w:bCs/>
                <w:sz w:val="24"/>
                <w:szCs w:val="24"/>
              </w:rPr>
            </w:pPr>
          </w:p>
        </w:tc>
        <w:tc>
          <w:tcPr>
            <w:tcW w:w="1219" w:type="dxa"/>
            <w:vAlign w:val="top"/>
          </w:tcPr>
          <w:p>
            <w:pPr>
              <w:jc w:val="both"/>
              <w:rPr>
                <w:rFonts w:ascii="宋体" w:eastAsia="宋体" w:hAnsi="宋体" w:cs="宋体" w:hint="eastAsia"/>
                <w:b/>
                <w:bCs/>
                <w:sz w:val="24"/>
                <w:szCs w:val="24"/>
              </w:rPr>
            </w:pPr>
          </w:p>
        </w:tc>
        <w:tc>
          <w:tcPr>
            <w:tcW w:w="750" w:type="dxa"/>
            <w:vAlign w:val="top"/>
          </w:tcPr>
          <w:p>
            <w:pPr>
              <w:jc w:val="both"/>
              <w:rPr>
                <w:rFonts w:ascii="宋体" w:eastAsia="宋体" w:hAnsi="宋体" w:cs="宋体" w:hint="eastAsia"/>
                <w:b/>
                <w:bCs/>
                <w:sz w:val="24"/>
                <w:szCs w:val="24"/>
              </w:rPr>
            </w:pPr>
          </w:p>
        </w:tc>
      </w:tr>
      <w:tr>
        <w:tblPrEx>
          <w:tblW w:w="8539" w:type="dxa"/>
          <w:tblInd w:w="0" w:type="dxa"/>
          <w:tblLayout w:type="fixed"/>
          <w:tblCellMar>
            <w:top w:w="0" w:type="dxa"/>
            <w:left w:w="108" w:type="dxa"/>
            <w:bottom w:w="0" w:type="dxa"/>
            <w:right w:w="108" w:type="dxa"/>
          </w:tblCellMar>
        </w:tblPrEx>
        <w:trPr>
          <w:trHeight w:val="350"/>
        </w:trPr>
        <w:tc>
          <w:tcPr>
            <w:tcW w:w="8539" w:type="dxa"/>
            <w:gridSpan w:val="6"/>
            <w:vAlign w:val="top"/>
          </w:tcPr>
          <w:p>
            <w:pPr>
              <w:jc w:val="both"/>
              <w:rPr>
                <w:rFonts w:ascii="宋体" w:eastAsia="宋体" w:hAnsi="宋体" w:cs="宋体" w:hint="eastAsia"/>
                <w:b/>
                <w:sz w:val="24"/>
                <w:szCs w:val="24"/>
              </w:rPr>
            </w:pPr>
            <w:r>
              <w:rPr>
                <w:rFonts w:ascii="宋体" w:eastAsia="宋体" w:hAnsi="宋体" w:cs="宋体" w:hint="eastAsia"/>
                <w:b/>
                <w:sz w:val="24"/>
                <w:szCs w:val="24"/>
              </w:rPr>
              <w:t>（三）其他商务要求</w:t>
            </w:r>
          </w:p>
        </w:tc>
      </w:tr>
      <w:tr>
        <w:tblPrEx>
          <w:tblW w:w="8539" w:type="dxa"/>
          <w:tblInd w:w="0" w:type="dxa"/>
          <w:tblLayout w:type="fixed"/>
          <w:tblCellMar>
            <w:top w:w="0" w:type="dxa"/>
            <w:left w:w="108" w:type="dxa"/>
            <w:bottom w:w="0" w:type="dxa"/>
            <w:right w:w="108" w:type="dxa"/>
          </w:tblCellMar>
        </w:tblPrEx>
        <w:trPr>
          <w:trHeight w:val="350"/>
        </w:trPr>
        <w:tc>
          <w:tcPr>
            <w:tcW w:w="514" w:type="dxa"/>
            <w:vMerge w:val="restart"/>
            <w:vAlign w:val="center"/>
          </w:tcPr>
          <w:p>
            <w:pPr>
              <w:jc w:val="center"/>
              <w:rPr>
                <w:rFonts w:ascii="宋体" w:eastAsia="宋体" w:hAnsi="宋体" w:cs="宋体" w:hint="eastAsia"/>
                <w:b/>
                <w:sz w:val="24"/>
                <w:szCs w:val="24"/>
              </w:rPr>
            </w:pPr>
            <w:r>
              <w:rPr>
                <w:rFonts w:ascii="宋体" w:eastAsia="宋体" w:hAnsi="宋体" w:cs="宋体" w:hint="eastAsia"/>
                <w:color w:val="000000"/>
                <w:sz w:val="24"/>
                <w:szCs w:val="24"/>
              </w:rPr>
              <w:t>1</w:t>
            </w:r>
          </w:p>
        </w:tc>
        <w:tc>
          <w:tcPr>
            <w:tcW w:w="975" w:type="dxa"/>
            <w:vMerge w:val="restart"/>
            <w:vAlign w:val="center"/>
          </w:tcPr>
          <w:p>
            <w:pPr>
              <w:jc w:val="center"/>
              <w:rPr>
                <w:rFonts w:ascii="宋体" w:eastAsia="宋体" w:hAnsi="宋体" w:cs="宋体" w:hint="eastAsia"/>
                <w:sz w:val="24"/>
                <w:szCs w:val="24"/>
              </w:rPr>
            </w:pPr>
            <w:r>
              <w:rPr>
                <w:rFonts w:ascii="宋体" w:eastAsia="宋体" w:hAnsi="宋体" w:cs="宋体" w:hint="eastAsia"/>
                <w:color w:val="000000"/>
                <w:sz w:val="24"/>
                <w:szCs w:val="24"/>
              </w:rPr>
              <w:t>关于交货</w:t>
            </w:r>
          </w:p>
        </w:tc>
        <w:tc>
          <w:tcPr>
            <w:tcW w:w="3300" w:type="dxa"/>
            <w:vAlign w:val="top"/>
          </w:tcPr>
          <w:p>
            <w:pPr>
              <w:jc w:val="both"/>
              <w:rPr>
                <w:rFonts w:ascii="宋体" w:eastAsia="宋体" w:hAnsi="宋体" w:cs="宋体" w:hint="eastAsia"/>
                <w:b/>
                <w:sz w:val="24"/>
                <w:szCs w:val="24"/>
              </w:rPr>
            </w:pPr>
            <w:r>
              <w:rPr>
                <w:rFonts w:ascii="宋体" w:eastAsia="宋体" w:hAnsi="宋体" w:cs="宋体" w:hint="eastAsia"/>
                <w:b/>
                <w:sz w:val="24"/>
                <w:szCs w:val="24"/>
              </w:rPr>
              <w:t>1.1</w:t>
            </w:r>
            <w:r>
              <w:rPr>
                <w:rFonts w:ascii="宋体" w:eastAsia="宋体" w:hAnsi="宋体" w:cs="宋体" w:hint="eastAsia"/>
                <w:bCs/>
                <w:sz w:val="24"/>
                <w:szCs w:val="24"/>
              </w:rPr>
              <w:t>交货地点：投标人应提供货物的技术文件，包括但不限于设备配置清单、产品说明书、图纸、操作手册、维护手册（含维修密码及接口数据）、质量保证文件、服务指南等，所有外文资料须提供中文译本。文件应随货物一并交付至采购人指定地点。</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451"/>
        </w:trPr>
        <w:tc>
          <w:tcPr>
            <w:tcW w:w="514" w:type="dxa"/>
            <w:vMerge/>
            <w:vAlign w:val="center"/>
          </w:tcPr>
          <w:p>
            <w:pPr>
              <w:jc w:val="center"/>
              <w:rPr>
                <w:rFonts w:ascii="宋体" w:eastAsia="宋体" w:hAnsi="宋体" w:cs="宋体" w:hint="eastAsia"/>
                <w:b/>
                <w:sz w:val="24"/>
                <w:szCs w:val="24"/>
              </w:rPr>
            </w:pPr>
          </w:p>
        </w:tc>
        <w:tc>
          <w:tcPr>
            <w:tcW w:w="975" w:type="dxa"/>
            <w:vMerge/>
            <w:vAlign w:val="center"/>
          </w:tcPr>
          <w:p>
            <w:pPr>
              <w:jc w:val="center"/>
              <w:rPr>
                <w:rFonts w:ascii="宋体" w:eastAsia="宋体" w:hAnsi="宋体" w:cs="宋体" w:hint="eastAsia"/>
                <w:sz w:val="24"/>
                <w:szCs w:val="24"/>
              </w:rPr>
            </w:pPr>
          </w:p>
        </w:tc>
        <w:tc>
          <w:tcPr>
            <w:tcW w:w="3300" w:type="dxa"/>
            <w:vAlign w:val="top"/>
          </w:tcPr>
          <w:p>
            <w:pPr>
              <w:jc w:val="both"/>
              <w:rPr>
                <w:rFonts w:ascii="宋体" w:eastAsia="宋体" w:hAnsi="宋体" w:cs="宋体" w:hint="eastAsia"/>
                <w:bCs/>
                <w:sz w:val="24"/>
                <w:szCs w:val="24"/>
              </w:rPr>
            </w:pPr>
            <w:r>
              <w:rPr>
                <w:rFonts w:ascii="宋体" w:eastAsia="宋体" w:hAnsi="宋体" w:cs="宋体" w:hint="eastAsia"/>
                <w:b/>
                <w:sz w:val="24"/>
                <w:szCs w:val="24"/>
              </w:rPr>
              <w:t>1.2</w:t>
            </w:r>
            <w:r>
              <w:rPr>
                <w:rFonts w:ascii="宋体" w:eastAsia="宋体" w:hAnsi="宋体" w:cs="宋体" w:hint="eastAsia"/>
                <w:spacing w:val="-3"/>
                <w:sz w:val="24"/>
                <w:szCs w:val="24"/>
              </w:rPr>
              <w:t>提供的货物必须为全新、经检验合格的产品。产品如需要计量检定的应提供相关计量检定部门出具的合法检定报告。其中，进口设备必须具有</w:t>
            </w:r>
            <w:r>
              <w:rPr>
                <w:rFonts w:ascii="宋体" w:eastAsia="宋体" w:hAnsi="宋体" w:cs="宋体" w:hint="eastAsia"/>
                <w:sz w:val="24"/>
                <w:szCs w:val="24"/>
              </w:rPr>
              <w:t>报关证明</w:t>
            </w:r>
            <w:r>
              <w:rPr>
                <w:rFonts w:ascii="宋体" w:eastAsia="宋体" w:hAnsi="宋体" w:cs="宋体" w:hint="eastAsia"/>
                <w:spacing w:val="-3"/>
                <w:sz w:val="24"/>
                <w:szCs w:val="24"/>
              </w:rPr>
              <w:t>文件、</w:t>
            </w:r>
            <w:r>
              <w:rPr>
                <w:rFonts w:ascii="宋体" w:eastAsia="宋体" w:hAnsi="宋体" w:cs="宋体" w:hint="eastAsia"/>
                <w:sz w:val="24"/>
                <w:szCs w:val="24"/>
              </w:rPr>
              <w:t>原产地证明和</w:t>
            </w:r>
            <w:r>
              <w:rPr>
                <w:rFonts w:ascii="宋体" w:eastAsia="宋体" w:hAnsi="宋体" w:cs="宋体" w:hint="eastAsia"/>
                <w:spacing w:val="-3"/>
                <w:sz w:val="24"/>
                <w:szCs w:val="24"/>
              </w:rPr>
              <w:t>商检合格证明文件。</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272"/>
        </w:trPr>
        <w:tc>
          <w:tcPr>
            <w:tcW w:w="514" w:type="dxa"/>
            <w:vMerge/>
            <w:vAlign w:val="center"/>
          </w:tcPr>
          <w:p>
            <w:pPr>
              <w:jc w:val="center"/>
              <w:rPr>
                <w:rFonts w:ascii="宋体" w:eastAsia="宋体" w:hAnsi="宋体" w:cs="宋体" w:hint="eastAsia"/>
                <w:b/>
                <w:sz w:val="24"/>
                <w:szCs w:val="24"/>
              </w:rPr>
            </w:pPr>
          </w:p>
        </w:tc>
        <w:tc>
          <w:tcPr>
            <w:tcW w:w="975" w:type="dxa"/>
            <w:vMerge/>
            <w:vAlign w:val="center"/>
          </w:tcPr>
          <w:p>
            <w:pPr>
              <w:jc w:val="center"/>
              <w:rPr>
                <w:rFonts w:ascii="宋体" w:eastAsia="宋体" w:hAnsi="宋体" w:cs="宋体" w:hint="eastAsia"/>
                <w:sz w:val="24"/>
                <w:szCs w:val="24"/>
              </w:rPr>
            </w:pPr>
          </w:p>
        </w:tc>
        <w:tc>
          <w:tcPr>
            <w:tcW w:w="3300" w:type="dxa"/>
            <w:vAlign w:val="top"/>
          </w:tcPr>
          <w:p>
            <w:pPr>
              <w:jc w:val="both"/>
              <w:rPr>
                <w:rFonts w:ascii="宋体" w:eastAsia="宋体" w:hAnsi="宋体" w:cs="宋体" w:hint="eastAsia"/>
                <w:bCs/>
                <w:sz w:val="24"/>
                <w:szCs w:val="24"/>
              </w:rPr>
            </w:pPr>
            <w:r>
              <w:rPr>
                <w:rFonts w:ascii="宋体" w:eastAsia="宋体" w:hAnsi="宋体" w:cs="宋体" w:hint="eastAsia"/>
                <w:bCs/>
                <w:sz w:val="24"/>
                <w:szCs w:val="24"/>
              </w:rPr>
              <w:t>★</w:t>
            </w:r>
            <w:r>
              <w:rPr>
                <w:rFonts w:ascii="宋体" w:eastAsia="宋体" w:hAnsi="宋体" w:cs="宋体" w:hint="eastAsia"/>
                <w:b/>
                <w:sz w:val="24"/>
                <w:szCs w:val="24"/>
              </w:rPr>
              <w:t>1.3</w:t>
            </w:r>
            <w:r>
              <w:rPr>
                <w:rFonts w:ascii="宋体" w:eastAsia="宋体" w:hAnsi="宋体" w:cs="宋体" w:hint="eastAsia"/>
                <w:bCs/>
                <w:sz w:val="24"/>
                <w:szCs w:val="24"/>
              </w:rPr>
              <w:t>签订合</w:t>
            </w:r>
            <w:r>
              <w:rPr>
                <w:rFonts w:ascii="宋体" w:eastAsia="宋体" w:hAnsi="宋体" w:cs="宋体" w:hint="eastAsia"/>
                <w:bCs/>
                <w:sz w:val="24"/>
                <w:szCs w:val="24"/>
                <w:highlight w:val="none"/>
              </w:rPr>
              <w:t>同后</w:t>
            </w:r>
            <w:r>
              <w:rPr>
                <w:rFonts w:ascii="宋体" w:eastAsia="宋体" w:hAnsi="宋体" w:cs="宋体" w:hint="eastAsia"/>
                <w:bCs/>
                <w:sz w:val="24"/>
                <w:szCs w:val="24"/>
                <w:highlight w:val="none"/>
                <w:u w:val="single"/>
              </w:rPr>
              <w:t xml:space="preserve"> </w:t>
            </w:r>
            <w:r>
              <w:rPr>
                <w:rFonts w:ascii="宋体" w:eastAsia="宋体" w:hAnsi="宋体" w:cs="宋体" w:hint="eastAsia"/>
                <w:bCs/>
                <w:sz w:val="24"/>
                <w:szCs w:val="24"/>
                <w:highlight w:val="none"/>
                <w:u w:val="single"/>
                <w:lang w:val="en-US" w:eastAsia="zh-CN"/>
              </w:rPr>
              <w:t>30</w:t>
            </w:r>
            <w:r>
              <w:rPr>
                <w:rFonts w:ascii="宋体" w:eastAsia="宋体" w:hAnsi="宋体" w:cs="宋体" w:hint="eastAsia"/>
                <w:bCs/>
                <w:sz w:val="24"/>
                <w:szCs w:val="24"/>
                <w:highlight w:val="none"/>
                <w:u w:val="single"/>
              </w:rPr>
              <w:t xml:space="preserve"> </w:t>
            </w:r>
            <w:r>
              <w:rPr>
                <w:rFonts w:ascii="宋体" w:eastAsia="宋体" w:hAnsi="宋体" w:cs="宋体" w:hint="eastAsia"/>
                <w:bCs/>
                <w:sz w:val="24"/>
                <w:szCs w:val="24"/>
                <w:highlight w:val="none"/>
              </w:rPr>
              <w:t>天（日历日）内交货。交货地址：</w:t>
            </w:r>
            <w:r>
              <w:rPr>
                <w:rFonts w:ascii="宋体" w:eastAsia="宋体" w:hAnsi="宋体" w:cs="宋体" w:hint="eastAsia"/>
                <w:sz w:val="24"/>
                <w:szCs w:val="24"/>
                <w:highlight w:val="none"/>
              </w:rPr>
              <w:t>深圳市眼科医院</w:t>
            </w:r>
          </w:p>
        </w:tc>
        <w:tc>
          <w:tcPr>
            <w:tcW w:w="1781" w:type="dxa"/>
            <w:vAlign w:val="top"/>
          </w:tcPr>
          <w:p>
            <w:pPr>
              <w:jc w:val="both"/>
              <w:rPr>
                <w:rFonts w:ascii="宋体" w:eastAsia="宋体" w:hAnsi="宋体" w:cs="宋体" w:hint="eastAsia"/>
                <w:bCs/>
                <w:sz w:val="24"/>
                <w:szCs w:val="24"/>
              </w:rPr>
            </w:pPr>
          </w:p>
        </w:tc>
        <w:tc>
          <w:tcPr>
            <w:tcW w:w="1219" w:type="dxa"/>
            <w:vAlign w:val="top"/>
          </w:tcPr>
          <w:p>
            <w:pPr>
              <w:jc w:val="both"/>
              <w:rPr>
                <w:rFonts w:ascii="宋体" w:eastAsia="宋体" w:hAnsi="宋体" w:cs="宋体" w:hint="eastAsia"/>
                <w:bCs/>
                <w:sz w:val="24"/>
                <w:szCs w:val="24"/>
              </w:rPr>
            </w:pPr>
          </w:p>
        </w:tc>
        <w:tc>
          <w:tcPr>
            <w:tcW w:w="750" w:type="dxa"/>
            <w:vAlign w:val="top"/>
          </w:tcPr>
          <w:p>
            <w:pPr>
              <w:jc w:val="both"/>
              <w:rPr>
                <w:rFonts w:ascii="宋体" w:eastAsia="宋体" w:hAnsi="宋体" w:cs="宋体" w:hint="eastAsia"/>
                <w:bCs/>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restart"/>
            <w:vAlign w:val="center"/>
          </w:tcPr>
          <w:p>
            <w:pPr>
              <w:jc w:val="center"/>
              <w:rPr>
                <w:rFonts w:ascii="宋体" w:eastAsia="宋体" w:hAnsi="宋体" w:cs="宋体" w:hint="eastAsia"/>
                <w:b/>
                <w:sz w:val="24"/>
                <w:szCs w:val="24"/>
              </w:rPr>
            </w:pPr>
            <w:r>
              <w:rPr>
                <w:rFonts w:ascii="宋体" w:eastAsia="宋体" w:hAnsi="宋体" w:cs="宋体" w:hint="eastAsia"/>
                <w:bCs/>
                <w:color w:val="000000"/>
                <w:sz w:val="24"/>
                <w:szCs w:val="24"/>
              </w:rPr>
              <w:t>2</w:t>
            </w:r>
          </w:p>
        </w:tc>
        <w:tc>
          <w:tcPr>
            <w:tcW w:w="975" w:type="dxa"/>
            <w:vMerge w:val="restart"/>
            <w:vAlign w:val="center"/>
          </w:tcPr>
          <w:p>
            <w:pPr>
              <w:jc w:val="center"/>
              <w:rPr>
                <w:rFonts w:ascii="宋体" w:eastAsia="宋体" w:hAnsi="宋体" w:cs="宋体" w:hint="eastAsia"/>
                <w:sz w:val="24"/>
                <w:szCs w:val="24"/>
              </w:rPr>
            </w:pPr>
            <w:r>
              <w:rPr>
                <w:rFonts w:ascii="宋体" w:eastAsia="宋体" w:hAnsi="宋体" w:cs="宋体" w:hint="eastAsia"/>
                <w:sz w:val="24"/>
                <w:szCs w:val="24"/>
              </w:rPr>
              <w:t>运输、安装调试及验收</w:t>
            </w:r>
          </w:p>
        </w:tc>
        <w:tc>
          <w:tcPr>
            <w:tcW w:w="3300" w:type="dxa"/>
            <w:vAlign w:val="top"/>
          </w:tcPr>
          <w:p>
            <w:pPr>
              <w:spacing w:line="340" w:lineRule="exact"/>
              <w:jc w:val="both"/>
              <w:rPr>
                <w:rFonts w:ascii="宋体" w:eastAsia="宋体" w:hAnsi="宋体" w:cs="宋体" w:hint="eastAsia"/>
                <w:bCs/>
                <w:sz w:val="24"/>
                <w:szCs w:val="24"/>
              </w:rPr>
            </w:pPr>
            <w:r>
              <w:rPr>
                <w:rFonts w:ascii="宋体" w:eastAsia="宋体" w:hAnsi="宋体" w:cs="宋体" w:hint="eastAsia"/>
                <w:b/>
                <w:sz w:val="24"/>
                <w:szCs w:val="24"/>
              </w:rPr>
              <w:t>2.1</w:t>
            </w:r>
            <w:r>
              <w:rPr>
                <w:rFonts w:ascii="宋体" w:eastAsia="宋体" w:hAnsi="宋体" w:cs="宋体" w:hint="eastAsia"/>
                <w:bCs/>
                <w:sz w:val="24"/>
                <w:szCs w:val="24"/>
              </w:rPr>
              <w:t>投标人负责将货物安全无损运抵采购人指定地点,并承担设备的包装、运输、保险、装卸、安装调试、培训、商检及计量检测、关税、增值税和进口代理等费用。</w:t>
            </w:r>
          </w:p>
        </w:tc>
        <w:tc>
          <w:tcPr>
            <w:tcW w:w="1781" w:type="dxa"/>
            <w:vAlign w:val="top"/>
          </w:tcPr>
          <w:p>
            <w:pPr>
              <w:spacing w:line="340" w:lineRule="exact"/>
              <w:jc w:val="both"/>
              <w:rPr>
                <w:rFonts w:ascii="宋体" w:eastAsia="宋体" w:hAnsi="宋体" w:cs="宋体" w:hint="eastAsia"/>
                <w:b/>
                <w:sz w:val="24"/>
                <w:szCs w:val="24"/>
              </w:rPr>
            </w:pPr>
          </w:p>
        </w:tc>
        <w:tc>
          <w:tcPr>
            <w:tcW w:w="1219" w:type="dxa"/>
            <w:vAlign w:val="top"/>
          </w:tcPr>
          <w:p>
            <w:pPr>
              <w:spacing w:line="340" w:lineRule="exact"/>
              <w:jc w:val="both"/>
              <w:rPr>
                <w:rFonts w:ascii="宋体" w:eastAsia="宋体" w:hAnsi="宋体" w:cs="宋体" w:hint="eastAsia"/>
                <w:b/>
                <w:sz w:val="24"/>
                <w:szCs w:val="24"/>
              </w:rPr>
            </w:pPr>
          </w:p>
        </w:tc>
        <w:tc>
          <w:tcPr>
            <w:tcW w:w="750" w:type="dxa"/>
            <w:vAlign w:val="top"/>
          </w:tcPr>
          <w:p>
            <w:pPr>
              <w:spacing w:line="340" w:lineRule="exact"/>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spacing w:line="340" w:lineRule="exact"/>
              <w:jc w:val="both"/>
              <w:rPr>
                <w:rFonts w:ascii="宋体" w:eastAsia="宋体" w:hAnsi="宋体" w:cs="宋体" w:hint="eastAsia"/>
                <w:color w:val="000000"/>
                <w:sz w:val="24"/>
                <w:szCs w:val="24"/>
              </w:rPr>
            </w:pPr>
            <w:r>
              <w:rPr>
                <w:rFonts w:ascii="宋体" w:eastAsia="宋体" w:hAnsi="宋体" w:cs="宋体" w:hint="eastAsia"/>
                <w:b/>
                <w:sz w:val="24"/>
                <w:szCs w:val="24"/>
              </w:rPr>
              <w:t>2.2</w:t>
            </w:r>
            <w:r>
              <w:rPr>
                <w:rFonts w:ascii="宋体" w:eastAsia="宋体" w:hAnsi="宋体" w:cs="宋体" w:hint="eastAsia"/>
                <w:bCs/>
                <w:sz w:val="24"/>
                <w:szCs w:val="24"/>
              </w:rPr>
              <w:t>由采购人按合同和招标、投标文件约定的要求和标准及中华人民共和国现行的验收规范和评定标准进行交货验收。</w:t>
            </w:r>
          </w:p>
        </w:tc>
        <w:tc>
          <w:tcPr>
            <w:tcW w:w="1781" w:type="dxa"/>
            <w:vAlign w:val="top"/>
          </w:tcPr>
          <w:p>
            <w:pPr>
              <w:spacing w:line="340" w:lineRule="exact"/>
              <w:jc w:val="both"/>
              <w:rPr>
                <w:rFonts w:ascii="宋体" w:eastAsia="宋体" w:hAnsi="宋体" w:cs="宋体" w:hint="eastAsia"/>
                <w:b/>
                <w:sz w:val="24"/>
                <w:szCs w:val="24"/>
              </w:rPr>
            </w:pPr>
          </w:p>
        </w:tc>
        <w:tc>
          <w:tcPr>
            <w:tcW w:w="1219" w:type="dxa"/>
            <w:vAlign w:val="top"/>
          </w:tcPr>
          <w:p>
            <w:pPr>
              <w:spacing w:line="340" w:lineRule="exact"/>
              <w:jc w:val="both"/>
              <w:rPr>
                <w:rFonts w:ascii="宋体" w:eastAsia="宋体" w:hAnsi="宋体" w:cs="宋体" w:hint="eastAsia"/>
                <w:b/>
                <w:sz w:val="24"/>
                <w:szCs w:val="24"/>
              </w:rPr>
            </w:pPr>
          </w:p>
        </w:tc>
        <w:tc>
          <w:tcPr>
            <w:tcW w:w="750" w:type="dxa"/>
            <w:vAlign w:val="top"/>
          </w:tcPr>
          <w:p>
            <w:pPr>
              <w:spacing w:line="340" w:lineRule="exact"/>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spacing w:line="340" w:lineRule="exact"/>
              <w:jc w:val="both"/>
              <w:rPr>
                <w:rFonts w:ascii="宋体" w:eastAsia="宋体" w:hAnsi="宋体" w:cs="宋体" w:hint="eastAsia"/>
                <w:color w:val="000000"/>
                <w:sz w:val="24"/>
                <w:szCs w:val="24"/>
              </w:rPr>
            </w:pPr>
            <w:r>
              <w:rPr>
                <w:rFonts w:ascii="宋体" w:eastAsia="宋体" w:hAnsi="宋体" w:cs="宋体" w:hint="eastAsia"/>
                <w:b/>
                <w:sz w:val="24"/>
                <w:szCs w:val="24"/>
              </w:rPr>
              <w:t xml:space="preserve">2.3 </w:t>
            </w:r>
            <w:r>
              <w:rPr>
                <w:rFonts w:ascii="宋体" w:eastAsia="宋体" w:hAnsi="宋体" w:cs="宋体" w:hint="eastAsia"/>
                <w:bCs/>
                <w:sz w:val="24"/>
                <w:szCs w:val="24"/>
              </w:rPr>
              <w:t>投标人货物经过双方检验认可后，签署验收报告，产品保修期自验收合格之日起算，由投标人提供产品保修文件。</w:t>
            </w:r>
          </w:p>
        </w:tc>
        <w:tc>
          <w:tcPr>
            <w:tcW w:w="1781" w:type="dxa"/>
            <w:vAlign w:val="top"/>
          </w:tcPr>
          <w:p>
            <w:pPr>
              <w:spacing w:line="340" w:lineRule="exact"/>
              <w:jc w:val="both"/>
              <w:rPr>
                <w:rFonts w:ascii="宋体" w:eastAsia="宋体" w:hAnsi="宋体" w:cs="宋体" w:hint="eastAsia"/>
                <w:b/>
                <w:sz w:val="24"/>
                <w:szCs w:val="24"/>
              </w:rPr>
            </w:pPr>
          </w:p>
        </w:tc>
        <w:tc>
          <w:tcPr>
            <w:tcW w:w="1219" w:type="dxa"/>
            <w:vAlign w:val="top"/>
          </w:tcPr>
          <w:p>
            <w:pPr>
              <w:spacing w:line="340" w:lineRule="exact"/>
              <w:jc w:val="both"/>
              <w:rPr>
                <w:rFonts w:ascii="宋体" w:eastAsia="宋体" w:hAnsi="宋体" w:cs="宋体" w:hint="eastAsia"/>
                <w:b/>
                <w:sz w:val="24"/>
                <w:szCs w:val="24"/>
              </w:rPr>
            </w:pPr>
          </w:p>
        </w:tc>
        <w:tc>
          <w:tcPr>
            <w:tcW w:w="750" w:type="dxa"/>
            <w:vAlign w:val="top"/>
          </w:tcPr>
          <w:p>
            <w:pPr>
              <w:spacing w:line="340" w:lineRule="exact"/>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spacing w:line="340" w:lineRule="exact"/>
              <w:jc w:val="both"/>
              <w:rPr>
                <w:rFonts w:ascii="宋体" w:eastAsia="宋体" w:hAnsi="宋体" w:cs="宋体" w:hint="eastAsia"/>
                <w:bCs/>
                <w:sz w:val="24"/>
                <w:szCs w:val="24"/>
              </w:rPr>
            </w:pPr>
            <w:r>
              <w:rPr>
                <w:rFonts w:ascii="宋体" w:eastAsia="宋体" w:hAnsi="宋体" w:cs="宋体" w:hint="eastAsia"/>
                <w:b/>
                <w:sz w:val="24"/>
                <w:szCs w:val="24"/>
              </w:rPr>
              <w:t>2.4</w:t>
            </w:r>
            <w:r>
              <w:rPr>
                <w:rFonts w:ascii="宋体" w:eastAsia="宋体" w:hAnsi="宋体" w:cs="宋体" w:hint="eastAsia"/>
                <w:bCs/>
                <w:sz w:val="24"/>
                <w:szCs w:val="24"/>
              </w:rPr>
              <w:t>当满足以下条件时，采购人才向中标人签发货物验收报告：</w:t>
            </w:r>
          </w:p>
          <w:p>
            <w:pPr>
              <w:jc w:val="both"/>
              <w:rPr>
                <w:rFonts w:ascii="宋体" w:eastAsia="宋体" w:hAnsi="宋体" w:cs="宋体" w:hint="eastAsia"/>
                <w:bCs/>
                <w:sz w:val="24"/>
                <w:szCs w:val="24"/>
              </w:rPr>
            </w:pPr>
            <w:r>
              <w:rPr>
                <w:rFonts w:ascii="宋体" w:eastAsia="宋体" w:hAnsi="宋体" w:cs="宋体" w:hint="eastAsia"/>
                <w:bCs/>
                <w:sz w:val="24"/>
                <w:szCs w:val="24"/>
              </w:rPr>
              <w:t>（1）设备全新,外观无伤痕变形或明显修饰痕迹。</w:t>
            </w:r>
          </w:p>
          <w:p>
            <w:pPr>
              <w:jc w:val="both"/>
              <w:rPr>
                <w:rFonts w:ascii="宋体" w:eastAsia="宋体" w:hAnsi="宋体" w:cs="宋体" w:hint="eastAsia"/>
                <w:bCs/>
                <w:sz w:val="24"/>
                <w:szCs w:val="24"/>
              </w:rPr>
            </w:pPr>
            <w:r>
              <w:rPr>
                <w:rFonts w:ascii="宋体" w:eastAsia="宋体" w:hAnsi="宋体" w:cs="宋体" w:hint="eastAsia"/>
                <w:bCs/>
                <w:sz w:val="24"/>
                <w:szCs w:val="24"/>
              </w:rPr>
              <w:t>（2）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pPr>
              <w:jc w:val="both"/>
              <w:rPr>
                <w:rFonts w:ascii="宋体" w:eastAsia="宋体" w:hAnsi="宋体" w:cs="宋体" w:hint="eastAsia"/>
                <w:bCs/>
                <w:sz w:val="24"/>
                <w:szCs w:val="24"/>
              </w:rPr>
            </w:pPr>
            <w:r>
              <w:rPr>
                <w:rFonts w:ascii="宋体" w:eastAsia="宋体" w:hAnsi="宋体" w:cs="宋体" w:hint="eastAsia"/>
                <w:bCs/>
                <w:sz w:val="24"/>
                <w:szCs w:val="24"/>
              </w:rPr>
              <w:t>（3）技术文件资料、备件等已按规定数量移交完毕。</w:t>
            </w:r>
          </w:p>
          <w:p>
            <w:pPr>
              <w:jc w:val="both"/>
              <w:rPr>
                <w:rFonts w:ascii="宋体" w:eastAsia="宋体" w:hAnsi="宋体" w:cs="宋体" w:hint="eastAsia"/>
                <w:bCs/>
                <w:sz w:val="24"/>
                <w:szCs w:val="24"/>
              </w:rPr>
            </w:pPr>
            <w:r>
              <w:rPr>
                <w:rFonts w:ascii="宋体" w:eastAsia="宋体" w:hAnsi="宋体" w:cs="宋体" w:hint="eastAsia"/>
                <w:bCs/>
                <w:sz w:val="24"/>
                <w:szCs w:val="24"/>
              </w:rPr>
              <w:t>（4）按照招标书要求及投标文件提供的技术要求验收必须合格。</w:t>
            </w:r>
          </w:p>
          <w:p>
            <w:pPr>
              <w:spacing w:line="340" w:lineRule="exact"/>
              <w:jc w:val="both"/>
              <w:rPr>
                <w:rFonts w:ascii="宋体" w:eastAsia="宋体" w:hAnsi="宋体" w:cs="宋体" w:hint="eastAsia"/>
                <w:bCs/>
                <w:sz w:val="24"/>
                <w:szCs w:val="24"/>
              </w:rPr>
            </w:pPr>
            <w:r>
              <w:rPr>
                <w:rFonts w:ascii="宋体" w:eastAsia="宋体" w:hAnsi="宋体" w:cs="宋体" w:hint="eastAsia"/>
                <w:bCs/>
                <w:sz w:val="24"/>
                <w:szCs w:val="24"/>
              </w:rPr>
              <w:t>（5）投标人提供的各种文件载明的内容必须真实，其技术数据采购人有权要求投标人无偿提供采购人认可的第三方按照双方同意的试验方法进行检测。检测结果必须证明投标人提供的技术数据是真实的，否则视为不合格。</w:t>
            </w:r>
          </w:p>
          <w:p>
            <w:pPr>
              <w:spacing w:line="340" w:lineRule="exact"/>
              <w:jc w:val="both"/>
              <w:rPr>
                <w:rFonts w:ascii="宋体" w:eastAsia="宋体" w:hAnsi="宋体" w:cs="宋体" w:hint="eastAsia"/>
                <w:bCs/>
                <w:sz w:val="24"/>
                <w:szCs w:val="24"/>
              </w:rPr>
            </w:pPr>
            <w:r>
              <w:rPr>
                <w:rFonts w:ascii="宋体" w:eastAsia="宋体" w:hAnsi="宋体" w:cs="宋体" w:hint="eastAsia"/>
                <w:bCs/>
                <w:sz w:val="24"/>
                <w:szCs w:val="24"/>
              </w:rPr>
              <w:t>（6）货物具备产品合格证。</w:t>
            </w:r>
          </w:p>
          <w:p>
            <w:pPr>
              <w:spacing w:line="340" w:lineRule="exact"/>
              <w:jc w:val="both"/>
              <w:rPr>
                <w:rFonts w:ascii="宋体" w:eastAsia="宋体" w:hAnsi="宋体" w:cs="宋体" w:hint="eastAsia"/>
                <w:color w:val="000000"/>
                <w:sz w:val="24"/>
                <w:szCs w:val="24"/>
              </w:rPr>
            </w:pPr>
            <w:r>
              <w:rPr>
                <w:rFonts w:ascii="宋体" w:eastAsia="宋体" w:hAnsi="宋体" w:cs="宋体" w:hint="eastAsia"/>
                <w:bCs/>
                <w:sz w:val="24"/>
                <w:szCs w:val="24"/>
              </w:rPr>
              <w:t>（7）在货物安装调试合格后，所有技术指标达到技术规范书要求，经验收合格后，双方共同签署验收报告。</w:t>
            </w:r>
          </w:p>
        </w:tc>
        <w:tc>
          <w:tcPr>
            <w:tcW w:w="1781" w:type="dxa"/>
            <w:vAlign w:val="top"/>
          </w:tcPr>
          <w:p>
            <w:pPr>
              <w:spacing w:line="340" w:lineRule="exact"/>
              <w:jc w:val="both"/>
              <w:rPr>
                <w:rFonts w:ascii="宋体" w:eastAsia="宋体" w:hAnsi="宋体" w:cs="宋体" w:hint="eastAsia"/>
                <w:bCs/>
                <w:sz w:val="24"/>
                <w:szCs w:val="24"/>
              </w:rPr>
            </w:pPr>
          </w:p>
        </w:tc>
        <w:tc>
          <w:tcPr>
            <w:tcW w:w="1219" w:type="dxa"/>
            <w:vAlign w:val="top"/>
          </w:tcPr>
          <w:p>
            <w:pPr>
              <w:spacing w:line="340" w:lineRule="exact"/>
              <w:jc w:val="both"/>
              <w:rPr>
                <w:rFonts w:ascii="宋体" w:eastAsia="宋体" w:hAnsi="宋体" w:cs="宋体" w:hint="eastAsia"/>
                <w:bCs/>
                <w:sz w:val="24"/>
                <w:szCs w:val="24"/>
              </w:rPr>
            </w:pPr>
          </w:p>
        </w:tc>
        <w:tc>
          <w:tcPr>
            <w:tcW w:w="750" w:type="dxa"/>
            <w:vAlign w:val="top"/>
          </w:tcPr>
          <w:p>
            <w:pPr>
              <w:spacing w:line="340" w:lineRule="exact"/>
              <w:jc w:val="both"/>
              <w:rPr>
                <w:rFonts w:ascii="宋体" w:eastAsia="宋体" w:hAnsi="宋体" w:cs="宋体" w:hint="eastAsia"/>
                <w:bCs/>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restart"/>
            <w:vAlign w:val="center"/>
          </w:tcPr>
          <w:p>
            <w:pPr>
              <w:jc w:val="center"/>
              <w:rPr>
                <w:rFonts w:ascii="宋体" w:eastAsia="宋体" w:hAnsi="宋体" w:cs="宋体" w:hint="eastAsia"/>
                <w:bCs/>
                <w:color w:val="000000"/>
                <w:sz w:val="24"/>
                <w:szCs w:val="24"/>
              </w:rPr>
            </w:pPr>
            <w:r>
              <w:rPr>
                <w:rFonts w:ascii="宋体" w:eastAsia="宋体" w:hAnsi="宋体" w:cs="宋体" w:hint="eastAsia"/>
                <w:bCs/>
                <w:color w:val="000000"/>
                <w:sz w:val="24"/>
                <w:szCs w:val="24"/>
              </w:rPr>
              <w:t>3</w:t>
            </w:r>
          </w:p>
        </w:tc>
        <w:tc>
          <w:tcPr>
            <w:tcW w:w="975" w:type="dxa"/>
            <w:vMerge w:val="restart"/>
            <w:vAlign w:val="center"/>
          </w:tcPr>
          <w:p>
            <w:pPr>
              <w:jc w:val="center"/>
              <w:rPr>
                <w:rFonts w:ascii="宋体" w:eastAsia="宋体" w:hAnsi="宋体" w:cs="宋体" w:hint="eastAsia"/>
                <w:bCs/>
                <w:color w:val="000000"/>
                <w:sz w:val="24"/>
                <w:szCs w:val="24"/>
              </w:rPr>
            </w:pPr>
            <w:r>
              <w:rPr>
                <w:rFonts w:ascii="宋体" w:eastAsia="宋体" w:hAnsi="宋体" w:cs="宋体" w:hint="eastAsia"/>
                <w:bCs/>
                <w:color w:val="000000"/>
                <w:sz w:val="24"/>
                <w:szCs w:val="24"/>
              </w:rPr>
              <w:t>关于违约</w:t>
            </w:r>
          </w:p>
        </w:tc>
        <w:tc>
          <w:tcPr>
            <w:tcW w:w="3300" w:type="dxa"/>
            <w:vAlign w:val="top"/>
          </w:tcPr>
          <w:p>
            <w:pPr>
              <w:jc w:val="both"/>
              <w:rPr>
                <w:rFonts w:ascii="宋体" w:eastAsia="宋体" w:hAnsi="宋体" w:cs="宋体" w:hint="eastAsia"/>
                <w:color w:val="000000"/>
                <w:sz w:val="24"/>
                <w:szCs w:val="24"/>
              </w:rPr>
            </w:pPr>
            <w:r>
              <w:rPr>
                <w:rFonts w:ascii="宋体" w:eastAsia="宋体" w:hAnsi="宋体" w:cs="宋体" w:hint="eastAsia"/>
                <w:b/>
                <w:sz w:val="24"/>
                <w:szCs w:val="24"/>
              </w:rPr>
              <w:t>3.1</w:t>
            </w:r>
            <w:r>
              <w:rPr>
                <w:rFonts w:ascii="宋体" w:eastAsia="宋体" w:hAnsi="宋体" w:cs="宋体" w:hint="eastAsia"/>
                <w:bCs/>
                <w:sz w:val="24"/>
                <w:szCs w:val="24"/>
              </w:rPr>
              <w:t>如投标人未按照投标文件中承诺的时间交货或提供服务，投标人应承担延期交货和延期服务的违约责任，并赔偿采购人因此造成的实际经济损失。实际经济损失超出履约保证金额，采购人有权终止合同。</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jc w:val="both"/>
              <w:rPr>
                <w:rFonts w:ascii="宋体" w:eastAsia="宋体" w:hAnsi="宋体" w:cs="宋体" w:hint="eastAsia"/>
                <w:color w:val="000000"/>
                <w:sz w:val="24"/>
                <w:szCs w:val="24"/>
              </w:rPr>
            </w:pPr>
            <w:r>
              <w:rPr>
                <w:rFonts w:ascii="宋体" w:eastAsia="宋体" w:hAnsi="宋体" w:cs="宋体" w:hint="eastAsia"/>
                <w:b/>
                <w:sz w:val="24"/>
                <w:szCs w:val="24"/>
              </w:rPr>
              <w:t>3.2</w:t>
            </w:r>
            <w:r>
              <w:rPr>
                <w:rFonts w:ascii="宋体" w:eastAsia="宋体" w:hAnsi="宋体" w:cs="宋体" w:hint="eastAsia"/>
                <w:bCs/>
                <w:sz w:val="24"/>
                <w:szCs w:val="24"/>
              </w:rPr>
              <w:t>投标人所交设备的品种、型号、规格、质量、功能、技术参数等方面不能实质性满足招标文件要约的，采购人有权拒绝收货，投标人向采购人偿付项目采购金额千分之</w:t>
            </w:r>
            <w:r>
              <w:rPr>
                <w:rFonts w:ascii="宋体" w:eastAsia="宋体" w:hAnsi="宋体" w:cs="宋体" w:hint="eastAsia"/>
                <w:bCs/>
                <w:sz w:val="24"/>
                <w:szCs w:val="24"/>
                <w:u w:val="single"/>
              </w:rPr>
              <w:t xml:space="preserve">  十  </w:t>
            </w:r>
            <w:r>
              <w:rPr>
                <w:rFonts w:ascii="宋体" w:eastAsia="宋体" w:hAnsi="宋体" w:cs="宋体" w:hint="eastAsia"/>
                <w:bCs/>
                <w:sz w:val="24"/>
                <w:szCs w:val="24"/>
              </w:rPr>
              <w:t>（千分之十以上千分之二十以下）的违约金；造成严重后果的，根据《深圳经济特区政府采购条例》第五十七条第（二）款规定，由主管部门对中标人进行处罚。</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jc w:val="both"/>
              <w:rPr>
                <w:rFonts w:ascii="宋体" w:eastAsia="宋体" w:hAnsi="宋体" w:cs="宋体" w:hint="eastAsia"/>
                <w:color w:val="000000"/>
                <w:sz w:val="24"/>
                <w:szCs w:val="24"/>
              </w:rPr>
            </w:pPr>
            <w:r>
              <w:rPr>
                <w:rFonts w:ascii="宋体" w:eastAsia="宋体" w:hAnsi="宋体" w:cs="宋体" w:hint="eastAsia"/>
                <w:b/>
                <w:sz w:val="24"/>
                <w:szCs w:val="24"/>
              </w:rPr>
              <w:t>3.3</w:t>
            </w:r>
            <w:r>
              <w:rPr>
                <w:rFonts w:ascii="宋体" w:eastAsia="宋体" w:hAnsi="宋体" w:cs="宋体" w:hint="eastAsia"/>
                <w:bCs/>
                <w:sz w:val="24"/>
                <w:szCs w:val="24"/>
              </w:rPr>
              <w:t>投标人不能交付设备的，投标人向采购人偿付项目采购金额千分之</w:t>
            </w:r>
            <w:r>
              <w:rPr>
                <w:rFonts w:ascii="宋体" w:eastAsia="宋体" w:hAnsi="宋体" w:cs="宋体" w:hint="eastAsia"/>
                <w:bCs/>
                <w:sz w:val="24"/>
                <w:szCs w:val="24"/>
                <w:u w:val="single"/>
              </w:rPr>
              <w:t xml:space="preserve">  十  </w:t>
            </w:r>
            <w:r>
              <w:rPr>
                <w:rFonts w:ascii="宋体" w:eastAsia="宋体" w:hAnsi="宋体" w:cs="宋体" w:hint="eastAsia"/>
                <w:bCs/>
                <w:sz w:val="24"/>
                <w:szCs w:val="24"/>
              </w:rPr>
              <w:t>（千分之十以上千分之二十以下）的违约金；造成严重后果的，根据《深圳经济特区政府采购条例》第五十七条第（二）款规定，由主管部门对中标人进行处罚。</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jc w:val="both"/>
              <w:rPr>
                <w:rFonts w:ascii="宋体" w:eastAsia="宋体" w:hAnsi="宋体" w:cs="宋体" w:hint="eastAsia"/>
                <w:color w:val="000000"/>
                <w:sz w:val="24"/>
                <w:szCs w:val="24"/>
              </w:rPr>
            </w:pPr>
            <w:r>
              <w:rPr>
                <w:rFonts w:ascii="宋体" w:eastAsia="宋体" w:hAnsi="宋体" w:cs="宋体" w:hint="eastAsia"/>
                <w:b/>
                <w:sz w:val="24"/>
                <w:szCs w:val="24"/>
              </w:rPr>
              <w:t>3.4</w:t>
            </w:r>
            <w:r>
              <w:rPr>
                <w:rFonts w:ascii="宋体" w:eastAsia="宋体" w:hAnsi="宋体" w:cs="宋体" w:hint="eastAsia"/>
                <w:bCs/>
                <w:sz w:val="24"/>
                <w:szCs w:val="24"/>
              </w:rPr>
              <w:t>投标人逾期未交设备的，投标人向采购人每日偿付设备款千分之</w:t>
            </w:r>
            <w:r>
              <w:rPr>
                <w:rFonts w:ascii="宋体" w:eastAsia="宋体" w:hAnsi="宋体" w:cs="宋体" w:hint="eastAsia"/>
                <w:bCs/>
                <w:sz w:val="24"/>
                <w:szCs w:val="24"/>
                <w:u w:val="single"/>
              </w:rPr>
              <w:t xml:space="preserve"> 十 </w:t>
            </w:r>
            <w:r>
              <w:rPr>
                <w:rFonts w:ascii="宋体" w:eastAsia="宋体" w:hAnsi="宋体" w:cs="宋体" w:hint="eastAsia"/>
                <w:bCs/>
                <w:sz w:val="24"/>
                <w:szCs w:val="24"/>
              </w:rPr>
              <w:t>（千分之十以上千分之二十以下）的违约金。</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jc w:val="both"/>
              <w:rPr>
                <w:rFonts w:ascii="宋体" w:eastAsia="宋体" w:hAnsi="宋体" w:cs="宋体" w:hint="eastAsia"/>
                <w:color w:val="000000"/>
                <w:sz w:val="24"/>
                <w:szCs w:val="24"/>
              </w:rPr>
            </w:pPr>
            <w:r>
              <w:rPr>
                <w:rFonts w:ascii="宋体" w:eastAsia="宋体" w:hAnsi="宋体" w:cs="宋体" w:hint="eastAsia"/>
                <w:b/>
                <w:sz w:val="24"/>
                <w:szCs w:val="24"/>
              </w:rPr>
              <w:t>3.5</w:t>
            </w:r>
            <w:r>
              <w:rPr>
                <w:rFonts w:ascii="宋体" w:eastAsia="宋体" w:hAnsi="宋体" w:cs="宋体" w:hint="eastAsia"/>
                <w:bCs/>
                <w:sz w:val="24"/>
                <w:szCs w:val="24"/>
              </w:rPr>
              <w:t>违约金先从由投标人履约保证金中扣除，若有不足部分则由中标人补齐。</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jc w:val="both"/>
              <w:rPr>
                <w:rFonts w:ascii="宋体" w:eastAsia="宋体" w:hAnsi="宋体" w:cs="宋体" w:hint="eastAsia"/>
                <w:color w:val="000000"/>
                <w:sz w:val="24"/>
                <w:szCs w:val="24"/>
              </w:rPr>
            </w:pPr>
            <w:r>
              <w:rPr>
                <w:rFonts w:ascii="宋体" w:eastAsia="宋体" w:hAnsi="宋体" w:cs="宋体" w:hint="eastAsia"/>
                <w:b/>
                <w:sz w:val="24"/>
                <w:szCs w:val="24"/>
              </w:rPr>
              <w:t>3.6</w:t>
            </w:r>
            <w:r>
              <w:rPr>
                <w:rFonts w:ascii="宋体" w:eastAsia="宋体" w:hAnsi="宋体" w:cs="宋体" w:hint="eastAsia"/>
                <w:bCs/>
                <w:sz w:val="24"/>
                <w:szCs w:val="24"/>
              </w:rPr>
              <w:t>中标人逾期交货的，将被没收履约保证金并按主管部门相关规定处理。</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Merge/>
            <w:vAlign w:val="center"/>
          </w:tcPr>
          <w:p>
            <w:pPr>
              <w:jc w:val="center"/>
              <w:rPr>
                <w:rFonts w:ascii="宋体" w:eastAsia="宋体" w:hAnsi="宋体" w:cs="宋体" w:hint="eastAsia"/>
                <w:bCs/>
                <w:color w:val="000000"/>
                <w:sz w:val="24"/>
                <w:szCs w:val="24"/>
              </w:rPr>
            </w:pPr>
          </w:p>
        </w:tc>
        <w:tc>
          <w:tcPr>
            <w:tcW w:w="975" w:type="dxa"/>
            <w:vMerge/>
            <w:vAlign w:val="center"/>
          </w:tcPr>
          <w:p>
            <w:pPr>
              <w:jc w:val="center"/>
              <w:rPr>
                <w:rFonts w:ascii="宋体" w:eastAsia="宋体" w:hAnsi="宋体" w:cs="宋体" w:hint="eastAsia"/>
                <w:bCs/>
                <w:color w:val="000000"/>
                <w:sz w:val="24"/>
                <w:szCs w:val="24"/>
              </w:rPr>
            </w:pPr>
          </w:p>
        </w:tc>
        <w:tc>
          <w:tcPr>
            <w:tcW w:w="3300" w:type="dxa"/>
            <w:vAlign w:val="top"/>
          </w:tcPr>
          <w:p>
            <w:pPr>
              <w:jc w:val="both"/>
              <w:rPr>
                <w:rFonts w:ascii="宋体" w:eastAsia="宋体" w:hAnsi="宋体" w:cs="宋体" w:hint="eastAsia"/>
                <w:color w:val="000000"/>
                <w:sz w:val="24"/>
                <w:szCs w:val="24"/>
              </w:rPr>
            </w:pPr>
            <w:r>
              <w:rPr>
                <w:rFonts w:ascii="宋体" w:eastAsia="宋体" w:hAnsi="宋体" w:cs="宋体" w:hint="eastAsia"/>
                <w:b/>
                <w:sz w:val="24"/>
                <w:szCs w:val="24"/>
              </w:rPr>
              <w:t>3.7</w:t>
            </w:r>
            <w:r>
              <w:rPr>
                <w:rFonts w:ascii="宋体" w:eastAsia="宋体" w:hAnsi="宋体" w:cs="宋体" w:hint="eastAsia"/>
                <w:bCs/>
                <w:sz w:val="24"/>
                <w:szCs w:val="24"/>
              </w:rPr>
              <w:t>中标人所交付产品、工程或服务不符合其投标承诺的，或在投标阶段为了中标而盲目虚假承诺、低价恶性竞争，在履约阶段则通过偷工减料、以次充好而获取利润的，将被没收履约保证金，并被履约评价工作实施机构评为履约等级“差”并按主管部门相关规定处理。</w:t>
            </w:r>
          </w:p>
        </w:tc>
        <w:tc>
          <w:tcPr>
            <w:tcW w:w="1781" w:type="dxa"/>
            <w:vAlign w:val="top"/>
          </w:tcPr>
          <w:p>
            <w:pPr>
              <w:jc w:val="both"/>
              <w:rPr>
                <w:rFonts w:ascii="宋体" w:eastAsia="宋体" w:hAnsi="宋体" w:cs="宋体" w:hint="eastAsia"/>
                <w:b/>
                <w:sz w:val="24"/>
                <w:szCs w:val="24"/>
              </w:rPr>
            </w:pPr>
          </w:p>
        </w:tc>
        <w:tc>
          <w:tcPr>
            <w:tcW w:w="1219" w:type="dxa"/>
            <w:vAlign w:val="top"/>
          </w:tcPr>
          <w:p>
            <w:pPr>
              <w:jc w:val="both"/>
              <w:rPr>
                <w:rFonts w:ascii="宋体" w:eastAsia="宋体" w:hAnsi="宋体" w:cs="宋体" w:hint="eastAsia"/>
                <w:b/>
                <w:sz w:val="24"/>
                <w:szCs w:val="24"/>
              </w:rPr>
            </w:pPr>
          </w:p>
        </w:tc>
        <w:tc>
          <w:tcPr>
            <w:tcW w:w="750" w:type="dxa"/>
            <w:vAlign w:val="top"/>
          </w:tcPr>
          <w:p>
            <w:pPr>
              <w:jc w:val="both"/>
              <w:rPr>
                <w:rFonts w:ascii="宋体" w:eastAsia="宋体" w:hAnsi="宋体" w:cs="宋体" w:hint="eastAsia"/>
                <w:b/>
                <w:sz w:val="24"/>
                <w:szCs w:val="24"/>
              </w:rPr>
            </w:pPr>
          </w:p>
        </w:tc>
      </w:tr>
      <w:tr>
        <w:tblPrEx>
          <w:tblW w:w="8539" w:type="dxa"/>
          <w:tblInd w:w="0" w:type="dxa"/>
          <w:tblLayout w:type="fixed"/>
          <w:tblCellMar>
            <w:top w:w="0" w:type="dxa"/>
            <w:left w:w="108" w:type="dxa"/>
            <w:bottom w:w="0" w:type="dxa"/>
            <w:right w:w="108" w:type="dxa"/>
          </w:tblCellMar>
        </w:tblPrEx>
        <w:trPr>
          <w:trHeight w:val="90"/>
        </w:trPr>
        <w:tc>
          <w:tcPr>
            <w:tcW w:w="514" w:type="dxa"/>
            <w:vAlign w:val="center"/>
          </w:tcPr>
          <w:p>
            <w:pPr>
              <w:jc w:val="center"/>
              <w:rPr>
                <w:rFonts w:ascii="宋体" w:eastAsia="宋体" w:hAnsi="宋体" w:cs="宋体" w:hint="eastAsia"/>
                <w:bCs/>
                <w:color w:val="000000"/>
                <w:sz w:val="24"/>
                <w:szCs w:val="24"/>
              </w:rPr>
            </w:pPr>
            <w:r>
              <w:rPr>
                <w:rFonts w:ascii="宋体" w:eastAsia="宋体" w:hAnsi="宋体" w:cs="宋体" w:hint="eastAsia"/>
                <w:bCs/>
                <w:color w:val="000000"/>
                <w:sz w:val="24"/>
                <w:szCs w:val="24"/>
              </w:rPr>
              <w:t>4</w:t>
            </w:r>
          </w:p>
        </w:tc>
        <w:tc>
          <w:tcPr>
            <w:tcW w:w="975" w:type="dxa"/>
            <w:vAlign w:val="center"/>
          </w:tcPr>
          <w:p>
            <w:pPr>
              <w:jc w:val="center"/>
              <w:rPr>
                <w:rFonts w:ascii="宋体" w:eastAsia="宋体" w:hAnsi="宋体" w:cs="宋体" w:hint="eastAsia"/>
                <w:bCs/>
                <w:color w:val="000000"/>
                <w:sz w:val="24"/>
                <w:szCs w:val="24"/>
                <w:highlight w:val="none"/>
              </w:rPr>
            </w:pPr>
            <w:r>
              <w:rPr>
                <w:rFonts w:ascii="宋体" w:eastAsia="宋体" w:hAnsi="宋体" w:cs="宋体" w:hint="eastAsia"/>
                <w:sz w:val="24"/>
                <w:szCs w:val="24"/>
                <w:highlight w:val="none"/>
              </w:rPr>
              <w:t>关于付款</w:t>
            </w:r>
          </w:p>
        </w:tc>
        <w:tc>
          <w:tcPr>
            <w:tcW w:w="3300" w:type="dxa"/>
            <w:vAlign w:val="top"/>
          </w:tcPr>
          <w:p>
            <w:pPr>
              <w:pStyle w:val="ListParagraph"/>
              <w:ind w:firstLine="0" w:firstLineChars="0"/>
              <w:rPr>
                <w:rFonts w:ascii="宋体" w:eastAsia="宋体" w:hAnsi="宋体" w:cs="宋体" w:hint="eastAsia"/>
                <w:color w:val="000000"/>
                <w:sz w:val="24"/>
                <w:szCs w:val="24"/>
                <w:highlight w:val="none"/>
              </w:rPr>
            </w:pPr>
            <w:r>
              <w:rPr>
                <w:rFonts w:ascii="宋体" w:eastAsia="宋体" w:hAnsi="宋体" w:cs="宋体" w:hint="eastAsia"/>
                <w:bCs/>
                <w:color w:val="auto"/>
                <w:sz w:val="24"/>
                <w:szCs w:val="24"/>
                <w:highlight w:val="none"/>
              </w:rPr>
              <w:t>本合同签订后，</w:t>
            </w:r>
            <w:r>
              <w:rPr>
                <w:rFonts w:ascii="宋体" w:eastAsia="宋体" w:hAnsi="宋体" w:cs="宋体" w:hint="eastAsia"/>
                <w:bCs/>
                <w:color w:val="auto"/>
                <w:sz w:val="24"/>
                <w:szCs w:val="24"/>
                <w:highlight w:val="none"/>
                <w:lang w:val="en-US" w:eastAsia="zh-CN"/>
              </w:rPr>
              <w:t>乙方需在10个工作日内向甲方提交履约保证金，在设备安装完成经甲方</w:t>
            </w:r>
            <w:r>
              <w:rPr>
                <w:rFonts w:ascii="宋体" w:eastAsia="宋体" w:hAnsi="宋体" w:cs="宋体" w:hint="eastAsia"/>
                <w:bCs/>
                <w:color w:val="auto"/>
                <w:sz w:val="24"/>
                <w:szCs w:val="24"/>
                <w:highlight w:val="none"/>
              </w:rPr>
              <w:t>验收合格</w:t>
            </w:r>
            <w:r>
              <w:rPr>
                <w:rFonts w:ascii="宋体" w:eastAsia="宋体" w:hAnsi="宋体" w:cs="宋体" w:hint="eastAsia"/>
                <w:bCs/>
                <w:color w:val="auto"/>
                <w:sz w:val="24"/>
                <w:szCs w:val="24"/>
                <w:highlight w:val="none"/>
                <w:lang w:val="en-US" w:eastAsia="zh-CN"/>
              </w:rPr>
              <w:t>后，</w:t>
            </w:r>
            <w:r>
              <w:rPr>
                <w:rFonts w:ascii="宋体" w:eastAsia="宋体" w:hAnsi="宋体" w:cs="宋体" w:hint="eastAsia"/>
                <w:bCs/>
                <w:color w:val="auto"/>
                <w:sz w:val="24"/>
                <w:szCs w:val="24"/>
                <w:highlight w:val="none"/>
              </w:rPr>
              <w:t>乙方提供</w:t>
            </w:r>
            <w:r>
              <w:rPr>
                <w:rFonts w:ascii="宋体" w:eastAsia="宋体" w:hAnsi="宋体" w:cs="宋体" w:hint="eastAsia"/>
                <w:bCs/>
                <w:color w:val="auto"/>
                <w:sz w:val="24"/>
                <w:szCs w:val="24"/>
                <w:highlight w:val="none"/>
                <w:lang w:val="en-US" w:eastAsia="zh-CN"/>
              </w:rPr>
              <w:t>全</w:t>
            </w:r>
            <w:r>
              <w:rPr>
                <w:rFonts w:ascii="宋体" w:eastAsia="宋体" w:hAnsi="宋体" w:cs="宋体" w:hint="eastAsia"/>
                <w:bCs/>
                <w:color w:val="auto"/>
                <w:sz w:val="24"/>
                <w:szCs w:val="24"/>
                <w:highlight w:val="none"/>
              </w:rPr>
              <w:t>额合法有效发票后30个工作日内，向乙方支付</w:t>
            </w:r>
            <w:r>
              <w:rPr>
                <w:rFonts w:ascii="宋体" w:eastAsia="宋体" w:hAnsi="宋体" w:cs="宋体" w:hint="eastAsia"/>
                <w:bCs/>
                <w:color w:val="auto"/>
                <w:sz w:val="24"/>
                <w:szCs w:val="24"/>
                <w:highlight w:val="none"/>
                <w:lang w:val="en-US" w:eastAsia="zh-CN"/>
              </w:rPr>
              <w:t>全额贷款</w:t>
            </w:r>
            <w:r>
              <w:rPr>
                <w:rFonts w:ascii="宋体" w:eastAsia="宋体" w:hAnsi="宋体" w:cs="宋体" w:hint="eastAsia"/>
                <w:bCs/>
                <w:color w:val="auto"/>
                <w:sz w:val="24"/>
                <w:szCs w:val="24"/>
                <w:highlight w:val="none"/>
              </w:rPr>
              <w:t>，合同总金额的5%作为履约保证金。履约保证金在合同期满两年后或保修期满后（先到为准），由甲方书面确认并扣除有关违约金或损失赔偿后30个工作日内，甲方无息退还乙方5%履约保证金。采购人因财政审批导致迟延付款的，不视为甲方违约，中标人仍应按照本合同约定履行义务。</w:t>
            </w:r>
          </w:p>
        </w:tc>
        <w:tc>
          <w:tcPr>
            <w:tcW w:w="1781" w:type="dxa"/>
            <w:vAlign w:val="top"/>
          </w:tcPr>
          <w:p>
            <w:pPr>
              <w:pStyle w:val="ListParagraph"/>
              <w:ind w:firstLine="0" w:firstLineChars="0"/>
              <w:jc w:val="both"/>
              <w:rPr>
                <w:rFonts w:ascii="宋体" w:eastAsia="宋体" w:hAnsi="宋体" w:cs="宋体" w:hint="eastAsia"/>
                <w:bCs/>
                <w:sz w:val="24"/>
                <w:szCs w:val="24"/>
              </w:rPr>
            </w:pPr>
          </w:p>
        </w:tc>
        <w:tc>
          <w:tcPr>
            <w:tcW w:w="1219" w:type="dxa"/>
            <w:vAlign w:val="top"/>
          </w:tcPr>
          <w:p>
            <w:pPr>
              <w:pStyle w:val="ListParagraph"/>
              <w:ind w:firstLine="0" w:firstLineChars="0"/>
              <w:jc w:val="both"/>
              <w:rPr>
                <w:rFonts w:ascii="宋体" w:eastAsia="宋体" w:hAnsi="宋体" w:cs="宋体" w:hint="eastAsia"/>
                <w:bCs/>
                <w:sz w:val="24"/>
                <w:szCs w:val="24"/>
              </w:rPr>
            </w:pPr>
          </w:p>
        </w:tc>
        <w:tc>
          <w:tcPr>
            <w:tcW w:w="750" w:type="dxa"/>
            <w:vAlign w:val="top"/>
          </w:tcPr>
          <w:p>
            <w:pPr>
              <w:pStyle w:val="ListParagraph"/>
              <w:ind w:firstLine="0" w:firstLineChars="0"/>
              <w:jc w:val="both"/>
              <w:rPr>
                <w:rFonts w:ascii="宋体" w:eastAsia="宋体" w:hAnsi="宋体" w:cs="宋体" w:hint="eastAsia"/>
                <w:bCs/>
                <w:sz w:val="24"/>
                <w:szCs w:val="24"/>
              </w:rPr>
            </w:pPr>
          </w:p>
        </w:tc>
      </w:tr>
      <w:tr>
        <w:tblPrEx>
          <w:tblW w:w="8539" w:type="dxa"/>
          <w:tblInd w:w="0" w:type="dxa"/>
          <w:tblLayout w:type="fixed"/>
          <w:tblCellMar>
            <w:top w:w="0" w:type="dxa"/>
            <w:left w:w="108" w:type="dxa"/>
            <w:bottom w:w="0" w:type="dxa"/>
            <w:right w:w="108" w:type="dxa"/>
          </w:tblCellMar>
        </w:tblPrEx>
        <w:trPr>
          <w:trHeight w:val="680"/>
        </w:trPr>
        <w:tc>
          <w:tcPr>
            <w:tcW w:w="514" w:type="dxa"/>
            <w:vAlign w:val="center"/>
          </w:tcPr>
          <w:p>
            <w:pPr>
              <w:jc w:val="center"/>
              <w:rPr>
                <w:rFonts w:ascii="宋体" w:eastAsia="宋体" w:hAnsi="宋体" w:cs="宋体" w:hint="eastAsia"/>
                <w:bCs/>
                <w:color w:val="000000"/>
                <w:sz w:val="24"/>
                <w:szCs w:val="24"/>
              </w:rPr>
            </w:pPr>
            <w:r>
              <w:rPr>
                <w:rFonts w:ascii="宋体" w:eastAsia="宋体" w:hAnsi="宋体" w:cs="宋体" w:hint="eastAsia"/>
                <w:bCs/>
                <w:color w:val="000000"/>
                <w:sz w:val="24"/>
                <w:szCs w:val="24"/>
              </w:rPr>
              <w:t>5</w:t>
            </w:r>
          </w:p>
        </w:tc>
        <w:tc>
          <w:tcPr>
            <w:tcW w:w="975" w:type="dxa"/>
            <w:vAlign w:val="center"/>
          </w:tcPr>
          <w:p>
            <w:pPr>
              <w:jc w:val="center"/>
              <w:rPr>
                <w:rFonts w:ascii="宋体" w:eastAsia="宋体" w:hAnsi="宋体" w:cs="宋体" w:hint="eastAsia"/>
                <w:bCs/>
                <w:color w:val="000000"/>
                <w:sz w:val="24"/>
                <w:szCs w:val="24"/>
              </w:rPr>
            </w:pPr>
            <w:r>
              <w:rPr>
                <w:rFonts w:ascii="宋体" w:eastAsia="宋体" w:hAnsi="宋体" w:cs="宋体" w:hint="eastAsia"/>
                <w:sz w:val="24"/>
                <w:szCs w:val="24"/>
              </w:rPr>
              <w:t>报价要求</w:t>
            </w:r>
          </w:p>
        </w:tc>
        <w:tc>
          <w:tcPr>
            <w:tcW w:w="3300" w:type="dxa"/>
            <w:vAlign w:val="top"/>
          </w:tcPr>
          <w:p>
            <w:pPr>
              <w:jc w:val="both"/>
              <w:rPr>
                <w:rFonts w:ascii="宋体" w:eastAsia="宋体" w:hAnsi="宋体" w:cs="宋体" w:hint="eastAsia"/>
                <w:color w:val="000000"/>
                <w:sz w:val="24"/>
                <w:szCs w:val="24"/>
              </w:rPr>
            </w:pPr>
            <w:r>
              <w:rPr>
                <w:rFonts w:ascii="宋体" w:eastAsia="宋体" w:hAnsi="宋体" w:cs="宋体" w:hint="eastAsia"/>
                <w:bCs/>
                <w:sz w:val="24"/>
                <w:szCs w:val="24"/>
              </w:rPr>
              <w:t xml:space="preserve">投标总价必须是完成该项目的一切费用总和，包括设备费、运输费、装卸费、保险费、技术培训费、设备安装费、调试费、售后服务费、国家规定的各项税费等全部费用； </w:t>
            </w:r>
          </w:p>
        </w:tc>
        <w:tc>
          <w:tcPr>
            <w:tcW w:w="1781" w:type="dxa"/>
            <w:vAlign w:val="top"/>
          </w:tcPr>
          <w:p>
            <w:pPr>
              <w:jc w:val="both"/>
              <w:rPr>
                <w:rFonts w:ascii="宋体" w:eastAsia="宋体" w:hAnsi="宋体" w:cs="宋体" w:hint="eastAsia"/>
                <w:bCs/>
                <w:sz w:val="24"/>
                <w:szCs w:val="24"/>
              </w:rPr>
            </w:pPr>
          </w:p>
        </w:tc>
        <w:tc>
          <w:tcPr>
            <w:tcW w:w="1219" w:type="dxa"/>
            <w:vAlign w:val="top"/>
          </w:tcPr>
          <w:p>
            <w:pPr>
              <w:jc w:val="both"/>
              <w:rPr>
                <w:rFonts w:ascii="宋体" w:eastAsia="宋体" w:hAnsi="宋体" w:cs="宋体" w:hint="eastAsia"/>
                <w:bCs/>
                <w:sz w:val="24"/>
                <w:szCs w:val="24"/>
              </w:rPr>
            </w:pPr>
          </w:p>
        </w:tc>
        <w:tc>
          <w:tcPr>
            <w:tcW w:w="750" w:type="dxa"/>
            <w:vAlign w:val="top"/>
          </w:tcPr>
          <w:p>
            <w:pPr>
              <w:jc w:val="both"/>
              <w:rPr>
                <w:rFonts w:ascii="宋体" w:eastAsia="宋体" w:hAnsi="宋体" w:cs="宋体" w:hint="eastAsia"/>
                <w:bCs/>
                <w:sz w:val="24"/>
                <w:szCs w:val="24"/>
              </w:rPr>
            </w:pPr>
          </w:p>
        </w:tc>
      </w:tr>
    </w:tbl>
    <w:p>
      <w:pPr>
        <w:ind w:firstLine="480" w:firstLineChars="200"/>
        <w:rPr>
          <w:b/>
        </w:rPr>
      </w:pPr>
      <w:r>
        <w:rPr>
          <w:rFonts w:hint="eastAsia"/>
          <w:b/>
        </w:rPr>
        <w:t>《商务要求偏离表》编制指引：</w:t>
      </w:r>
    </w:p>
    <w:p>
      <w:pPr>
        <w:ind w:firstLine="480" w:firstLineChars="200"/>
        <w:rPr>
          <w:b/>
        </w:rPr>
      </w:pPr>
      <w:r>
        <w:rPr>
          <w:rFonts w:hint="eastAsia"/>
          <w:b/>
        </w:rPr>
        <w:t>1、商务要求偏离表的序号、商务需求项、招标商务要求等栏目对应“用户需求书”中的“商务要求”章节相关内容。</w:t>
      </w:r>
    </w:p>
    <w:p>
      <w:pPr>
        <w:ind w:firstLine="480" w:firstLineChars="200"/>
        <w:rPr>
          <w:b/>
        </w:rPr>
      </w:pPr>
      <w:r>
        <w:rPr>
          <w:b/>
        </w:rPr>
        <w:t>2</w:t>
      </w:r>
      <w:r>
        <w:rPr>
          <w:rFonts w:hint="eastAsia"/>
          <w:b/>
        </w:rPr>
        <w:t>、“投标商务响应”一栏必须一一对照“招标商务要求”，详细填写自身响应情况，而不能不合理照搬照抄招标文件的商务要求，以体现具体响应情况。</w:t>
      </w:r>
    </w:p>
    <w:p>
      <w:pPr>
        <w:ind w:firstLine="480" w:firstLineChars="200"/>
        <w:rPr>
          <w:color w:val="FF0000"/>
        </w:rPr>
      </w:pPr>
      <w:r>
        <w:rPr>
          <w:b/>
        </w:rPr>
        <w:t>3</w:t>
      </w:r>
      <w:r>
        <w:rPr>
          <w:rFonts w:hint="eastAsia"/>
          <w:b/>
        </w:rPr>
        <w:t>、“偏离情况”一栏填写如实填写“正偏离”、“负偏离”或“无偏离”，其中：“正偏离”表示“投标响应优于招标商务要求”，“负偏离”表示“投标响应不满足招标商务要求”，“无偏离”表示“投标响应与招标商务要求一致”。</w:t>
      </w:r>
    </w:p>
    <w:p>
      <w:r>
        <w:rPr>
          <w:rFonts w:hint="eastAsia"/>
          <w:b/>
        </w:rPr>
        <w:t>“投标商务响应”对比“招标商务要求”存在响应不全（包括未响应整项招标商务要求或者未响应一项招标商务要求的部分内容），均视为“负偏离”。</w:t>
      </w:r>
    </w:p>
    <w:p/>
    <w:p/>
    <w:p>
      <w:pPr>
        <w:pStyle w:val="a0"/>
      </w:pPr>
    </w:p>
    <w:p>
      <w:pPr>
        <w:pStyle w:val="a0"/>
      </w:pPr>
    </w:p>
    <w:p>
      <w:pPr>
        <w:pStyle w:val="a0"/>
      </w:pPr>
    </w:p>
    <w:p>
      <w:pPr>
        <w:pStyle w:val="a0"/>
      </w:pPr>
    </w:p>
    <w:p>
      <w:pPr>
        <w:pStyle w:val="a0"/>
      </w:pPr>
    </w:p>
    <w:p>
      <w:pPr>
        <w:pStyle w:val="a0"/>
      </w:pPr>
    </w:p>
    <w:p>
      <w:pPr>
        <w:pStyle w:val="a0"/>
      </w:pPr>
    </w:p>
    <w:p>
      <w:pPr>
        <w:pStyle w:val="a2"/>
      </w:pPr>
    </w:p>
    <w:p>
      <w:pPr>
        <w:bidi w:val="0"/>
        <w:rPr>
          <w:rFonts w:hint="eastAsia"/>
        </w:rPr>
      </w:pPr>
      <w:bookmarkStart w:id="84" w:name="_Hlk72260576"/>
    </w:p>
    <w:p>
      <w:pPr>
        <w:pStyle w:val="Heading4"/>
        <w:jc w:val="center"/>
        <w:rPr>
          <w:rFonts w:ascii="黑体"/>
          <w:b w:val="0"/>
          <w:sz w:val="24"/>
          <w:szCs w:val="24"/>
        </w:rPr>
      </w:pPr>
      <w:r>
        <w:rPr>
          <w:rFonts w:ascii="黑体" w:hint="eastAsia"/>
          <w:b w:val="0"/>
          <w:sz w:val="24"/>
          <w:szCs w:val="24"/>
          <w:lang w:val="en-US" w:eastAsia="zh-CN"/>
        </w:rPr>
        <w:t>六、</w:t>
      </w:r>
      <w:r>
        <w:rPr>
          <w:rFonts w:ascii="黑体" w:hint="eastAsia"/>
          <w:b w:val="0"/>
          <w:sz w:val="24"/>
          <w:szCs w:val="24"/>
        </w:rPr>
        <w:t>技术保障措施</w:t>
      </w:r>
    </w:p>
    <w:p>
      <w:r>
        <w:rPr>
          <w:rFonts w:hint="eastAsia"/>
        </w:rPr>
        <w:t>主要内容应包括</w:t>
      </w:r>
      <w:r>
        <w:rPr>
          <w:rFonts w:hint="eastAsia"/>
          <w:color w:val="FF0000"/>
        </w:rPr>
        <w:t>(根据项目实际情况适当调整内容)</w:t>
      </w:r>
      <w:r>
        <w:rPr>
          <w:rFonts w:hint="eastAsia"/>
        </w:rPr>
        <w:t>：</w:t>
      </w:r>
    </w:p>
    <w:p/>
    <w:p>
      <w:pPr>
        <w:numPr>
          <w:ilvl w:val="0"/>
          <w:numId w:val="2"/>
        </w:numPr>
        <w:rPr>
          <w:rFonts w:hint="eastAsia"/>
          <w:lang w:val="en-US" w:eastAsia="zh-CN"/>
        </w:rPr>
      </w:pPr>
      <w:r>
        <w:rPr>
          <w:rFonts w:hint="eastAsia"/>
        </w:rPr>
        <w:t>项目组织管理方案；</w:t>
      </w:r>
    </w:p>
    <w:p>
      <w:pPr>
        <w:numPr>
          <w:ilvl w:val="0"/>
          <w:numId w:val="0"/>
        </w:numPr>
        <w:ind w:leftChars="0"/>
        <w:rPr>
          <w:rFonts w:eastAsia="宋体" w:hint="eastAsia"/>
          <w:lang w:val="en-US" w:eastAsia="zh-CN"/>
        </w:rPr>
      </w:pPr>
    </w:p>
    <w:p>
      <w:pPr>
        <w:numPr>
          <w:ilvl w:val="0"/>
          <w:numId w:val="0"/>
        </w:numPr>
        <w:ind w:leftChars="0"/>
        <w:rPr>
          <w:rFonts w:hint="eastAsia"/>
        </w:rPr>
      </w:pPr>
      <w:r>
        <w:rPr>
          <w:rFonts w:eastAsia="宋体" w:hint="eastAsia"/>
          <w:lang w:val="en-US" w:eastAsia="zh-CN"/>
        </w:rPr>
        <w:t>2、</w:t>
      </w:r>
      <w:r>
        <w:rPr>
          <w:rFonts w:hint="eastAsia"/>
        </w:rPr>
        <w:t>项目进度计划；</w:t>
      </w:r>
    </w:p>
    <w:p>
      <w:pPr>
        <w:numPr>
          <w:ilvl w:val="0"/>
          <w:numId w:val="0"/>
        </w:numPr>
        <w:ind w:leftChars="0"/>
        <w:rPr>
          <w:rFonts w:eastAsia="宋体" w:hint="eastAsia"/>
          <w:lang w:val="en-US" w:eastAsia="zh-CN"/>
        </w:rPr>
      </w:pPr>
    </w:p>
    <w:p>
      <w:pPr>
        <w:numPr>
          <w:ilvl w:val="0"/>
          <w:numId w:val="0"/>
        </w:numPr>
        <w:ind w:leftChars="0"/>
        <w:rPr>
          <w:rFonts w:hint="eastAsia"/>
        </w:rPr>
      </w:pPr>
      <w:r>
        <w:rPr>
          <w:rFonts w:eastAsia="宋体" w:hint="eastAsia"/>
          <w:lang w:val="en-US" w:eastAsia="zh-CN"/>
        </w:rPr>
        <w:t>3、</w:t>
      </w:r>
      <w:r>
        <w:rPr>
          <w:rFonts w:hint="eastAsia"/>
        </w:rPr>
        <w:t>项目质量控制措施；</w:t>
      </w:r>
    </w:p>
    <w:p>
      <w:pPr>
        <w:rPr>
          <w:rFonts w:eastAsia="宋体" w:hint="eastAsia"/>
          <w:lang w:val="en-US" w:eastAsia="zh-CN"/>
        </w:rPr>
      </w:pPr>
    </w:p>
    <w:p>
      <w:pPr>
        <w:rPr>
          <w:rFonts w:hint="eastAsia"/>
        </w:rPr>
      </w:pPr>
      <w:r>
        <w:rPr>
          <w:rFonts w:eastAsia="宋体" w:hint="eastAsia"/>
          <w:lang w:val="en-US" w:eastAsia="zh-CN"/>
        </w:rPr>
        <w:t>4、</w:t>
      </w:r>
      <w:r>
        <w:rPr>
          <w:rFonts w:hint="eastAsia"/>
        </w:rPr>
        <w:t>项目进度控制措施；</w:t>
      </w:r>
    </w:p>
    <w:p>
      <w:pPr>
        <w:rPr>
          <w:rFonts w:eastAsia="宋体" w:hint="eastAsia"/>
          <w:lang w:val="en-US" w:eastAsia="zh-CN"/>
        </w:rPr>
      </w:pPr>
    </w:p>
    <w:p>
      <w:r>
        <w:rPr>
          <w:rFonts w:eastAsia="宋体" w:hint="eastAsia"/>
          <w:lang w:val="en-US" w:eastAsia="zh-CN"/>
        </w:rPr>
        <w:t>5、</w:t>
      </w:r>
      <w:r>
        <w:rPr>
          <w:rFonts w:hint="eastAsia"/>
        </w:rPr>
        <w:t>项目技术实力；</w:t>
      </w:r>
    </w:p>
    <w:p>
      <w:pPr>
        <w:rPr>
          <w:rFonts w:hint="eastAsia"/>
          <w:b/>
          <w:bCs/>
          <w:color w:val="FF0000"/>
        </w:rPr>
      </w:pPr>
    </w:p>
    <w:p>
      <w:pPr>
        <w:rPr>
          <w:b/>
          <w:bCs/>
          <w:color w:val="FF0000"/>
        </w:rPr>
      </w:pPr>
      <w:r>
        <w:rPr>
          <w:rFonts w:hint="eastAsia"/>
          <w:b/>
          <w:bCs/>
          <w:color w:val="FF0000"/>
        </w:rPr>
        <w:t>（备注：该部分须与投标文件其他部分内容应当相呼应，不得前后矛盾。）</w:t>
      </w:r>
    </w:p>
    <w:p>
      <w:pPr>
        <w:rPr>
          <w:b/>
          <w:bCs/>
          <w:color w:val="FF0000"/>
        </w:rPr>
      </w:pPr>
    </w:p>
    <w:p>
      <w:pPr>
        <w:pStyle w:val="Heading4"/>
        <w:jc w:val="center"/>
        <w:rPr>
          <w:rFonts w:ascii="黑体"/>
          <w:b w:val="0"/>
          <w:sz w:val="24"/>
          <w:szCs w:val="24"/>
        </w:rPr>
      </w:pPr>
      <w:bookmarkEnd w:id="84"/>
      <w:r>
        <w:rPr>
          <w:rFonts w:ascii="黑体" w:hint="eastAsia"/>
          <w:b w:val="0"/>
          <w:sz w:val="24"/>
          <w:szCs w:val="24"/>
        </w:rPr>
        <w:t>七、售后服务方案</w:t>
      </w:r>
    </w:p>
    <w:p/>
    <w:p>
      <w:r>
        <w:rPr>
          <w:rFonts w:hint="eastAsia"/>
        </w:rPr>
        <w:t>主要内容应包括</w:t>
      </w:r>
      <w:r>
        <w:t>(</w:t>
      </w:r>
      <w:r>
        <w:rPr>
          <w:rFonts w:hint="eastAsia"/>
        </w:rPr>
        <w:t>根据项目实际情况适当调整内容</w:t>
      </w:r>
      <w:r>
        <w:t>)</w:t>
      </w:r>
      <w:r>
        <w:rPr>
          <w:rFonts w:hint="eastAsia"/>
        </w:rPr>
        <w:t>：</w:t>
      </w:r>
    </w:p>
    <w:p/>
    <w:p>
      <w:pPr>
        <w:rPr>
          <w:rFonts w:hint="eastAsia"/>
        </w:rPr>
      </w:pPr>
      <w:r>
        <w:t>1</w:t>
      </w:r>
      <w:r>
        <w:rPr>
          <w:rFonts w:hint="eastAsia"/>
        </w:rPr>
        <w:t>、售后服务机构及维护人员配置；</w:t>
      </w:r>
    </w:p>
    <w:p>
      <w:pPr>
        <w:rPr>
          <w:rFonts w:eastAsia="宋体" w:hint="eastAsia"/>
          <w:lang w:val="en-US" w:eastAsia="zh-CN"/>
        </w:rPr>
      </w:pPr>
    </w:p>
    <w:p>
      <w:pPr>
        <w:rPr>
          <w:rFonts w:hint="eastAsia"/>
        </w:rPr>
      </w:pPr>
      <w:r>
        <w:rPr>
          <w:rFonts w:eastAsia="宋体" w:hint="eastAsia"/>
          <w:lang w:val="en-US" w:eastAsia="zh-CN"/>
        </w:rPr>
        <w:t>2、</w:t>
      </w:r>
      <w:r>
        <w:rPr>
          <w:rFonts w:hint="eastAsia"/>
        </w:rPr>
        <w:t>免费保修期内的保修方案；</w:t>
      </w:r>
    </w:p>
    <w:p>
      <w:pPr>
        <w:rPr>
          <w:rFonts w:eastAsia="宋体" w:hint="eastAsia"/>
          <w:lang w:val="en-US" w:eastAsia="zh-CN"/>
        </w:rPr>
      </w:pPr>
    </w:p>
    <w:p>
      <w:r>
        <w:rPr>
          <w:rFonts w:eastAsia="宋体" w:hint="eastAsia"/>
          <w:lang w:val="en-US" w:eastAsia="zh-CN"/>
        </w:rPr>
        <w:t>3、</w:t>
      </w:r>
      <w:r>
        <w:rPr>
          <w:rFonts w:hint="eastAsia"/>
        </w:rPr>
        <w:t>免费保修期外的维保方案（须提供配件价格、耗材价格、优惠政策等）</w:t>
      </w:r>
      <w:r>
        <w:rPr>
          <w:rFonts w:ascii="宋体" w:eastAsia="宋体" w:hAnsi="宋体" w:cs="宋体" w:hint="eastAsia"/>
          <w:color w:val="000000"/>
        </w:rPr>
        <w:t>6、</w:t>
      </w:r>
      <w:r>
        <w:rPr>
          <w:rFonts w:ascii="宋体" w:hAnsi="宋体" w:cs="宋体" w:hint="eastAsia"/>
          <w:color w:val="000000"/>
        </w:rPr>
        <w:t>在</w:t>
      </w:r>
      <w:r>
        <w:rPr>
          <w:rFonts w:ascii="宋体" w:eastAsia="宋体" w:hAnsi="宋体" w:cs="宋体" w:hint="eastAsia"/>
          <w:color w:val="000000"/>
        </w:rPr>
        <w:t>免费保修期</w:t>
      </w:r>
      <w:r>
        <w:rPr>
          <w:rFonts w:ascii="宋体" w:hAnsi="宋体" w:cs="宋体" w:hint="eastAsia"/>
          <w:color w:val="000000"/>
        </w:rPr>
        <w:t>一年结束后，可再提供两年的</w:t>
      </w:r>
      <w:r>
        <w:rPr>
          <w:rFonts w:ascii="宋体" w:eastAsia="宋体" w:hAnsi="宋体" w:cs="宋体" w:hint="eastAsia"/>
          <w:color w:val="000000"/>
        </w:rPr>
        <w:t>免费保修期</w:t>
      </w:r>
      <w:r>
        <w:rPr>
          <w:rFonts w:ascii="宋体" w:hAnsi="宋体" w:cs="宋体" w:hint="eastAsia"/>
          <w:color w:val="000000"/>
        </w:rPr>
        <w:t>外售后服务</w:t>
      </w:r>
      <w:r>
        <w:rPr>
          <w:rFonts w:hint="eastAsia"/>
        </w:rPr>
        <w:t>。</w:t>
      </w:r>
    </w:p>
    <w:p>
      <w:pPr>
        <w:rPr>
          <w:rFonts w:hint="eastAsia"/>
          <w:b/>
          <w:color w:val="FF0000"/>
        </w:rPr>
      </w:pPr>
    </w:p>
    <w:p>
      <w:pPr>
        <w:rPr>
          <w:b/>
          <w:color w:val="FF0000"/>
        </w:rPr>
      </w:pPr>
      <w:r>
        <w:rPr>
          <w:rFonts w:hint="eastAsia"/>
          <w:b/>
          <w:color w:val="FF0000"/>
        </w:rPr>
        <w:t>（备注：该部分须与“商务需求”承诺的内容相呼应，不得前后矛盾。）</w:t>
      </w:r>
    </w:p>
    <w:p>
      <w:pPr>
        <w:rPr>
          <w:b/>
          <w:bCs/>
        </w:rPr>
      </w:pPr>
    </w:p>
    <w:p>
      <w:pPr>
        <w:pStyle w:val="a0"/>
        <w:ind w:left="0" w:firstLine="0" w:leftChars="0" w:firstLineChars="0"/>
        <w:rPr>
          <w:b/>
          <w:bCs/>
        </w:rPr>
      </w:pPr>
    </w:p>
    <w:p>
      <w:pPr>
        <w:pStyle w:val="Heading4"/>
        <w:jc w:val="center"/>
        <w:rPr>
          <w:rFonts w:ascii="黑体"/>
          <w:b w:val="0"/>
          <w:bCs w:val="0"/>
          <w:sz w:val="24"/>
          <w:szCs w:val="20"/>
        </w:rPr>
      </w:pPr>
      <w:r>
        <w:rPr>
          <w:rFonts w:ascii="黑体" w:hint="eastAsia"/>
          <w:b w:val="0"/>
          <w:bCs w:val="0"/>
          <w:sz w:val="24"/>
          <w:szCs w:val="20"/>
        </w:rPr>
        <w:t>八、</w:t>
      </w:r>
      <w:bookmarkStart w:id="85" w:name="_Hlk72062872"/>
      <w:r>
        <w:rPr>
          <w:rFonts w:ascii="黑体" w:hint="eastAsia"/>
          <w:b w:val="0"/>
          <w:bCs w:val="0"/>
          <w:sz w:val="24"/>
          <w:szCs w:val="20"/>
        </w:rPr>
        <w:t>投标人认为信息不公开部分需要加以说明的其它内容</w:t>
      </w:r>
      <w:bookmarkEnd w:id="85"/>
    </w:p>
    <w:p>
      <w:pPr>
        <w:rPr>
          <w:b/>
          <w:sz w:val="22"/>
        </w:rPr>
      </w:pPr>
    </w:p>
    <w:p/>
    <w:p/>
    <w:p>
      <w:pPr>
        <w:rPr>
          <w:rFonts w:ascii="宋体" w:hAnsi="宋体"/>
          <w:b/>
          <w:bCs/>
          <w:szCs w:val="20"/>
        </w:rPr>
      </w:pPr>
      <w:r>
        <w:br w:type="page"/>
      </w:r>
    </w:p>
    <w:p>
      <w:pPr>
        <w:pStyle w:val="Heading2"/>
      </w:pPr>
      <w:r>
        <w:rPr>
          <w:rFonts w:hint="eastAsia"/>
        </w:rPr>
        <w:t>第五章  合同及履约情况反馈格式</w:t>
      </w:r>
    </w:p>
    <w:p>
      <w:pPr>
        <w:jc w:val="center"/>
        <w:outlineLvl w:val="2"/>
        <w:rPr>
          <w:b/>
          <w:bCs/>
        </w:rPr>
      </w:pPr>
      <w:bookmarkStart w:id="86" w:name="_Hlk72574405"/>
      <w:bookmarkStart w:id="87" w:name="_Hlk72260917"/>
      <w:r>
        <w:rPr>
          <w:rFonts w:eastAsia="宋体" w:hint="eastAsia"/>
          <w:b/>
          <w:bCs/>
        </w:rPr>
        <w:t>一、</w:t>
      </w:r>
      <w:r>
        <w:rPr>
          <w:rFonts w:hint="eastAsia"/>
          <w:b/>
          <w:bCs/>
        </w:rPr>
        <w:t>合同条款及格式</w:t>
      </w:r>
    </w:p>
    <w:p>
      <w:pPr>
        <w:jc w:val="center"/>
        <w:rPr>
          <w:b/>
        </w:rPr>
      </w:pPr>
    </w:p>
    <w:p>
      <w:pPr>
        <w:jc w:val="center"/>
      </w:pPr>
      <w:r>
        <w:rPr>
          <w:rFonts w:hint="eastAsia"/>
          <w:b/>
        </w:rPr>
        <w:t>（仅供参考，具体以项目需求及采购结果为准）</w:t>
      </w:r>
      <w:bookmarkEnd w:id="86"/>
    </w:p>
    <w:p>
      <w:pPr>
        <w:rPr>
          <w:rFonts w:ascii="宋体" w:hAnsi="宋体"/>
          <w:b/>
          <w:bCs/>
          <w:szCs w:val="21"/>
        </w:rPr>
      </w:pPr>
      <w:r>
        <w:rPr>
          <w:rFonts w:ascii="宋体" w:hAnsi="宋体" w:hint="eastAsia"/>
          <w:b/>
          <w:bCs/>
          <w:szCs w:val="21"/>
        </w:rPr>
        <w:t>甲方：</w:t>
      </w:r>
    </w:p>
    <w:p>
      <w:pPr>
        <w:rPr>
          <w:rFonts w:ascii="宋体" w:hAnsi="宋体"/>
          <w:szCs w:val="21"/>
        </w:rPr>
      </w:pPr>
      <w:bookmarkStart w:id="88" w:name="_Hlk75014453"/>
      <w:r>
        <w:rPr>
          <w:rFonts w:ascii="宋体" w:hAnsi="宋体" w:hint="eastAsia"/>
          <w:szCs w:val="21"/>
        </w:rPr>
        <w:t>地址：</w:t>
      </w:r>
    </w:p>
    <w:p>
      <w:pPr>
        <w:rPr>
          <w:rFonts w:ascii="宋体" w:hAnsi="宋体"/>
          <w:szCs w:val="21"/>
        </w:rPr>
      </w:pPr>
      <w:r>
        <w:rPr>
          <w:rFonts w:ascii="宋体" w:hAnsi="宋体" w:hint="eastAsia"/>
          <w:szCs w:val="21"/>
        </w:rPr>
        <w:t>联系人：</w:t>
      </w:r>
    </w:p>
    <w:p>
      <w:pPr>
        <w:rPr>
          <w:rFonts w:ascii="宋体" w:hAnsi="宋体"/>
          <w:b/>
          <w:bCs/>
          <w:szCs w:val="21"/>
        </w:rPr>
      </w:pPr>
      <w:r>
        <w:rPr>
          <w:rFonts w:ascii="宋体" w:hAnsi="宋体" w:hint="eastAsia"/>
          <w:szCs w:val="21"/>
        </w:rPr>
        <w:t>联系电话：</w:t>
      </w:r>
      <w:bookmarkEnd w:id="88"/>
    </w:p>
    <w:p>
      <w:pPr>
        <w:rPr>
          <w:rFonts w:ascii="宋体" w:hAnsi="宋体"/>
          <w:b/>
          <w:bCs/>
          <w:szCs w:val="21"/>
        </w:rPr>
      </w:pPr>
    </w:p>
    <w:p>
      <w:pPr>
        <w:rPr>
          <w:rFonts w:ascii="宋体" w:hAnsi="宋体"/>
          <w:b/>
          <w:bCs/>
          <w:szCs w:val="21"/>
        </w:rPr>
      </w:pPr>
      <w:r>
        <w:rPr>
          <w:rFonts w:ascii="宋体" w:hAnsi="宋体" w:hint="eastAsia"/>
          <w:b/>
          <w:bCs/>
          <w:szCs w:val="21"/>
        </w:rPr>
        <w:t>乙方：</w:t>
      </w:r>
      <w:bookmarkEnd w:id="87"/>
    </w:p>
    <w:p>
      <w:pPr>
        <w:rPr>
          <w:rFonts w:ascii="宋体" w:hAnsi="宋体"/>
          <w:szCs w:val="21"/>
        </w:rPr>
      </w:pPr>
      <w:r>
        <w:rPr>
          <w:rFonts w:ascii="宋体" w:hAnsi="宋体" w:hint="eastAsia"/>
          <w:szCs w:val="21"/>
        </w:rPr>
        <w:t>地址：</w:t>
      </w:r>
    </w:p>
    <w:p>
      <w:pPr>
        <w:rPr>
          <w:rFonts w:ascii="宋体" w:hAnsi="宋体"/>
          <w:szCs w:val="21"/>
        </w:rPr>
      </w:pPr>
      <w:r>
        <w:rPr>
          <w:rFonts w:ascii="宋体" w:hAnsi="宋体" w:hint="eastAsia"/>
          <w:szCs w:val="21"/>
        </w:rPr>
        <w:t>联系人：</w:t>
      </w:r>
    </w:p>
    <w:p>
      <w:pPr>
        <w:rPr>
          <w:rFonts w:ascii="宋体" w:hAnsi="宋体"/>
          <w:szCs w:val="21"/>
        </w:rPr>
      </w:pPr>
      <w:r>
        <w:rPr>
          <w:rFonts w:ascii="宋体" w:hAnsi="宋体" w:hint="eastAsia"/>
          <w:szCs w:val="21"/>
        </w:rPr>
        <w:t>联系电话：</w:t>
      </w:r>
    </w:p>
    <w:p>
      <w:pPr>
        <w:rPr>
          <w:rFonts w:ascii="宋体" w:hAnsi="宋体"/>
          <w:szCs w:val="21"/>
        </w:rPr>
      </w:pPr>
    </w:p>
    <w:p>
      <w:pPr>
        <w:spacing w:line="360" w:lineRule="auto"/>
        <w:ind w:firstLine="560"/>
        <w:rPr>
          <w:szCs w:val="21"/>
        </w:rPr>
      </w:pPr>
      <w:bookmarkStart w:id="89" w:name="_Hlk72574434"/>
      <w:r>
        <w:rPr>
          <w:rFonts w:hint="eastAsia"/>
          <w:szCs w:val="21"/>
        </w:rPr>
        <w:t>根据</w:t>
      </w:r>
      <w:r>
        <w:rPr>
          <w:rFonts w:eastAsia="宋体" w:hint="eastAsia"/>
          <w:szCs w:val="21"/>
        </w:rPr>
        <w:t>友和保险经纪有限公司</w:t>
      </w:r>
      <w:r>
        <w:rPr>
          <w:rFonts w:eastAsia="宋体" w:hint="eastAsia"/>
          <w:szCs w:val="21"/>
          <w:u w:val="single"/>
        </w:rPr>
        <w:t xml:space="preserve">       </w:t>
      </w:r>
      <w:r>
        <w:rPr>
          <w:rFonts w:hint="eastAsia"/>
          <w:szCs w:val="21"/>
        </w:rPr>
        <w:t>号</w:t>
      </w:r>
      <w:r>
        <w:rPr>
          <w:rFonts w:eastAsia="宋体" w:hint="eastAsia"/>
          <w:szCs w:val="21"/>
          <w:u w:val="single"/>
        </w:rPr>
        <w:t xml:space="preserve">       </w:t>
      </w:r>
      <w:r>
        <w:rPr>
          <w:rFonts w:hint="eastAsia"/>
          <w:szCs w:val="21"/>
        </w:rPr>
        <w:t>项目结果，</w:t>
      </w:r>
      <w:r>
        <w:rPr>
          <w:rFonts w:ascii="宋体" w:hAnsi="宋体" w:hint="eastAsia"/>
          <w:szCs w:val="21"/>
        </w:rPr>
        <w:t>*</w:t>
      </w:r>
      <w:r>
        <w:rPr>
          <w:rFonts w:ascii="宋体" w:hAnsi="宋体"/>
          <w:szCs w:val="21"/>
        </w:rPr>
        <w:t>**</w:t>
      </w:r>
      <w:r>
        <w:rPr>
          <w:rFonts w:ascii="宋体" w:hAnsi="宋体" w:hint="eastAsia"/>
          <w:szCs w:val="21"/>
        </w:rPr>
        <w:t>单位为中标人</w:t>
      </w:r>
      <w:r>
        <w:rPr>
          <w:rFonts w:hint="eastAsia"/>
          <w:szCs w:val="21"/>
        </w:rPr>
        <w:t>。</w:t>
      </w:r>
      <w:bookmarkEnd w:id="89"/>
      <w:r>
        <w:rPr>
          <w:rFonts w:hint="eastAsia"/>
          <w:szCs w:val="21"/>
        </w:rPr>
        <w:t>按照《中华人民共和国民法典》（第三编 合同）和《深圳经济特区政府采购条例》，经深圳市（以下简称甲方）和单位（以下简称乙方）协商，达成以下合同条款：</w:t>
      </w:r>
    </w:p>
    <w:p>
      <w:pPr>
        <w:spacing w:line="360" w:lineRule="auto"/>
        <w:ind w:firstLine="560"/>
        <w:rPr>
          <w:b/>
          <w:szCs w:val="21"/>
        </w:rPr>
      </w:pPr>
      <w:r>
        <w:rPr>
          <w:rFonts w:hint="eastAsia"/>
          <w:b/>
          <w:szCs w:val="21"/>
        </w:rPr>
        <w:t>第一条  合同标的</w:t>
      </w:r>
    </w:p>
    <w:p>
      <w:pPr>
        <w:spacing w:line="360" w:lineRule="auto"/>
        <w:ind w:firstLine="560"/>
        <w:rPr>
          <w:szCs w:val="21"/>
        </w:rPr>
      </w:pPr>
      <w:r>
        <w:rPr>
          <w:rFonts w:hint="eastAsia"/>
          <w:szCs w:val="21"/>
        </w:rPr>
        <w:t>乙方根据甲方需求提供下列货物：</w:t>
      </w:r>
    </w:p>
    <w:p>
      <w:pPr>
        <w:spacing w:line="360" w:lineRule="auto"/>
        <w:ind w:firstLine="560"/>
        <w:rPr>
          <w:szCs w:val="21"/>
        </w:rPr>
      </w:pPr>
      <w:r>
        <w:rPr>
          <w:rFonts w:hint="eastAsia"/>
          <w:szCs w:val="21"/>
        </w:rPr>
        <w:t>货物名称、规格及数量详见。</w:t>
      </w:r>
    </w:p>
    <w:p>
      <w:pPr>
        <w:spacing w:line="360" w:lineRule="auto"/>
        <w:ind w:firstLine="560"/>
        <w:rPr>
          <w:b/>
          <w:szCs w:val="21"/>
        </w:rPr>
      </w:pPr>
      <w:r>
        <w:rPr>
          <w:rFonts w:hint="eastAsia"/>
          <w:b/>
          <w:szCs w:val="21"/>
        </w:rPr>
        <w:t>第二条  合同价款</w:t>
      </w:r>
    </w:p>
    <w:p>
      <w:pPr>
        <w:spacing w:line="360" w:lineRule="auto"/>
        <w:ind w:firstLine="560"/>
        <w:rPr>
          <w:szCs w:val="21"/>
        </w:rPr>
      </w:pPr>
      <w:r>
        <w:rPr>
          <w:rFonts w:hint="eastAsia"/>
          <w:szCs w:val="21"/>
        </w:rPr>
        <w:t>本合同项下总价款为（大写）人民币，分项价款详见。本合同总价款已包括乙方为履行本合同义务所发生的一切费用，系固定不变价格，且不随通货膨胀的影响而波动。</w:t>
      </w:r>
    </w:p>
    <w:p>
      <w:pPr>
        <w:numPr>
          <w:ilvl w:val="0"/>
          <w:numId w:val="3"/>
        </w:numPr>
        <w:spacing w:line="360" w:lineRule="auto"/>
        <w:ind w:firstLine="560"/>
        <w:rPr>
          <w:b/>
          <w:szCs w:val="21"/>
        </w:rPr>
      </w:pPr>
      <w:r>
        <w:rPr>
          <w:rFonts w:hint="eastAsia"/>
          <w:b/>
          <w:szCs w:val="21"/>
        </w:rPr>
        <w:t>履行期限</w:t>
      </w:r>
    </w:p>
    <w:p>
      <w:pPr>
        <w:spacing w:line="360" w:lineRule="auto"/>
        <w:ind w:firstLine="560"/>
        <w:rPr>
          <w:b/>
          <w:szCs w:val="21"/>
        </w:rPr>
      </w:pPr>
      <w:r>
        <w:rPr>
          <w:rFonts w:hint="eastAsia"/>
          <w:bCs/>
          <w:szCs w:val="21"/>
        </w:rPr>
        <w:t>乙方应于本合同签订之日其日内将符合要求的产品向甲方交付（含安装调试），但乙方交付前应向书面通知甲方并征得甲方同意。</w:t>
      </w:r>
    </w:p>
    <w:p>
      <w:pPr>
        <w:numPr>
          <w:ilvl w:val="0"/>
          <w:numId w:val="3"/>
        </w:numPr>
        <w:spacing w:line="360" w:lineRule="auto"/>
        <w:ind w:firstLine="560"/>
        <w:rPr>
          <w:b/>
          <w:szCs w:val="21"/>
        </w:rPr>
      </w:pPr>
      <w:r>
        <w:rPr>
          <w:rFonts w:hint="eastAsia"/>
          <w:b/>
          <w:szCs w:val="21"/>
        </w:rPr>
        <w:t>权利保证</w:t>
      </w:r>
    </w:p>
    <w:p>
      <w:pPr>
        <w:spacing w:line="360" w:lineRule="auto"/>
        <w:ind w:firstLine="560"/>
        <w:rPr>
          <w:rFonts w:ascii="宋体" w:hAnsi="宋体"/>
          <w:szCs w:val="21"/>
        </w:rPr>
      </w:pPr>
      <w:r>
        <w:rPr>
          <w:rFonts w:ascii="宋体" w:hAnsi="宋体"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line="360" w:lineRule="auto"/>
        <w:ind w:firstLine="560"/>
        <w:rPr>
          <w:b/>
          <w:szCs w:val="21"/>
        </w:rPr>
      </w:pPr>
      <w:r>
        <w:rPr>
          <w:rFonts w:hint="eastAsia"/>
          <w:b/>
          <w:szCs w:val="21"/>
        </w:rPr>
        <w:t>第五条  质量保证</w:t>
      </w:r>
    </w:p>
    <w:p>
      <w:pPr>
        <w:spacing w:line="360" w:lineRule="auto"/>
        <w:ind w:firstLine="560"/>
        <w:rPr>
          <w:rFonts w:ascii="宋体" w:hAnsi="宋体"/>
          <w:szCs w:val="21"/>
        </w:rPr>
      </w:pPr>
      <w:r>
        <w:rPr>
          <w:rFonts w:ascii="宋体" w:hAnsi="宋体" w:hint="eastAsia"/>
          <w:szCs w:val="21"/>
        </w:rPr>
        <w:t>1、乙方所提供的货物的技术规格符合招标文件规定的技术规格，货物符合中华人民共和国的设计和制造生产标准或行业标准。</w:t>
      </w:r>
    </w:p>
    <w:p>
      <w:pPr>
        <w:spacing w:line="360" w:lineRule="auto"/>
        <w:ind w:firstLine="560"/>
        <w:rPr>
          <w:rFonts w:ascii="宋体" w:hAnsi="宋体"/>
          <w:szCs w:val="21"/>
        </w:rPr>
      </w:pPr>
      <w:r>
        <w:rPr>
          <w:rFonts w:ascii="宋体" w:hAnsi="宋体" w:hint="eastAsia"/>
          <w:szCs w:val="21"/>
        </w:rPr>
        <w:t>2、乙方应保证货物是全新、未使用过的原装合格正品（包括零部件），并完全符合甲方要求的质量、规格和性能的要求。如货物安装或配置了软件的，乙方保证相关软件均为正版软件。</w:t>
      </w:r>
    </w:p>
    <w:p>
      <w:pPr>
        <w:spacing w:line="360" w:lineRule="auto"/>
        <w:ind w:firstLine="560"/>
        <w:rPr>
          <w:rFonts w:ascii="宋体" w:hAnsi="宋体"/>
          <w:szCs w:val="21"/>
        </w:rPr>
      </w:pPr>
      <w:r>
        <w:rPr>
          <w:rFonts w:ascii="宋体" w:hAnsi="宋体" w:hint="eastAsia"/>
          <w:szCs w:val="21"/>
        </w:rPr>
        <w:t>3、乙方保证交货时一并提供货物的质量合格凭证或文件。</w:t>
      </w:r>
    </w:p>
    <w:p>
      <w:pPr>
        <w:spacing w:line="360" w:lineRule="auto"/>
        <w:ind w:firstLine="560"/>
        <w:rPr>
          <w:b/>
          <w:szCs w:val="21"/>
        </w:rPr>
      </w:pPr>
      <w:r>
        <w:rPr>
          <w:rFonts w:hint="eastAsia"/>
          <w:b/>
          <w:szCs w:val="21"/>
        </w:rPr>
        <w:t>第六条  交货和验收</w:t>
      </w:r>
    </w:p>
    <w:p>
      <w:pPr>
        <w:spacing w:line="360" w:lineRule="auto"/>
        <w:ind w:firstLine="560"/>
        <w:rPr>
          <w:rFonts w:ascii="宋体" w:hAnsi="宋体"/>
          <w:szCs w:val="21"/>
        </w:rPr>
      </w:pPr>
      <w:r>
        <w:rPr>
          <w:rFonts w:ascii="宋体" w:hAnsi="宋体" w:hint="eastAsia"/>
          <w:szCs w:val="21"/>
        </w:rPr>
        <w:t>1、乙方应按照本合同或招投标文件规定的时间和方式向甲方交付货物，交货地点由甲方指定。因交货产生的费用由乙方自行承担。</w:t>
      </w:r>
    </w:p>
    <w:p>
      <w:pPr>
        <w:spacing w:line="360" w:lineRule="auto"/>
        <w:ind w:firstLine="560"/>
        <w:rPr>
          <w:rFonts w:ascii="宋体" w:hAnsi="宋体"/>
          <w:szCs w:val="21"/>
        </w:rPr>
      </w:pPr>
      <w:r>
        <w:rPr>
          <w:rFonts w:ascii="宋体" w:hAnsi="宋体" w:hint="eastAsia"/>
          <w:szCs w:val="21"/>
        </w:rPr>
        <w:t>2、乙方交付的货物应当完全符合招投标文件所规定的货物、数量、质量和规格要求。乙方提供的货物不符合招投标文件和合同规定的，甲方有权拒收货物，由此引起的风险，由乙方承担。</w:t>
      </w:r>
    </w:p>
    <w:p>
      <w:pPr>
        <w:spacing w:line="360" w:lineRule="auto"/>
        <w:ind w:firstLine="560"/>
        <w:rPr>
          <w:rFonts w:ascii="宋体" w:hAnsi="宋体"/>
          <w:szCs w:val="21"/>
        </w:rPr>
      </w:pPr>
      <w:r>
        <w:rPr>
          <w:rFonts w:ascii="宋体" w:hAnsi="宋体"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line="360" w:lineRule="auto"/>
        <w:ind w:firstLine="560"/>
        <w:rPr>
          <w:rFonts w:ascii="宋体" w:hAnsi="宋体"/>
          <w:szCs w:val="21"/>
        </w:rPr>
      </w:pPr>
      <w:r>
        <w:rPr>
          <w:rFonts w:ascii="宋体" w:hAnsi="宋体" w:hint="eastAsia"/>
          <w:szCs w:val="21"/>
        </w:rPr>
        <w:t>4、乙方应在到货（安装、调试完）后  日内向甲方发出验收申请。甲方应当在收到申请  日内组织验收，验收合格的，由甲方向乙方签署货物验收单。验收合格的，由甲方向乙方签署货物验收单。甲方逾期未组织验收，也未提出异议的，视为验收合格。需要安装调试的，安装调试完毕验收合格后才视为最终验收合格和满足付款条件。</w:t>
      </w:r>
    </w:p>
    <w:p>
      <w:pPr>
        <w:spacing w:line="360" w:lineRule="auto"/>
        <w:ind w:firstLine="560"/>
        <w:rPr>
          <w:rFonts w:ascii="宋体" w:hAnsi="宋体"/>
          <w:szCs w:val="21"/>
        </w:rPr>
      </w:pPr>
      <w:r>
        <w:rPr>
          <w:rFonts w:ascii="宋体" w:hAnsi="宋体" w:hint="eastAsia"/>
          <w:szCs w:val="21"/>
        </w:rPr>
        <w:t>5、货物的所有权和灭失的风险自乙方将货物交付给甲方时转移。</w:t>
      </w:r>
    </w:p>
    <w:p>
      <w:pPr>
        <w:spacing w:line="360" w:lineRule="auto"/>
        <w:ind w:firstLine="560"/>
        <w:rPr>
          <w:b/>
          <w:szCs w:val="21"/>
        </w:rPr>
      </w:pPr>
      <w:r>
        <w:rPr>
          <w:rFonts w:hint="eastAsia"/>
          <w:b/>
          <w:szCs w:val="21"/>
        </w:rPr>
        <w:t>第七条  保修及其他服务</w:t>
      </w:r>
    </w:p>
    <w:p>
      <w:pPr>
        <w:spacing w:line="360" w:lineRule="auto"/>
        <w:ind w:firstLine="560"/>
        <w:rPr>
          <w:rFonts w:ascii="宋体" w:hAnsi="宋体"/>
          <w:szCs w:val="21"/>
        </w:rPr>
      </w:pPr>
      <w:r>
        <w:rPr>
          <w:rFonts w:ascii="宋体" w:hAnsi="宋体" w:hint="eastAsia"/>
          <w:szCs w:val="21"/>
        </w:rPr>
        <w:t>1、乙方应按照国家有关法律法规规章和“三包”规定和招标文件的要求及乙方在投标文件的相关承诺提供保修及其他服务。</w:t>
      </w:r>
    </w:p>
    <w:p>
      <w:pPr>
        <w:spacing w:line="360" w:lineRule="auto"/>
        <w:ind w:firstLine="560"/>
        <w:rPr>
          <w:rFonts w:ascii="宋体" w:hAnsi="宋体"/>
          <w:szCs w:val="21"/>
        </w:rPr>
      </w:pPr>
      <w:r>
        <w:rPr>
          <w:rFonts w:ascii="宋体" w:hAnsi="宋体" w:hint="eastAsia"/>
          <w:szCs w:val="21"/>
        </w:rPr>
        <w:t>2、</w:t>
      </w:r>
      <w:r>
        <w:rPr>
          <w:rFonts w:ascii="宋体" w:hAnsi="宋体"/>
          <w:szCs w:val="21"/>
        </w:rPr>
        <w:t>保修期内，乙方负责对其提供的货物进行维修和系统维护，不再收取任何费用。</w:t>
      </w:r>
      <w:r>
        <w:rPr>
          <w:rFonts w:ascii="宋体" w:hAnsi="宋体" w:hint="eastAsia"/>
          <w:szCs w:val="21"/>
        </w:rPr>
        <w:t>所有货物保修服务方式均为乙方上门保修，即由乙方派员到货物使用现场维修，由此产生的一切费用均由乙方承担。保修期后的货物维护另行协商。</w:t>
      </w:r>
    </w:p>
    <w:p>
      <w:pPr>
        <w:spacing w:line="360" w:lineRule="auto"/>
        <w:ind w:firstLine="560"/>
        <w:rPr>
          <w:rFonts w:ascii="宋体" w:hAnsi="宋体"/>
          <w:szCs w:val="21"/>
        </w:rPr>
      </w:pPr>
      <w:r>
        <w:rPr>
          <w:rFonts w:ascii="宋体" w:hAnsi="宋体" w:hint="eastAsia"/>
          <w:szCs w:val="21"/>
        </w:rPr>
        <w:t>3、在甲方提出维修要求后，乙方应于  小时内响应，  小时维修到位，并在  小时内消除故障。消耗品和零配件供应及时，特殊情况下可提供备用机。</w:t>
      </w:r>
    </w:p>
    <w:p>
      <w:pPr>
        <w:spacing w:line="360" w:lineRule="auto"/>
        <w:ind w:firstLine="560"/>
        <w:rPr>
          <w:b/>
          <w:szCs w:val="21"/>
        </w:rPr>
      </w:pPr>
      <w:r>
        <w:rPr>
          <w:rFonts w:hint="eastAsia"/>
          <w:b/>
          <w:szCs w:val="21"/>
        </w:rPr>
        <w:t>第八条 保密条款</w:t>
      </w:r>
    </w:p>
    <w:p>
      <w:pPr>
        <w:spacing w:line="360" w:lineRule="auto"/>
        <w:ind w:firstLine="480" w:firstLineChars="200"/>
        <w:rPr>
          <w:bCs/>
          <w:szCs w:val="21"/>
        </w:rPr>
      </w:pPr>
      <w:r>
        <w:rPr>
          <w:bCs/>
          <w:szCs w:val="21"/>
        </w:rPr>
        <w:t>1</w:t>
      </w:r>
      <w:r>
        <w:rPr>
          <w:rFonts w:hint="eastAsia"/>
          <w:bCs/>
          <w:szCs w:val="21"/>
        </w:rPr>
        <w:t>、乙方对在本合同履行中获取或者知悉甲方提供的资料、信息负有保密义务。</w:t>
      </w:r>
    </w:p>
    <w:p>
      <w:pPr>
        <w:spacing w:line="360" w:lineRule="auto"/>
        <w:ind w:firstLine="560"/>
        <w:rPr>
          <w:bCs/>
          <w:szCs w:val="21"/>
        </w:rPr>
      </w:pPr>
      <w:r>
        <w:rPr>
          <w:bCs/>
          <w:szCs w:val="21"/>
        </w:rPr>
        <w:t>2</w:t>
      </w:r>
      <w:r>
        <w:rPr>
          <w:rFonts w:hint="eastAsia"/>
          <w:bCs/>
          <w:szCs w:val="21"/>
        </w:rPr>
        <w:t>、乙方不得私自复印、留存、泄漏本合同履行有关的资料、信息。除非依照法律规定或者经甲方书面同意，乙方不得向第三方提供或披露由甲方提供的资料和信息，也不得用于本合同履行以外的其他用途，并保证采取一切合理和必要的措施防止任何第三方接触到甲方的上述资料和信息。</w:t>
      </w:r>
    </w:p>
    <w:p>
      <w:pPr>
        <w:spacing w:line="360" w:lineRule="auto"/>
        <w:ind w:firstLine="560"/>
        <w:rPr>
          <w:b/>
          <w:szCs w:val="21"/>
        </w:rPr>
      </w:pPr>
      <w:r>
        <w:rPr>
          <w:bCs/>
          <w:szCs w:val="21"/>
        </w:rPr>
        <w:t>3</w:t>
      </w:r>
      <w:r>
        <w:rPr>
          <w:rFonts w:hint="eastAsia"/>
          <w:bCs/>
          <w:szCs w:val="21"/>
        </w:rPr>
        <w:t>、保密期限自本协议签订生效之日起至保密信息被依法公开披露或成为公开信息之日止。合同中止、终止或者解除不视为免除保密义务，乙方仍应当承担保密义务。</w:t>
      </w:r>
    </w:p>
    <w:p>
      <w:pPr>
        <w:spacing w:line="360" w:lineRule="auto"/>
        <w:ind w:firstLine="560"/>
        <w:rPr>
          <w:b/>
          <w:szCs w:val="21"/>
        </w:rPr>
      </w:pPr>
      <w:r>
        <w:rPr>
          <w:rFonts w:hint="eastAsia"/>
          <w:b/>
          <w:szCs w:val="21"/>
        </w:rPr>
        <w:t>第九条  履约保证金</w:t>
      </w:r>
    </w:p>
    <w:p>
      <w:pPr>
        <w:spacing w:line="360" w:lineRule="auto"/>
        <w:ind w:firstLine="560"/>
        <w:rPr>
          <w:rFonts w:ascii="宋体" w:hAnsi="宋体"/>
          <w:szCs w:val="21"/>
        </w:rPr>
      </w:pPr>
      <w:r>
        <w:rPr>
          <w:rFonts w:ascii="宋体" w:hAnsi="宋体" w:hint="eastAsia"/>
          <w:szCs w:val="21"/>
        </w:rPr>
        <w:t>1、乙方应在签订本合同之日，向甲方或甲方指定的机构提交履约保证金_________元。</w:t>
      </w:r>
    </w:p>
    <w:p>
      <w:pPr>
        <w:spacing w:line="360" w:lineRule="auto"/>
        <w:ind w:firstLine="560"/>
        <w:rPr>
          <w:rFonts w:ascii="宋体" w:hAnsi="宋体"/>
          <w:szCs w:val="21"/>
        </w:rPr>
      </w:pPr>
      <w:r>
        <w:rPr>
          <w:rFonts w:ascii="宋体" w:hAnsi="宋体" w:hint="eastAsia"/>
          <w:szCs w:val="21"/>
        </w:rPr>
        <w:t>2、如乙方未能履行合同规定的义务，甲方有权从履约保证金中取得补偿。</w:t>
      </w:r>
    </w:p>
    <w:p>
      <w:pPr>
        <w:spacing w:line="360" w:lineRule="auto"/>
        <w:ind w:firstLine="560"/>
        <w:rPr>
          <w:rFonts w:ascii="宋体" w:hAnsi="宋体"/>
          <w:szCs w:val="21"/>
        </w:rPr>
      </w:pPr>
      <w:r>
        <w:rPr>
          <w:rFonts w:ascii="宋体" w:hAnsi="宋体" w:hint="eastAsia"/>
          <w:szCs w:val="21"/>
        </w:rPr>
        <w:t>3、甲方在乙方履行完毕本合同项下全部义务后______天内无息退还乙方。</w:t>
      </w:r>
    </w:p>
    <w:p>
      <w:pPr>
        <w:spacing w:line="360" w:lineRule="auto"/>
        <w:ind w:firstLine="480" w:firstLineChars="200"/>
        <w:rPr>
          <w:b/>
          <w:szCs w:val="21"/>
        </w:rPr>
      </w:pPr>
      <w:r>
        <w:rPr>
          <w:rFonts w:hint="eastAsia"/>
          <w:b/>
          <w:szCs w:val="21"/>
        </w:rPr>
        <w:t>第十条  货款支付</w:t>
      </w:r>
    </w:p>
    <w:p>
      <w:pPr>
        <w:spacing w:line="360" w:lineRule="auto"/>
        <w:rPr>
          <w:b/>
          <w:szCs w:val="21"/>
          <w:u w:val="single"/>
        </w:rPr>
      </w:pPr>
      <w:r>
        <w:rPr>
          <w:rFonts w:hint="eastAsia"/>
          <w:b/>
          <w:szCs w:val="21"/>
          <w:u w:val="single"/>
        </w:rPr>
        <w:t>（详见商务要求）</w:t>
      </w:r>
    </w:p>
    <w:p>
      <w:pPr>
        <w:spacing w:line="360" w:lineRule="auto"/>
        <w:ind w:firstLine="560"/>
        <w:rPr>
          <w:szCs w:val="21"/>
        </w:rPr>
      </w:pPr>
    </w:p>
    <w:p>
      <w:pPr>
        <w:spacing w:line="360" w:lineRule="auto"/>
        <w:ind w:firstLine="480" w:firstLineChars="200"/>
        <w:rPr>
          <w:b/>
          <w:szCs w:val="21"/>
        </w:rPr>
      </w:pPr>
      <w:r>
        <w:rPr>
          <w:rFonts w:hint="eastAsia"/>
          <w:b/>
          <w:szCs w:val="21"/>
        </w:rPr>
        <w:t>第十一条 违约责任</w:t>
      </w:r>
      <w:r>
        <w:rPr>
          <w:rFonts w:hint="eastAsia"/>
          <w:b/>
          <w:szCs w:val="21"/>
          <w:u w:val="single"/>
        </w:rPr>
        <w:t>（详见商务要求）</w:t>
      </w:r>
    </w:p>
    <w:p>
      <w:pPr>
        <w:spacing w:line="360" w:lineRule="auto"/>
        <w:ind w:firstLine="560"/>
        <w:rPr>
          <w:rFonts w:ascii="宋体" w:hAnsi="宋体"/>
          <w:szCs w:val="21"/>
        </w:rPr>
      </w:pPr>
      <w:r>
        <w:rPr>
          <w:rFonts w:ascii="宋体" w:hAnsi="宋体" w:hint="eastAsia"/>
          <w:szCs w:val="21"/>
        </w:rPr>
        <w:t>１、甲方无正当理由拒收货物、拒付货物款的，由甲方向乙方偿付合同总价的【】%违约金。</w:t>
      </w:r>
    </w:p>
    <w:p>
      <w:pPr>
        <w:spacing w:line="360" w:lineRule="auto"/>
        <w:ind w:firstLine="560"/>
        <w:rPr>
          <w:rFonts w:ascii="宋体" w:hAnsi="宋体"/>
          <w:szCs w:val="21"/>
        </w:rPr>
      </w:pPr>
      <w:r>
        <w:rPr>
          <w:rFonts w:ascii="宋体" w:hAnsi="宋体" w:hint="eastAsia"/>
          <w:szCs w:val="21"/>
        </w:rPr>
        <w:t>２、甲方未按合同规定的期限向乙方支付货款的，每逾期1天甲方向乙方偿付欠款总额的【】‰滞纳金，但累计滞纳金总额不超过欠款总额的【】% 。</w:t>
      </w:r>
    </w:p>
    <w:p>
      <w:pPr>
        <w:spacing w:line="360" w:lineRule="auto"/>
        <w:ind w:firstLine="560"/>
        <w:rPr>
          <w:rFonts w:ascii="宋体" w:hAnsi="宋体"/>
          <w:szCs w:val="21"/>
        </w:rPr>
      </w:pPr>
      <w:r>
        <w:rPr>
          <w:rFonts w:ascii="宋体" w:hAnsi="宋体" w:hint="eastAsia"/>
          <w:szCs w:val="21"/>
        </w:rPr>
        <w:t>３、</w:t>
      </w:r>
      <w:r>
        <w:rPr>
          <w:rFonts w:ascii="宋体" w:hAnsi="宋体"/>
          <w:szCs w:val="21"/>
        </w:rPr>
        <w:t>乙方逾期交付货物的，每逾期1天，乙方向甲方偿付逾期交货部分货款总额的</w:t>
      </w:r>
      <w:r>
        <w:rPr>
          <w:rFonts w:ascii="宋体" w:hAnsi="宋体" w:hint="eastAsia"/>
          <w:szCs w:val="21"/>
        </w:rPr>
        <w:t>【】</w:t>
      </w:r>
      <w:r>
        <w:rPr>
          <w:rFonts w:ascii="宋体" w:hAnsi="宋体"/>
          <w:szCs w:val="21"/>
        </w:rPr>
        <w:t>‰的滞纳金</w:t>
      </w:r>
      <w:r>
        <w:rPr>
          <w:rFonts w:ascii="宋体" w:hAnsi="宋体" w:hint="eastAsia"/>
          <w:szCs w:val="21"/>
        </w:rPr>
        <w:t>。如乙方逾期交货达天，甲方有权解除合同，履约保证金不予退回，同时乙方应向甲方支付合同总价【】％的违约金。</w:t>
      </w:r>
    </w:p>
    <w:p>
      <w:pPr>
        <w:spacing w:line="360" w:lineRule="auto"/>
        <w:ind w:firstLine="560"/>
        <w:rPr>
          <w:rFonts w:ascii="宋体" w:hAnsi="宋体"/>
          <w:szCs w:val="21"/>
        </w:rPr>
      </w:pPr>
      <w:r>
        <w:rPr>
          <w:rFonts w:ascii="宋体" w:hAnsi="宋体" w:hint="eastAsia"/>
          <w:szCs w:val="21"/>
        </w:rPr>
        <w:t>4、经甲方验收不合格的，甲方有权拒收。乙方经修理或者更换后仍不合格的，甲方有权解除合同，要求乙方返还甲方已支付的合同款项，并有权要求乙方按合同总额【】％支付违约金。5、在乙方承诺的或国家规定的质量保证期内（取两者中最长的期限），</w:t>
      </w:r>
      <w:r>
        <w:rPr>
          <w:rFonts w:ascii="宋体" w:hAnsi="宋体"/>
          <w:szCs w:val="21"/>
        </w:rPr>
        <w:t>如经乙方两次维修</w:t>
      </w:r>
      <w:r>
        <w:rPr>
          <w:rFonts w:ascii="宋体" w:hAnsi="宋体" w:hint="eastAsia"/>
          <w:szCs w:val="21"/>
        </w:rPr>
        <w:t>或更换</w:t>
      </w:r>
      <w:r>
        <w:rPr>
          <w:rFonts w:ascii="宋体" w:hAnsi="宋体"/>
          <w:szCs w:val="21"/>
        </w:rPr>
        <w:t>，货物仍不能达到合同约定</w:t>
      </w:r>
      <w:r>
        <w:rPr>
          <w:rFonts w:ascii="宋体" w:hAnsi="宋体" w:hint="eastAsia"/>
          <w:szCs w:val="21"/>
        </w:rPr>
        <w:t>的</w:t>
      </w:r>
      <w:r>
        <w:rPr>
          <w:rFonts w:ascii="宋体" w:hAnsi="宋体"/>
          <w:szCs w:val="21"/>
        </w:rPr>
        <w:t>质量标准，甲方有权退货，乙方</w:t>
      </w:r>
      <w:r>
        <w:rPr>
          <w:rFonts w:ascii="宋体" w:hAnsi="宋体" w:hint="eastAsia"/>
          <w:szCs w:val="21"/>
        </w:rPr>
        <w:t>应</w:t>
      </w:r>
      <w:r>
        <w:rPr>
          <w:rFonts w:ascii="宋体" w:hAnsi="宋体"/>
          <w:szCs w:val="21"/>
        </w:rPr>
        <w:t>退回全部货款</w:t>
      </w:r>
      <w:r>
        <w:rPr>
          <w:rFonts w:ascii="宋体" w:hAnsi="宋体" w:hint="eastAsia"/>
          <w:szCs w:val="21"/>
        </w:rPr>
        <w:t>并</w:t>
      </w:r>
      <w:r>
        <w:rPr>
          <w:rFonts w:ascii="宋体" w:hAnsi="宋体"/>
          <w:szCs w:val="21"/>
        </w:rPr>
        <w:t>赔偿甲方因此遭受的损失。</w:t>
      </w:r>
    </w:p>
    <w:p>
      <w:pPr>
        <w:spacing w:line="360" w:lineRule="auto"/>
        <w:ind w:firstLine="560"/>
        <w:rPr>
          <w:rFonts w:ascii="宋体" w:hAnsi="宋体"/>
          <w:szCs w:val="21"/>
        </w:rPr>
      </w:pPr>
      <w:r>
        <w:rPr>
          <w:rFonts w:ascii="宋体" w:hAnsi="宋体" w:hint="eastAsia"/>
          <w:szCs w:val="21"/>
        </w:rPr>
        <w:t>6.</w:t>
      </w:r>
      <w:bookmarkStart w:id="90" w:name="_Hlk75014743"/>
      <w:r>
        <w:rPr>
          <w:rFonts w:ascii="宋体" w:hAnsi="宋体" w:hint="eastAsia"/>
          <w:szCs w:val="21"/>
        </w:rPr>
        <w:t>乙方违反本合同约定的保密义务，甲方有权要求乙方按合同总额【】%支付违约金；造成不良影响或对甲方造成损失的，甲方有权要求乙方消除影响，承担赔偿责任，并有权解除合同。</w:t>
      </w:r>
      <w:bookmarkEnd w:id="90"/>
    </w:p>
    <w:p>
      <w:pPr>
        <w:spacing w:line="360" w:lineRule="auto"/>
        <w:ind w:firstLine="560"/>
        <w:rPr>
          <w:rFonts w:ascii="宋体" w:hAnsi="宋体"/>
          <w:szCs w:val="21"/>
        </w:rPr>
      </w:pPr>
      <w:r>
        <w:rPr>
          <w:rFonts w:ascii="宋体" w:hAnsi="宋体" w:hint="eastAsia"/>
          <w:szCs w:val="21"/>
        </w:rPr>
        <w:t>7、</w:t>
      </w:r>
      <w:bookmarkStart w:id="91" w:name="_Hlk75015079"/>
      <w:r>
        <w:rPr>
          <w:rFonts w:ascii="宋体" w:hAnsi="宋体" w:hint="eastAsia"/>
          <w:szCs w:val="21"/>
        </w:rPr>
        <w:t>因乙方提供的产品受到侵权指控或者引发法律纠纷，影响甲方正常使用或者导致合同目的不能实现的，甲方有权要求乙方按合同总额【】%支付违约金，并有权解除合同。</w:t>
      </w:r>
      <w:bookmarkEnd w:id="91"/>
    </w:p>
    <w:p>
      <w:pPr>
        <w:spacing w:line="360" w:lineRule="auto"/>
        <w:ind w:firstLine="560"/>
        <w:rPr>
          <w:rFonts w:ascii="宋体" w:hAnsi="宋体"/>
          <w:szCs w:val="21"/>
        </w:rPr>
      </w:pPr>
      <w:r>
        <w:rPr>
          <w:rFonts w:ascii="宋体" w:hAnsi="宋体" w:hint="eastAsia"/>
          <w:szCs w:val="21"/>
        </w:rPr>
        <w:t>8、乙方未履行本合同项下的其他义务或违反其在投标文件中的相关承诺的，应按合同总价款的【】%向甲方承担违约责任。</w:t>
      </w:r>
    </w:p>
    <w:p>
      <w:pPr>
        <w:spacing w:line="360" w:lineRule="auto"/>
        <w:ind w:firstLine="560"/>
        <w:rPr>
          <w:rFonts w:ascii="宋体" w:hAnsi="宋体"/>
          <w:szCs w:val="21"/>
        </w:rPr>
      </w:pPr>
      <w:r>
        <w:rPr>
          <w:rFonts w:ascii="宋体" w:hAnsi="宋体" w:hint="eastAsia"/>
          <w:szCs w:val="21"/>
        </w:rPr>
        <w:t>9、乙方在承担上述一项或多项违约责任后，仍应继续履行合同规定的义务（甲方解除合同的除外）。甲方未能及时追究乙方的任何一项违约责任并不表明甲方放弃追究乙方该项或其他违约责任。</w:t>
      </w:r>
    </w:p>
    <w:p>
      <w:pPr>
        <w:spacing w:line="360" w:lineRule="auto"/>
        <w:ind w:firstLine="560"/>
        <w:rPr>
          <w:b/>
          <w:szCs w:val="21"/>
        </w:rPr>
      </w:pPr>
      <w:r>
        <w:rPr>
          <w:rFonts w:hint="eastAsia"/>
          <w:b/>
          <w:szCs w:val="21"/>
        </w:rPr>
        <w:t>第十条    合同的变更和终止</w:t>
      </w:r>
    </w:p>
    <w:p>
      <w:pPr>
        <w:spacing w:line="360" w:lineRule="auto"/>
        <w:ind w:firstLine="560"/>
        <w:rPr>
          <w:rFonts w:ascii="宋体" w:hAnsi="宋体"/>
          <w:szCs w:val="21"/>
        </w:rPr>
      </w:pPr>
      <w:r>
        <w:rPr>
          <w:rFonts w:ascii="宋体" w:hAnsi="宋体" w:hint="eastAsia"/>
          <w:szCs w:val="21"/>
        </w:rPr>
        <w:t>除</w:t>
      </w:r>
      <w:bookmarkStart w:id="92" w:name="_Hlk75015119"/>
      <w:r>
        <w:rPr>
          <w:rFonts w:ascii="宋体" w:hAnsi="宋体" w:hint="eastAsia"/>
          <w:szCs w:val="21"/>
        </w:rPr>
        <w:t>《深圳经济特区政府采购条例》第40条、</w:t>
      </w:r>
      <w:bookmarkEnd w:id="92"/>
      <w:r>
        <w:rPr>
          <w:rFonts w:ascii="宋体" w:hAnsi="宋体" w:hint="eastAsia"/>
          <w:szCs w:val="21"/>
        </w:rPr>
        <w:t>《中华人民共和国政府采购法》第50条第二款规定或者主管部门另有政策规定的情形外，本合同一经签订，甲乙双方不得擅自变更、中止或终止合同。</w:t>
      </w:r>
    </w:p>
    <w:p>
      <w:pPr>
        <w:spacing w:line="360" w:lineRule="auto"/>
        <w:ind w:firstLine="560"/>
        <w:rPr>
          <w:b/>
          <w:szCs w:val="21"/>
        </w:rPr>
      </w:pPr>
      <w:r>
        <w:rPr>
          <w:rFonts w:hint="eastAsia"/>
          <w:b/>
          <w:szCs w:val="21"/>
        </w:rPr>
        <w:t>第十一条   争议的解决</w:t>
      </w:r>
    </w:p>
    <w:p>
      <w:pPr>
        <w:spacing w:line="360" w:lineRule="auto"/>
        <w:ind w:firstLine="560"/>
        <w:rPr>
          <w:rFonts w:ascii="宋体" w:hAnsi="宋体"/>
          <w:szCs w:val="21"/>
        </w:rPr>
      </w:pPr>
      <w:r>
        <w:rPr>
          <w:rFonts w:ascii="宋体" w:hAnsi="宋体" w:hint="eastAsia"/>
          <w:szCs w:val="21"/>
        </w:rPr>
        <w:t>1、因货物的质量问题发生争议的，应当邀请国家认可的质量检测机构对货物质量进行鉴定。货物符合标准的，鉴定费由甲方承担；货物不符合质量标准的，鉴定费由乙方承担。</w:t>
      </w:r>
    </w:p>
    <w:p>
      <w:pPr>
        <w:spacing w:line="360" w:lineRule="auto"/>
        <w:ind w:firstLine="560"/>
        <w:rPr>
          <w:rFonts w:ascii="宋体" w:hAnsi="宋体"/>
          <w:szCs w:val="21"/>
        </w:rPr>
      </w:pPr>
      <w:r>
        <w:rPr>
          <w:rFonts w:ascii="宋体" w:hAnsi="宋体" w:hint="eastAsia"/>
          <w:szCs w:val="21"/>
        </w:rPr>
        <w:t>2、因履行本合同引起的或与本合同有关的争议，甲、乙双方应首先通过友好协商解决，如果协商不能解决争议，则向甲方所在地有管辖权的人民法院提起诉讼；</w:t>
      </w:r>
    </w:p>
    <w:p>
      <w:pPr>
        <w:spacing w:line="360" w:lineRule="auto"/>
        <w:ind w:firstLine="560"/>
        <w:rPr>
          <w:b/>
          <w:szCs w:val="21"/>
        </w:rPr>
      </w:pPr>
      <w:r>
        <w:rPr>
          <w:rFonts w:hint="eastAsia"/>
          <w:b/>
          <w:szCs w:val="21"/>
        </w:rPr>
        <w:t>第十二条   合同生效及其他</w:t>
      </w:r>
    </w:p>
    <w:p>
      <w:pPr>
        <w:spacing w:line="360" w:lineRule="auto"/>
        <w:ind w:firstLine="560"/>
        <w:rPr>
          <w:rFonts w:ascii="宋体" w:hAnsi="宋体"/>
          <w:szCs w:val="21"/>
        </w:rPr>
      </w:pPr>
      <w:r>
        <w:rPr>
          <w:rFonts w:ascii="宋体" w:hAnsi="宋体" w:hint="eastAsia"/>
          <w:szCs w:val="21"/>
        </w:rPr>
        <w:t>1、下列文件均为本合同的组成部分：</w:t>
      </w:r>
    </w:p>
    <w:p>
      <w:pPr>
        <w:spacing w:line="360" w:lineRule="auto"/>
        <w:ind w:firstLine="560"/>
        <w:rPr>
          <w:rFonts w:ascii="宋体" w:hAnsi="宋体"/>
          <w:szCs w:val="21"/>
        </w:rPr>
      </w:pPr>
      <w:r>
        <w:rPr>
          <w:rFonts w:ascii="宋体" w:hAnsi="宋体" w:hint="eastAsia"/>
          <w:szCs w:val="21"/>
        </w:rPr>
        <w:t>（1）号招标文件、答疑及补充通知；</w:t>
      </w:r>
    </w:p>
    <w:p>
      <w:pPr>
        <w:spacing w:line="360" w:lineRule="auto"/>
        <w:ind w:firstLine="560"/>
        <w:rPr>
          <w:rFonts w:ascii="宋体" w:hAnsi="宋体"/>
          <w:szCs w:val="21"/>
        </w:rPr>
      </w:pPr>
      <w:r>
        <w:rPr>
          <w:rFonts w:ascii="宋体" w:hAnsi="宋体" w:hint="eastAsia"/>
          <w:szCs w:val="21"/>
        </w:rPr>
        <w:t>（2）乙方的投标文件；</w:t>
      </w:r>
    </w:p>
    <w:p>
      <w:pPr>
        <w:spacing w:line="360" w:lineRule="auto"/>
        <w:ind w:firstLine="560"/>
        <w:rPr>
          <w:rFonts w:ascii="宋体" w:hAnsi="宋体"/>
          <w:szCs w:val="21"/>
        </w:rPr>
      </w:pPr>
      <w:r>
        <w:rPr>
          <w:rFonts w:ascii="宋体" w:hAnsi="宋体" w:hint="eastAsia"/>
          <w:szCs w:val="21"/>
        </w:rPr>
        <w:t>（3）本合同执行中甲乙双方共同签署的补充与修正文件。</w:t>
      </w:r>
    </w:p>
    <w:p>
      <w:pPr>
        <w:spacing w:line="360" w:lineRule="auto"/>
        <w:ind w:firstLine="560"/>
        <w:rPr>
          <w:rFonts w:ascii="宋体" w:hAnsi="宋体"/>
          <w:szCs w:val="21"/>
        </w:rPr>
      </w:pPr>
      <w:r>
        <w:rPr>
          <w:rFonts w:ascii="宋体" w:hAnsi="宋体" w:hint="eastAsia"/>
          <w:szCs w:val="21"/>
        </w:rPr>
        <w:t>2、本合同一式份，甲、乙方双方各执份，具有同等法律效力。本合同自双方法定代表人（或授权代表）签字并盖章之日起生效。</w:t>
      </w:r>
    </w:p>
    <w:p>
      <w:pPr>
        <w:spacing w:line="360" w:lineRule="auto"/>
        <w:ind w:firstLine="560"/>
        <w:rPr>
          <w:rFonts w:ascii="宋体" w:hAnsi="宋体"/>
          <w:szCs w:val="21"/>
        </w:rPr>
      </w:pPr>
    </w:p>
    <w:p>
      <w:pPr>
        <w:spacing w:line="360" w:lineRule="auto"/>
        <w:ind w:firstLine="560"/>
        <w:rPr>
          <w:rFonts w:ascii="宋体" w:hAnsi="宋体"/>
          <w:szCs w:val="21"/>
        </w:rPr>
      </w:pPr>
    </w:p>
    <w:p>
      <w:pPr>
        <w:spacing w:line="360" w:lineRule="auto"/>
        <w:ind w:firstLine="560"/>
        <w:rPr>
          <w:rFonts w:ascii="宋体" w:hAnsi="宋体"/>
          <w:szCs w:val="21"/>
        </w:rPr>
      </w:pPr>
      <w:r>
        <w:rPr>
          <w:rFonts w:ascii="宋体" w:hAnsi="宋体" w:hint="eastAsia"/>
          <w:szCs w:val="21"/>
        </w:rPr>
        <w:t>甲方（采购人）：   （盖章）       乙方（供应商）：    （盖章）</w:t>
      </w:r>
    </w:p>
    <w:p>
      <w:pPr>
        <w:spacing w:line="360" w:lineRule="auto"/>
        <w:ind w:firstLine="560"/>
        <w:rPr>
          <w:rFonts w:ascii="宋体" w:hAnsi="宋体"/>
          <w:szCs w:val="21"/>
        </w:rPr>
      </w:pPr>
      <w:r>
        <w:rPr>
          <w:rFonts w:ascii="宋体" w:hAnsi="宋体" w:hint="eastAsia"/>
          <w:szCs w:val="21"/>
        </w:rPr>
        <w:t xml:space="preserve">法定代表人：                     法定代表人： </w:t>
      </w:r>
    </w:p>
    <w:p>
      <w:pPr>
        <w:spacing w:line="360" w:lineRule="auto"/>
        <w:ind w:firstLine="560"/>
        <w:rPr>
          <w:rFonts w:ascii="宋体" w:hAnsi="宋体"/>
          <w:szCs w:val="21"/>
        </w:rPr>
      </w:pPr>
      <w:r>
        <w:rPr>
          <w:rFonts w:ascii="宋体" w:hAnsi="宋体" w:hint="eastAsia"/>
          <w:szCs w:val="21"/>
        </w:rPr>
        <w:t>委托代理人：                     委托代理人：</w:t>
      </w:r>
    </w:p>
    <w:p>
      <w:pPr>
        <w:ind w:firstLine="600" w:firstLineChars="250"/>
        <w:rPr>
          <w:rFonts w:ascii="宋体" w:hAnsi="宋体"/>
          <w:szCs w:val="21"/>
        </w:rPr>
      </w:pPr>
      <w:r>
        <w:rPr>
          <w:rFonts w:ascii="宋体" w:hAnsi="宋体" w:hint="eastAsia"/>
          <w:szCs w:val="21"/>
        </w:rPr>
        <w:t>日期：   年     月    日         日期：   年     月    日</w:t>
      </w:r>
    </w:p>
    <w:p>
      <w:pPr>
        <w:pStyle w:val="Heading3"/>
        <w:jc w:val="center"/>
        <w:rPr>
          <w:rFonts w:ascii="黑体" w:eastAsia="黑体"/>
          <w:b w:val="0"/>
          <w:sz w:val="24"/>
          <w:szCs w:val="24"/>
        </w:rPr>
      </w:pPr>
      <w:r>
        <w:br w:type="page"/>
      </w:r>
      <w:r>
        <w:rPr>
          <w:rFonts w:hint="eastAsia"/>
        </w:rPr>
        <w:t>二、</w:t>
      </w:r>
      <w:r>
        <w:rPr>
          <w:rFonts w:ascii="黑体" w:eastAsia="黑体" w:hint="eastAsia"/>
          <w:b w:val="0"/>
          <w:sz w:val="24"/>
          <w:szCs w:val="24"/>
        </w:rPr>
        <w:t>政府采购履约情况反馈表</w:t>
      </w:r>
    </w:p>
    <w:p>
      <w:pPr>
        <w:spacing w:line="240" w:lineRule="atLeast"/>
        <w:rPr>
          <w:rFonts w:ascii="宋体" w:hAnsi="宋体"/>
          <w:b/>
          <w:szCs w:val="21"/>
        </w:rPr>
      </w:pPr>
      <w:r>
        <w:rPr>
          <w:rFonts w:ascii="宋体" w:hAnsi="宋体" w:hint="eastAsia"/>
          <w:b/>
          <w:szCs w:val="21"/>
        </w:rPr>
        <w:t>采购人名称：                       联系人及电话：</w:t>
      </w:r>
    </w:p>
    <w:p>
      <w:pPr>
        <w:spacing w:line="60" w:lineRule="exact"/>
        <w:rPr>
          <w:rFonts w:ascii="宋体" w:hAnsi="宋体"/>
          <w:b/>
          <w:szCs w:val="21"/>
        </w:rPr>
      </w:pPr>
    </w:p>
    <w:tbl>
      <w:tblPr>
        <w:tblStyle w:val="TableNormal"/>
        <w:tblW w:w="920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
      <w:tblGrid>
        <w:gridCol w:w="963"/>
        <w:gridCol w:w="720"/>
        <w:gridCol w:w="720"/>
        <w:gridCol w:w="2520"/>
        <w:gridCol w:w="1980"/>
        <w:gridCol w:w="2306"/>
      </w:tblGrid>
      <w:tr>
        <w:tblPrEx>
          <w:tblW w:w="920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Ex>
        <w:trPr>
          <w:trHeight w:val="622"/>
          <w:jc w:val="center"/>
        </w:trPr>
        <w:tc>
          <w:tcPr>
            <w:tcW w:w="2403" w:type="dxa"/>
            <w:gridSpan w:val="3"/>
            <w:vAlign w:val="center"/>
          </w:tcPr>
          <w:p>
            <w:pPr>
              <w:spacing w:line="240" w:lineRule="atLeast"/>
              <w:jc w:val="center"/>
              <w:rPr>
                <w:rFonts w:ascii="宋体" w:hAnsi="宋体"/>
                <w:szCs w:val="21"/>
              </w:rPr>
            </w:pPr>
            <w:r>
              <w:rPr>
                <w:rFonts w:ascii="宋体" w:hAnsi="宋体" w:hint="eastAsia"/>
                <w:szCs w:val="21"/>
              </w:rPr>
              <w:t>采购项目名称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项目编号</w:t>
            </w:r>
          </w:p>
        </w:tc>
        <w:tc>
          <w:tcPr>
            <w:tcW w:w="2306" w:type="dxa"/>
            <w:vAlign w:val="center"/>
          </w:tcPr>
          <w:p>
            <w:pPr>
              <w:spacing w:line="240" w:lineRule="atLeast"/>
              <w:jc w:val="center"/>
              <w:rPr>
                <w:rFonts w:ascii="宋体" w:hAnsi="宋体"/>
                <w:szCs w:val="21"/>
              </w:rPr>
            </w:pPr>
          </w:p>
        </w:tc>
      </w:tr>
      <w:tr>
        <w:tblPrEx>
          <w:tblW w:w="9209" w:type="dxa"/>
          <w:jc w:val="center"/>
          <w:tblLayout w:type="fixed"/>
          <w:tblCellMar>
            <w:top w:w="0" w:type="dxa"/>
            <w:left w:w="108" w:type="dxa"/>
            <w:bottom w:w="0" w:type="dxa"/>
            <w:right w:w="108" w:type="dxa"/>
          </w:tblCellMar>
        </w:tblPrEx>
        <w:trPr>
          <w:trHeight w:val="622"/>
          <w:jc w:val="center"/>
        </w:trPr>
        <w:tc>
          <w:tcPr>
            <w:tcW w:w="2403" w:type="dxa"/>
            <w:gridSpan w:val="3"/>
            <w:vAlign w:val="center"/>
          </w:tcPr>
          <w:p>
            <w:pPr>
              <w:spacing w:line="240" w:lineRule="atLeast"/>
              <w:jc w:val="center"/>
              <w:rPr>
                <w:rFonts w:ascii="宋体" w:hAnsi="宋体"/>
                <w:szCs w:val="21"/>
              </w:rPr>
            </w:pPr>
            <w:r>
              <w:rPr>
                <w:rFonts w:ascii="宋体" w:hAnsi="宋体" w:hint="eastAsia"/>
                <w:szCs w:val="21"/>
              </w:rPr>
              <w:t>中标供应商名称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供应商</w:t>
            </w:r>
          </w:p>
          <w:p>
            <w:pPr>
              <w:spacing w:line="240" w:lineRule="atLeast"/>
              <w:jc w:val="center"/>
              <w:rPr>
                <w:rFonts w:ascii="宋体" w:hAnsi="宋体"/>
                <w:szCs w:val="21"/>
              </w:rPr>
            </w:pPr>
            <w:r>
              <w:rPr>
                <w:rFonts w:ascii="宋体" w:hAnsi="宋体" w:hint="eastAsia"/>
                <w:szCs w:val="21"/>
              </w:rPr>
              <w:t>联系人及电话</w:t>
            </w:r>
          </w:p>
        </w:tc>
        <w:tc>
          <w:tcPr>
            <w:tcW w:w="2306" w:type="dxa"/>
            <w:vAlign w:val="center"/>
          </w:tcPr>
          <w:p>
            <w:pPr>
              <w:spacing w:line="240" w:lineRule="atLeast"/>
              <w:jc w:val="center"/>
              <w:rPr>
                <w:rFonts w:ascii="宋体" w:hAnsi="宋体"/>
                <w:szCs w:val="21"/>
              </w:rPr>
            </w:pPr>
          </w:p>
        </w:tc>
      </w:tr>
      <w:tr>
        <w:tblPrEx>
          <w:tblW w:w="9209" w:type="dxa"/>
          <w:jc w:val="center"/>
          <w:tblLayout w:type="fixed"/>
          <w:tblCellMar>
            <w:top w:w="0" w:type="dxa"/>
            <w:left w:w="108" w:type="dxa"/>
            <w:bottom w:w="0" w:type="dxa"/>
            <w:right w:w="108" w:type="dxa"/>
          </w:tblCellMar>
        </w:tblPrEx>
        <w:trPr>
          <w:trHeight w:val="622"/>
          <w:jc w:val="center"/>
        </w:trPr>
        <w:tc>
          <w:tcPr>
            <w:tcW w:w="2403" w:type="dxa"/>
            <w:gridSpan w:val="3"/>
            <w:vAlign w:val="center"/>
          </w:tcPr>
          <w:p>
            <w:pPr>
              <w:spacing w:line="240" w:lineRule="atLeast"/>
              <w:jc w:val="center"/>
              <w:rPr>
                <w:rFonts w:ascii="宋体" w:hAnsi="宋体"/>
                <w:szCs w:val="21"/>
              </w:rPr>
            </w:pPr>
            <w:r>
              <w:rPr>
                <w:rFonts w:ascii="宋体" w:hAnsi="宋体" w:hint="eastAsia"/>
                <w:szCs w:val="21"/>
              </w:rPr>
              <w:t>中标金额</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合同履约时间</w:t>
            </w:r>
          </w:p>
        </w:tc>
        <w:tc>
          <w:tcPr>
            <w:tcW w:w="2306" w:type="dxa"/>
            <w:vAlign w:val="center"/>
          </w:tcPr>
          <w:p>
            <w:pPr>
              <w:spacing w:line="240" w:lineRule="atLeast"/>
              <w:rPr>
                <w:rFonts w:ascii="宋体" w:hAnsi="宋体"/>
                <w:szCs w:val="21"/>
              </w:rPr>
            </w:pPr>
            <w:r>
              <w:rPr>
                <w:rFonts w:ascii="宋体" w:hAnsi="宋体" w:hint="eastAsia"/>
                <w:szCs w:val="21"/>
              </w:rPr>
              <w:t>自     至</w:t>
            </w:r>
          </w:p>
        </w:tc>
      </w:tr>
      <w:tr>
        <w:tblPrEx>
          <w:tblW w:w="9209" w:type="dxa"/>
          <w:jc w:val="center"/>
          <w:tblLayout w:type="fixed"/>
          <w:tblCellMar>
            <w:top w:w="0" w:type="dxa"/>
            <w:left w:w="108" w:type="dxa"/>
            <w:bottom w:w="0" w:type="dxa"/>
            <w:right w:w="108" w:type="dxa"/>
          </w:tblCellMar>
        </w:tblPrEx>
        <w:trPr>
          <w:trHeight w:val="622"/>
          <w:jc w:val="center"/>
        </w:trPr>
        <w:tc>
          <w:tcPr>
            <w:tcW w:w="963" w:type="dxa"/>
            <w:vMerge w:val="restart"/>
            <w:vAlign w:val="center"/>
          </w:tcPr>
          <w:p>
            <w:pPr>
              <w:spacing w:line="240" w:lineRule="atLeast"/>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pPr>
              <w:spacing w:line="240" w:lineRule="atLeast"/>
              <w:jc w:val="center"/>
              <w:rPr>
                <w:rFonts w:ascii="宋体" w:hAnsi="宋体"/>
                <w:szCs w:val="21"/>
              </w:rPr>
            </w:pPr>
            <w:r>
              <w:rPr>
                <w:rFonts w:ascii="宋体" w:hAnsi="宋体" w:hint="eastAsia"/>
                <w:szCs w:val="21"/>
              </w:rPr>
              <w:t>总体评价</w:t>
            </w:r>
          </w:p>
        </w:tc>
        <w:tc>
          <w:tcPr>
            <w:tcW w:w="6806" w:type="dxa"/>
            <w:gridSpan w:val="3"/>
            <w:tcBorders>
              <w:left w:val="single" w:sz="4" w:space="0" w:color="auto"/>
            </w:tcBorders>
            <w:vAlign w:val="center"/>
          </w:tcPr>
          <w:p>
            <w:pPr>
              <w:spacing w:line="240" w:lineRule="atLeast"/>
              <w:ind w:firstLine="120" w:firstLineChars="50"/>
              <w:jc w:val="center"/>
              <w:rPr>
                <w:rFonts w:ascii="宋体" w:hAnsi="宋体"/>
                <w:szCs w:val="21"/>
              </w:rPr>
            </w:pPr>
            <w:r>
              <w:rPr>
                <w:rFonts w:ascii="宋体" w:hAnsi="宋体" w:hint="eastAsia"/>
                <w:szCs w:val="21"/>
              </w:rPr>
              <w:t>□ 优          □ 良          □ 中           □ 差</w:t>
            </w:r>
          </w:p>
        </w:tc>
      </w:tr>
      <w:tr>
        <w:tblPrEx>
          <w:tblW w:w="9209" w:type="dxa"/>
          <w:jc w:val="center"/>
          <w:tblLayout w:type="fixed"/>
          <w:tblCellMar>
            <w:top w:w="0" w:type="dxa"/>
            <w:left w:w="108" w:type="dxa"/>
            <w:bottom w:w="0" w:type="dxa"/>
            <w:right w:w="108" w:type="dxa"/>
          </w:tblCellMar>
        </w:tblPrEx>
        <w:trPr>
          <w:trHeight w:val="622"/>
          <w:jc w:val="center"/>
        </w:trPr>
        <w:tc>
          <w:tcPr>
            <w:tcW w:w="963" w:type="dxa"/>
            <w:vMerge/>
            <w:vAlign w:val="center"/>
          </w:tcPr>
          <w:p>
            <w:pPr>
              <w:spacing w:line="240" w:lineRule="atLeast"/>
              <w:jc w:val="center"/>
              <w:rPr>
                <w:rFonts w:ascii="宋体" w:hAnsi="宋体"/>
                <w:szCs w:val="21"/>
              </w:rPr>
            </w:pPr>
          </w:p>
        </w:tc>
        <w:tc>
          <w:tcPr>
            <w:tcW w:w="720" w:type="dxa"/>
            <w:vMerge w:val="restart"/>
            <w:tcBorders>
              <w:right w:val="single" w:sz="4" w:space="0" w:color="auto"/>
            </w:tcBorders>
            <w:vAlign w:val="center"/>
          </w:tcPr>
          <w:p>
            <w:pPr>
              <w:spacing w:line="240" w:lineRule="atLeast"/>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质量方面</w:t>
            </w:r>
          </w:p>
        </w:tc>
        <w:tc>
          <w:tcPr>
            <w:tcW w:w="6806"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9209" w:type="dxa"/>
          <w:jc w:val="center"/>
          <w:tblLayout w:type="fixed"/>
          <w:tblCellMar>
            <w:top w:w="0" w:type="dxa"/>
            <w:left w:w="108" w:type="dxa"/>
            <w:bottom w:w="0" w:type="dxa"/>
            <w:right w:w="108" w:type="dxa"/>
          </w:tblCellMar>
        </w:tblPrEx>
        <w:trPr>
          <w:trHeight w:val="622"/>
          <w:jc w:val="center"/>
        </w:trPr>
        <w:tc>
          <w:tcPr>
            <w:tcW w:w="963"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价格方面</w:t>
            </w:r>
          </w:p>
        </w:tc>
        <w:tc>
          <w:tcPr>
            <w:tcW w:w="6806"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9209" w:type="dxa"/>
          <w:jc w:val="center"/>
          <w:tblLayout w:type="fixed"/>
          <w:tblCellMar>
            <w:top w:w="0" w:type="dxa"/>
            <w:left w:w="108" w:type="dxa"/>
            <w:bottom w:w="0" w:type="dxa"/>
            <w:right w:w="108" w:type="dxa"/>
          </w:tblCellMar>
        </w:tblPrEx>
        <w:trPr>
          <w:trHeight w:val="622"/>
          <w:jc w:val="center"/>
        </w:trPr>
        <w:tc>
          <w:tcPr>
            <w:tcW w:w="963"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服务方面</w:t>
            </w:r>
          </w:p>
        </w:tc>
        <w:tc>
          <w:tcPr>
            <w:tcW w:w="6806"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9209" w:type="dxa"/>
          <w:jc w:val="center"/>
          <w:tblLayout w:type="fixed"/>
          <w:tblCellMar>
            <w:top w:w="0" w:type="dxa"/>
            <w:left w:w="108" w:type="dxa"/>
            <w:bottom w:w="0" w:type="dxa"/>
            <w:right w:w="108" w:type="dxa"/>
          </w:tblCellMar>
        </w:tblPrEx>
        <w:trPr>
          <w:trHeight w:val="622"/>
          <w:jc w:val="center"/>
        </w:trPr>
        <w:tc>
          <w:tcPr>
            <w:tcW w:w="963"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时间方面</w:t>
            </w:r>
          </w:p>
        </w:tc>
        <w:tc>
          <w:tcPr>
            <w:tcW w:w="6806"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9209" w:type="dxa"/>
          <w:jc w:val="center"/>
          <w:tblLayout w:type="fixed"/>
          <w:tblCellMar>
            <w:top w:w="0" w:type="dxa"/>
            <w:left w:w="108" w:type="dxa"/>
            <w:bottom w:w="0" w:type="dxa"/>
            <w:right w:w="108" w:type="dxa"/>
          </w:tblCellMar>
        </w:tblPrEx>
        <w:trPr>
          <w:trHeight w:val="622"/>
          <w:jc w:val="center"/>
        </w:trPr>
        <w:tc>
          <w:tcPr>
            <w:tcW w:w="963"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环境保护</w:t>
            </w:r>
          </w:p>
        </w:tc>
        <w:tc>
          <w:tcPr>
            <w:tcW w:w="6806"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9209" w:type="dxa"/>
          <w:jc w:val="center"/>
          <w:tblLayout w:type="fixed"/>
          <w:tblCellMar>
            <w:top w:w="0" w:type="dxa"/>
            <w:left w:w="108" w:type="dxa"/>
            <w:bottom w:w="0" w:type="dxa"/>
            <w:right w:w="108" w:type="dxa"/>
          </w:tblCellMar>
        </w:tblPrEx>
        <w:trPr>
          <w:trHeight w:val="458"/>
          <w:jc w:val="center"/>
        </w:trPr>
        <w:tc>
          <w:tcPr>
            <w:tcW w:w="963"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其他</w:t>
            </w:r>
          </w:p>
        </w:tc>
        <w:tc>
          <w:tcPr>
            <w:tcW w:w="6806" w:type="dxa"/>
            <w:gridSpan w:val="3"/>
            <w:tcBorders>
              <w:left w:val="single" w:sz="4" w:space="0" w:color="auto"/>
            </w:tcBorders>
            <w:vAlign w:val="center"/>
          </w:tcPr>
          <w:p>
            <w:pPr>
              <w:spacing w:before="120" w:beforeLines="50" w:after="120" w:afterLines="50" w:line="240" w:lineRule="atLeast"/>
              <w:rPr>
                <w:rFonts w:ascii="宋体" w:hAnsi="宋体"/>
                <w:szCs w:val="21"/>
                <w:u w:val="single"/>
              </w:rPr>
            </w:pPr>
            <w:r>
              <w:rPr>
                <w:rFonts w:ascii="宋体" w:hAnsi="宋体" w:hint="eastAsia"/>
                <w:szCs w:val="21"/>
              </w:rPr>
              <w:t>评价内容为：</w:t>
            </w:r>
            <w:r>
              <w:rPr>
                <w:rFonts w:ascii="宋体" w:hAnsi="宋体" w:hint="eastAsia"/>
                <w:szCs w:val="21"/>
                <w:u w:val="single"/>
              </w:rPr>
              <w:t xml:space="preserve">                    </w:t>
            </w:r>
          </w:p>
          <w:p>
            <w:pPr>
              <w:spacing w:before="120" w:beforeLines="50" w:after="120" w:afterLines="50" w:line="240" w:lineRule="atLeast"/>
              <w:rPr>
                <w:rFonts w:ascii="宋体" w:hAnsi="宋体"/>
                <w:szCs w:val="21"/>
              </w:rPr>
            </w:pPr>
            <w:r>
              <w:rPr>
                <w:rFonts w:ascii="宋体" w:hAnsi="宋体" w:hint="eastAsia"/>
                <w:szCs w:val="21"/>
              </w:rPr>
              <w:t>评价等级为：  □ 优       □ 良        □ 中         □ 差</w:t>
            </w:r>
          </w:p>
        </w:tc>
      </w:tr>
      <w:tr>
        <w:tblPrEx>
          <w:tblW w:w="9209" w:type="dxa"/>
          <w:jc w:val="center"/>
          <w:tblLayout w:type="fixed"/>
          <w:tblCellMar>
            <w:top w:w="0" w:type="dxa"/>
            <w:left w:w="108" w:type="dxa"/>
            <w:bottom w:w="0" w:type="dxa"/>
            <w:right w:w="108" w:type="dxa"/>
          </w:tblCellMar>
        </w:tblPrEx>
        <w:trPr>
          <w:trHeight w:val="2790"/>
          <w:jc w:val="center"/>
        </w:trPr>
        <w:tc>
          <w:tcPr>
            <w:tcW w:w="1683" w:type="dxa"/>
            <w:gridSpan w:val="2"/>
            <w:vAlign w:val="center"/>
          </w:tcPr>
          <w:p>
            <w:pPr>
              <w:spacing w:line="240" w:lineRule="atLeast"/>
              <w:jc w:val="center"/>
              <w:rPr>
                <w:rFonts w:ascii="宋体" w:hAnsi="宋体"/>
                <w:szCs w:val="21"/>
              </w:rPr>
            </w:pPr>
            <w:r>
              <w:rPr>
                <w:rFonts w:ascii="宋体" w:hAnsi="宋体" w:hint="eastAsia"/>
                <w:szCs w:val="21"/>
              </w:rPr>
              <w:t>具体情况说明</w:t>
            </w:r>
          </w:p>
        </w:tc>
        <w:tc>
          <w:tcPr>
            <w:tcW w:w="7526" w:type="dxa"/>
            <w:gridSpan w:val="4"/>
          </w:tcPr>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tc>
      </w:tr>
      <w:tr>
        <w:tblPrEx>
          <w:tblW w:w="9209" w:type="dxa"/>
          <w:jc w:val="center"/>
          <w:tblLayout w:type="fixed"/>
          <w:tblCellMar>
            <w:top w:w="0" w:type="dxa"/>
            <w:left w:w="108" w:type="dxa"/>
            <w:bottom w:w="0" w:type="dxa"/>
            <w:right w:w="108" w:type="dxa"/>
          </w:tblCellMar>
        </w:tblPrEx>
        <w:trPr>
          <w:trHeight w:val="1700"/>
          <w:jc w:val="center"/>
        </w:trPr>
        <w:tc>
          <w:tcPr>
            <w:tcW w:w="1683" w:type="dxa"/>
            <w:gridSpan w:val="2"/>
            <w:vAlign w:val="center"/>
          </w:tcPr>
          <w:p>
            <w:pPr>
              <w:spacing w:line="240" w:lineRule="atLeast"/>
              <w:jc w:val="center"/>
              <w:rPr>
                <w:rFonts w:ascii="宋体" w:hAnsi="宋体"/>
                <w:szCs w:val="21"/>
              </w:rPr>
            </w:pPr>
            <w:r>
              <w:rPr>
                <w:rFonts w:ascii="宋体" w:hAnsi="宋体" w:hint="eastAsia"/>
                <w:szCs w:val="21"/>
              </w:rPr>
              <w:t>采购人意见</w:t>
            </w:r>
          </w:p>
          <w:p>
            <w:pPr>
              <w:spacing w:line="240" w:lineRule="atLeast"/>
              <w:jc w:val="center"/>
              <w:rPr>
                <w:rFonts w:ascii="宋体" w:hAnsi="宋体"/>
                <w:szCs w:val="21"/>
              </w:rPr>
            </w:pPr>
            <w:r>
              <w:rPr>
                <w:rFonts w:ascii="宋体" w:hAnsi="宋体" w:hint="eastAsia"/>
                <w:szCs w:val="21"/>
              </w:rPr>
              <w:t>（公章）</w:t>
            </w:r>
          </w:p>
        </w:tc>
        <w:tc>
          <w:tcPr>
            <w:tcW w:w="7526" w:type="dxa"/>
            <w:gridSpan w:val="4"/>
            <w:vAlign w:val="center"/>
          </w:tcPr>
          <w:p>
            <w:pPr>
              <w:spacing w:line="240" w:lineRule="atLeast"/>
              <w:rPr>
                <w:rFonts w:ascii="宋体" w:hAnsi="宋体"/>
                <w:szCs w:val="21"/>
              </w:rPr>
            </w:pPr>
          </w:p>
          <w:p>
            <w:pPr>
              <w:spacing w:line="240" w:lineRule="atLeast"/>
              <w:rPr>
                <w:rFonts w:ascii="宋体" w:hAnsi="宋体"/>
                <w:szCs w:val="21"/>
              </w:rPr>
            </w:pPr>
            <w:r>
              <w:rPr>
                <w:rFonts w:ascii="宋体" w:hAnsi="宋体" w:hint="eastAsia"/>
                <w:szCs w:val="21"/>
              </w:rPr>
              <w:t xml:space="preserve">                                        </w:t>
            </w:r>
          </w:p>
          <w:p>
            <w:pPr>
              <w:spacing w:line="240" w:lineRule="atLeast"/>
              <w:ind w:firstLine="4320" w:firstLineChars="1800"/>
              <w:rPr>
                <w:rFonts w:ascii="宋体" w:hAnsi="宋体"/>
                <w:szCs w:val="21"/>
              </w:rPr>
            </w:pPr>
          </w:p>
          <w:p>
            <w:pPr>
              <w:spacing w:line="240" w:lineRule="atLeast"/>
              <w:ind w:firstLine="4320" w:firstLineChars="1800"/>
              <w:rPr>
                <w:rFonts w:ascii="宋体" w:hAnsi="宋体"/>
                <w:szCs w:val="21"/>
              </w:rPr>
            </w:pPr>
            <w:r>
              <w:rPr>
                <w:rFonts w:ascii="宋体" w:hAnsi="宋体" w:hint="eastAsia"/>
                <w:szCs w:val="21"/>
              </w:rPr>
              <w:t>日期：   年   月   日</w:t>
            </w:r>
          </w:p>
        </w:tc>
      </w:tr>
    </w:tbl>
    <w:p>
      <w:pPr>
        <w:spacing w:line="240" w:lineRule="atLeast"/>
        <w:rPr>
          <w:rFonts w:ascii="宋体" w:hAnsi="宋体"/>
          <w:szCs w:val="21"/>
        </w:rPr>
      </w:pPr>
      <w:r>
        <w:rPr>
          <w:rFonts w:ascii="宋体" w:hAnsi="宋体" w:hint="eastAsia"/>
          <w:szCs w:val="21"/>
        </w:rPr>
        <w:t>说明：</w:t>
      </w:r>
    </w:p>
    <w:p>
      <w:pPr>
        <w:spacing w:line="240" w:lineRule="atLeast"/>
        <w:rPr>
          <w:rFonts w:ascii="宋体" w:hAnsi="宋体"/>
          <w:szCs w:val="21"/>
        </w:rPr>
      </w:pPr>
      <w:r>
        <w:rPr>
          <w:rFonts w:ascii="宋体" w:hAnsi="宋体" w:hint="eastAsia"/>
          <w:szCs w:val="21"/>
        </w:rPr>
        <w:t>1、本表为采购人向履约评价工作实施机构反映政府采购项目履约情况时所用；</w:t>
      </w:r>
    </w:p>
    <w:p>
      <w:pPr>
        <w:spacing w:line="240" w:lineRule="atLeast"/>
      </w:pPr>
      <w:r>
        <w:rPr>
          <w:rFonts w:ascii="宋体" w:hAnsi="宋体" w:hint="eastAsia"/>
          <w:szCs w:val="21"/>
        </w:rPr>
        <w:t>2、履约情况评价分为优、良、中、差四个等级，请在对应的框前打“√”，然后在“具体情况说明”一栏详细说明有关情况。</w:t>
      </w:r>
    </w:p>
    <w:p>
      <w:pPr>
        <w:rPr>
          <w:rFonts w:ascii="宋体" w:hAnsi="宋体"/>
          <w:szCs w:val="21"/>
        </w:rPr>
      </w:pPr>
      <w:r>
        <w:rPr>
          <w:rFonts w:ascii="宋体" w:hAnsi="宋体"/>
          <w:szCs w:val="21"/>
        </w:rPr>
        <w:br w:type="page"/>
      </w:r>
    </w:p>
    <w:p>
      <w:pPr>
        <w:pStyle w:val="Heading1"/>
        <w:spacing w:before="120" w:beforeLines="50" w:after="120" w:afterLines="50"/>
        <w:ind w:left="562"/>
        <w:rPr>
          <w:szCs w:val="28"/>
        </w:rPr>
      </w:pPr>
      <w:r>
        <w:rPr>
          <w:rFonts w:hint="eastAsia"/>
          <w:szCs w:val="28"/>
        </w:rPr>
        <w:t>第二册  通用条款（公开招标）</w:t>
      </w:r>
    </w:p>
    <w:p>
      <w:pPr>
        <w:pStyle w:val="Heading2"/>
        <w:numPr>
          <w:ilvl w:val="0"/>
          <w:numId w:val="4"/>
        </w:numPr>
        <w:spacing w:before="120" w:beforeLines="50" w:after="120" w:afterLines="50"/>
        <w:ind w:left="562" w:hanging="562"/>
        <w:rPr>
          <w:sz w:val="28"/>
          <w:szCs w:val="28"/>
        </w:rPr>
      </w:pPr>
      <w:bookmarkStart w:id="93" w:name="_Hlk72399513"/>
      <w:r>
        <w:rPr>
          <w:rFonts w:hint="eastAsia"/>
          <w:sz w:val="28"/>
          <w:szCs w:val="28"/>
        </w:rPr>
        <w:t>总则</w:t>
      </w:r>
    </w:p>
    <w:p>
      <w:pPr>
        <w:rPr>
          <w:rFonts w:ascii="黑体" w:eastAsia="黑体" w:hAnsi="宋体"/>
        </w:rPr>
      </w:pPr>
      <w:bookmarkEnd w:id="93"/>
      <w:r>
        <w:rPr>
          <w:rFonts w:ascii="黑体" w:eastAsia="黑体" w:hAnsi="宋体" w:hint="eastAsia"/>
        </w:rPr>
        <w:t>1. 通用条款说明</w:t>
      </w:r>
    </w:p>
    <w:p>
      <w:pPr>
        <w:ind w:firstLine="470" w:firstLineChars="196"/>
        <w:rPr>
          <w:rFonts w:ascii="宋体" w:hAnsi="宋体"/>
          <w:szCs w:val="21"/>
        </w:rPr>
      </w:pPr>
      <w:r>
        <w:rPr>
          <w:rFonts w:ascii="宋体" w:hAnsi="宋体" w:hint="eastAsia"/>
          <w:szCs w:val="21"/>
        </w:rPr>
        <w:t>1.1</w:t>
      </w:r>
      <w:r>
        <w:rPr>
          <w:rFonts w:ascii="宋体" w:eastAsia="宋体" w:hAnsi="宋体" w:hint="eastAsia"/>
          <w:szCs w:val="21"/>
        </w:rPr>
        <w:t>招标机构</w:t>
      </w:r>
      <w:r>
        <w:rPr>
          <w:rFonts w:ascii="宋体" w:hAnsi="宋体" w:hint="eastAsia"/>
          <w:szCs w:val="21"/>
        </w:rPr>
        <w:t>发出招标文件通用条款版本，列出深圳市政府采购项目进行招标采购所适用的通用条款内容。</w:t>
      </w:r>
      <w:bookmarkStart w:id="94" w:name="_Hlk72399729"/>
      <w:r>
        <w:rPr>
          <w:rFonts w:ascii="宋体" w:hAnsi="宋体" w:hint="eastAsia"/>
          <w:szCs w:val="21"/>
        </w:rPr>
        <w:t>如有需要，</w:t>
      </w:r>
      <w:r>
        <w:rPr>
          <w:rFonts w:ascii="宋体" w:eastAsia="宋体" w:hAnsi="宋体" w:hint="eastAsia"/>
          <w:szCs w:val="21"/>
        </w:rPr>
        <w:t>招标机构</w:t>
      </w:r>
      <w:r>
        <w:rPr>
          <w:rFonts w:ascii="宋体" w:hAnsi="宋体" w:hint="eastAsia"/>
          <w:szCs w:val="21"/>
        </w:rPr>
        <w:t>可以对通用条款的内容进行补充。</w:t>
      </w:r>
      <w:bookmarkEnd w:id="94"/>
    </w:p>
    <w:p>
      <w:pPr>
        <w:ind w:firstLine="470" w:firstLineChars="196"/>
        <w:rPr>
          <w:rFonts w:ascii="宋体" w:hAnsi="宋体"/>
          <w:szCs w:val="21"/>
        </w:rPr>
      </w:pPr>
      <w:r>
        <w:rPr>
          <w:rFonts w:ascii="宋体" w:hAnsi="宋体" w:hint="eastAsia"/>
          <w:szCs w:val="21"/>
        </w:rPr>
        <w:t>1.2招标文件分为第一册“专用条款”和第二册“通用条款”。</w:t>
      </w:r>
    </w:p>
    <w:p>
      <w:pPr>
        <w:ind w:firstLine="470" w:firstLineChars="196"/>
        <w:rPr>
          <w:rFonts w:ascii="宋体" w:hAnsi="宋体"/>
          <w:szCs w:val="21"/>
        </w:rPr>
      </w:pPr>
      <w:r>
        <w:rPr>
          <w:rFonts w:ascii="宋体" w:hAnsi="宋体" w:hint="eastAsia"/>
          <w:szCs w:val="21"/>
        </w:rPr>
        <w:t>1.3“专用条款”是对本次采购项目的具体要求，包含招标公告、对通用条款的补充内容及其他关键信息、用户需求书、投标文件格式及附件、合同条款及格式</w:t>
      </w:r>
      <w:r>
        <w:rPr>
          <w:rFonts w:ascii="宋体" w:eastAsia="宋体" w:hAnsi="宋体" w:hint="eastAsia"/>
          <w:szCs w:val="21"/>
        </w:rPr>
        <w:t>、政府采购履约情况反馈格式</w:t>
      </w:r>
      <w:r>
        <w:rPr>
          <w:rFonts w:ascii="宋体" w:hAnsi="宋体" w:hint="eastAsia"/>
          <w:szCs w:val="21"/>
        </w:rPr>
        <w:t>等内容。</w:t>
      </w:r>
    </w:p>
    <w:p>
      <w:pPr>
        <w:ind w:firstLine="470" w:firstLineChars="196"/>
        <w:rPr>
          <w:rFonts w:ascii="宋体" w:hAnsi="宋体"/>
          <w:szCs w:val="21"/>
        </w:rPr>
      </w:pPr>
      <w:r>
        <w:rPr>
          <w:rFonts w:ascii="宋体" w:hAnsi="宋体" w:hint="eastAsia"/>
          <w:szCs w:val="21"/>
        </w:rPr>
        <w:t>1.4“通用条款”是适用于政府采购公开招标项目的基础性条款，具有普遍性和通用性。</w:t>
      </w:r>
    </w:p>
    <w:p>
      <w:pPr>
        <w:ind w:firstLine="470" w:firstLineChars="196"/>
        <w:rPr>
          <w:rFonts w:ascii="宋体" w:hAnsi="宋体"/>
          <w:szCs w:val="21"/>
        </w:rPr>
      </w:pPr>
      <w:r>
        <w:rPr>
          <w:rFonts w:ascii="宋体" w:hAnsi="宋体" w:hint="eastAsia"/>
          <w:szCs w:val="21"/>
        </w:rPr>
        <w:t>1.5 “专用条款”和“通用条款”表述不一致或有冲突时，以“专用条款”为准。</w:t>
      </w:r>
    </w:p>
    <w:p>
      <w:pPr>
        <w:rPr>
          <w:rFonts w:ascii="黑体" w:eastAsia="黑体" w:hAnsi="宋体"/>
        </w:rPr>
      </w:pPr>
      <w:r>
        <w:rPr>
          <w:rFonts w:ascii="黑体" w:eastAsia="黑体" w:hAnsi="宋体" w:hint="eastAsia"/>
        </w:rPr>
        <w:t>2</w:t>
      </w:r>
      <w:r>
        <w:rPr>
          <w:rFonts w:ascii="黑体" w:eastAsia="黑体" w:hAnsi="宋体"/>
        </w:rPr>
        <w:t>．</w:t>
      </w:r>
      <w:r>
        <w:rPr>
          <w:rFonts w:ascii="黑体" w:eastAsia="黑体" w:hAnsi="宋体" w:hint="eastAsia"/>
        </w:rPr>
        <w:t>招标说明</w:t>
      </w:r>
    </w:p>
    <w:p>
      <w:pPr>
        <w:ind w:firstLine="470" w:firstLineChars="196"/>
        <w:rPr>
          <w:rFonts w:ascii="宋体" w:hAnsi="宋体"/>
          <w:szCs w:val="21"/>
        </w:rPr>
      </w:pPr>
      <w:r>
        <w:rPr>
          <w:rFonts w:ascii="宋体" w:hAnsi="宋体" w:hint="eastAsia"/>
          <w:szCs w:val="21"/>
        </w:rPr>
        <w:t>本项目按照《深圳经济特区政府采购条例》、《深圳经济特区政府采购条例实施细则》及政府采购其他法律法规，通过公开招标方式确定中标供应商。</w:t>
      </w:r>
    </w:p>
    <w:p>
      <w:pPr>
        <w:rPr>
          <w:rFonts w:ascii="黑体" w:eastAsia="黑体" w:hAnsi="宋体"/>
        </w:rPr>
      </w:pPr>
      <w:r>
        <w:rPr>
          <w:rFonts w:ascii="黑体" w:eastAsia="黑体" w:hAnsi="宋体" w:hint="eastAsia"/>
        </w:rPr>
        <w:t>3．定义</w:t>
      </w:r>
    </w:p>
    <w:p>
      <w:pPr>
        <w:ind w:firstLine="480" w:firstLineChars="200"/>
        <w:rPr>
          <w:rFonts w:ascii="宋体" w:hAnsi="宋体"/>
          <w:szCs w:val="21"/>
        </w:rPr>
      </w:pPr>
      <w:r>
        <w:rPr>
          <w:rFonts w:ascii="宋体" w:hAnsi="宋体"/>
          <w:szCs w:val="21"/>
        </w:rPr>
        <w:t>招标文件中下列术语应解释为：</w:t>
      </w:r>
    </w:p>
    <w:p>
      <w:pPr>
        <w:ind w:firstLine="470" w:firstLineChars="196"/>
        <w:rPr>
          <w:rFonts w:ascii="宋体" w:hAnsi="宋体"/>
          <w:szCs w:val="21"/>
        </w:rPr>
      </w:pPr>
      <w:r>
        <w:rPr>
          <w:rFonts w:ascii="宋体" w:hAnsi="宋体" w:hint="eastAsia"/>
          <w:szCs w:val="21"/>
        </w:rPr>
        <w:t>3.</w:t>
      </w:r>
      <w:r>
        <w:rPr>
          <w:rFonts w:ascii="宋体" w:hAnsi="宋体"/>
          <w:szCs w:val="21"/>
        </w:rPr>
        <w:t>1</w:t>
      </w:r>
      <w:r>
        <w:rPr>
          <w:rFonts w:ascii="宋体" w:hAnsi="宋体" w:hint="eastAsia"/>
          <w:szCs w:val="21"/>
        </w:rPr>
        <w:t>“采购人”：指利用财政性资金依法进行政府采购的国家机关、事业单位、团体组织；</w:t>
      </w:r>
    </w:p>
    <w:p>
      <w:pPr>
        <w:ind w:firstLine="470" w:firstLineChars="196"/>
        <w:rPr>
          <w:rFonts w:ascii="宋体" w:hAnsi="宋体"/>
          <w:szCs w:val="21"/>
        </w:rPr>
      </w:pPr>
      <w:r>
        <w:rPr>
          <w:rFonts w:ascii="宋体" w:hAnsi="宋体" w:hint="eastAsia"/>
          <w:szCs w:val="21"/>
        </w:rPr>
        <w:t>3.2 “招标机构”是指根据采购人委托，代理政府采购事宜的社会采购代理机构。本招标文件的招标机构特指</w:t>
      </w:r>
      <w:r>
        <w:rPr>
          <w:rFonts w:ascii="宋体" w:hAnsi="宋体" w:hint="eastAsia"/>
          <w:b/>
          <w:bCs/>
          <w:szCs w:val="21"/>
        </w:rPr>
        <w:t>友和保险经纪有限公司</w:t>
      </w:r>
      <w:r>
        <w:rPr>
          <w:rFonts w:ascii="宋体" w:hAnsi="宋体" w:hint="eastAsia"/>
          <w:szCs w:val="21"/>
        </w:rPr>
        <w:t>；</w:t>
      </w:r>
    </w:p>
    <w:p>
      <w:pPr>
        <w:ind w:firstLine="470" w:firstLineChars="196"/>
        <w:rPr>
          <w:rFonts w:ascii="宋体" w:hAnsi="宋体"/>
          <w:szCs w:val="21"/>
        </w:rPr>
      </w:pPr>
      <w:r>
        <w:rPr>
          <w:rFonts w:ascii="宋体" w:hAnsi="宋体" w:hint="eastAsia"/>
          <w:szCs w:val="21"/>
        </w:rPr>
        <w:t>3.3“投标人”，即供应商，指参加投标竞争并愿意按照招标文件要求向采购人提供货物、工程或者服务的依法成立的法人、其他组织或者自然人；</w:t>
      </w:r>
    </w:p>
    <w:p>
      <w:pPr>
        <w:ind w:firstLine="470" w:firstLineChars="196"/>
        <w:rPr>
          <w:rFonts w:ascii="宋体" w:hAnsi="宋体"/>
          <w:szCs w:val="21"/>
        </w:rPr>
      </w:pPr>
      <w:r>
        <w:rPr>
          <w:rFonts w:ascii="宋体" w:hAnsi="宋体" w:hint="eastAsia"/>
          <w:szCs w:val="21"/>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hAnsi="宋体"/>
          <w:szCs w:val="21"/>
        </w:rPr>
      </w:pPr>
      <w:r>
        <w:rPr>
          <w:rFonts w:ascii="宋体" w:hAnsi="宋体" w:hint="eastAsia"/>
          <w:szCs w:val="21"/>
        </w:rPr>
        <w:t>3.5“日期”</w:t>
      </w:r>
      <w:r>
        <w:rPr>
          <w:rFonts w:ascii="宋体" w:hAnsi="宋体"/>
          <w:szCs w:val="21"/>
        </w:rPr>
        <w:t>指</w:t>
      </w:r>
      <w:r>
        <w:rPr>
          <w:rFonts w:ascii="宋体" w:hAnsi="宋体" w:hint="eastAsia"/>
          <w:szCs w:val="21"/>
        </w:rPr>
        <w:t>公历日；</w:t>
      </w:r>
    </w:p>
    <w:p>
      <w:pPr>
        <w:ind w:firstLine="470" w:firstLineChars="196"/>
        <w:rPr>
          <w:rFonts w:ascii="宋体" w:hAnsi="宋体"/>
          <w:szCs w:val="21"/>
        </w:rPr>
      </w:pPr>
      <w:r>
        <w:rPr>
          <w:rFonts w:ascii="宋体" w:hAnsi="宋体" w:hint="eastAsia"/>
          <w:szCs w:val="21"/>
        </w:rPr>
        <w:t>3.6“合同”指由本次招标所产生的合同或合约文件；</w:t>
      </w:r>
    </w:p>
    <w:p>
      <w:pPr>
        <w:suppressAutoHyphens/>
        <w:wordWrap w:val="0"/>
        <w:ind w:firstLine="470" w:firstLineChars="196"/>
        <w:rPr>
          <w:rFonts w:ascii="宋体" w:hAnsi="宋体"/>
          <w:szCs w:val="21"/>
        </w:rPr>
      </w:pPr>
      <w:r>
        <w:rPr>
          <w:rFonts w:ascii="宋体" w:hAnsi="宋体" w:hint="eastAsia"/>
          <w:szCs w:val="21"/>
        </w:rPr>
        <w:t>3.7“电子投标文件”指利用</w:t>
      </w:r>
      <w:r>
        <w:rPr>
          <w:rFonts w:ascii="宋体" w:hAnsi="宋体" w:hint="eastAsia"/>
          <w:b/>
          <w:bCs/>
          <w:color w:val="FF0000"/>
          <w:szCs w:val="21"/>
        </w:rPr>
        <w:t>深圳交易集团有限公司政府采购业务分公司</w:t>
      </w:r>
      <w:r>
        <w:rPr>
          <w:rFonts w:ascii="宋体" w:hAnsi="宋体" w:hint="eastAsia"/>
          <w:szCs w:val="21"/>
        </w:rPr>
        <w:t>网站提供的</w:t>
      </w:r>
      <w:r>
        <w:rPr>
          <w:rFonts w:ascii="宋体" w:hAnsi="宋体" w:hint="eastAsia"/>
        </w:rPr>
        <w:t>深圳智慧采购平台投标文件制作专用软件（以下简称：投标文件制作软件）制作并</w:t>
      </w:r>
      <w:r>
        <w:rPr>
          <w:rFonts w:ascii="宋体" w:hAnsi="宋体" w:hint="eastAsia"/>
          <w:szCs w:val="21"/>
        </w:rPr>
        <w:t>加密的投标文件,适用于网上投标；（投标文件制作软件可从</w:t>
      </w:r>
      <w:r>
        <w:rPr>
          <w:rFonts w:hint="eastAsia"/>
        </w:rPr>
        <w:t>“</w:t>
      </w:r>
      <w:r>
        <w:rPr>
          <w:rFonts w:ascii="宋体" w:hAnsi="宋体" w:hint="eastAsia"/>
        </w:rPr>
        <w:t>下载地址：</w:t>
      </w:r>
      <w:r>
        <w:t>http://zfcg.szggzy.com:8081/cgxy/013002/20210923/173e0b2c-7a4c-4246-a0c7-e0ea75d84dd6.html</w:t>
      </w:r>
      <w:r>
        <w:rPr>
          <w:rFonts w:ascii="宋体" w:hAnsi="宋体" w:hint="eastAsia"/>
        </w:rPr>
        <w:t>深圳智慧采购平台投标文件制作专用软件.zip</w:t>
      </w:r>
      <w:r>
        <w:rPr>
          <w:rFonts w:hint="eastAsia"/>
        </w:rPr>
        <w:t>”</w:t>
      </w:r>
      <w:r>
        <w:rPr>
          <w:rFonts w:ascii="宋体" w:hAnsi="宋体" w:hint="eastAsia"/>
          <w:szCs w:val="21"/>
        </w:rPr>
        <w:t>下载）；</w:t>
      </w:r>
    </w:p>
    <w:p>
      <w:pPr>
        <w:ind w:firstLine="470" w:firstLineChars="196"/>
        <w:rPr>
          <w:rFonts w:ascii="宋体" w:hAnsi="宋体"/>
          <w:szCs w:val="21"/>
        </w:rPr>
      </w:pPr>
      <w:r>
        <w:rPr>
          <w:rFonts w:ascii="宋体" w:hAnsi="宋体" w:hint="eastAsia"/>
          <w:szCs w:val="21"/>
        </w:rPr>
        <w:t>3.8“网上投标”指通过</w:t>
      </w:r>
      <w:r>
        <w:rPr>
          <w:rFonts w:ascii="宋体" w:hAnsi="宋体" w:hint="eastAsia"/>
          <w:b/>
          <w:bCs/>
          <w:color w:val="FF0000"/>
          <w:szCs w:val="21"/>
        </w:rPr>
        <w:t>深圳交易集团有限公司政府采购业务分公司</w:t>
      </w:r>
      <w:r>
        <w:rPr>
          <w:rFonts w:ascii="宋体" w:hAnsi="宋体" w:hint="eastAsia"/>
          <w:szCs w:val="21"/>
        </w:rPr>
        <w:t>网站上传电子投标文件；</w:t>
      </w:r>
    </w:p>
    <w:p>
      <w:pPr>
        <w:ind w:firstLine="470" w:firstLineChars="196"/>
        <w:rPr>
          <w:rFonts w:ascii="宋体" w:hAnsi="宋体"/>
          <w:szCs w:val="21"/>
        </w:rPr>
      </w:pPr>
      <w:r>
        <w:rPr>
          <w:rFonts w:ascii="宋体" w:hAnsi="宋体" w:hint="eastAsia"/>
          <w:szCs w:val="21"/>
        </w:rPr>
        <w:t>3.9招标文件中的标题或题名仅起引导作用，而不应视为对招标文件内容的理解和解释。</w:t>
      </w:r>
    </w:p>
    <w:p>
      <w:pPr>
        <w:rPr>
          <w:rFonts w:ascii="黑体" w:eastAsia="黑体" w:hAnsi="宋体"/>
        </w:rPr>
      </w:pPr>
      <w:r>
        <w:rPr>
          <w:rFonts w:ascii="黑体" w:eastAsia="黑体" w:hAnsi="宋体" w:hint="eastAsia"/>
        </w:rPr>
        <w:t xml:space="preserve">4. </w:t>
      </w:r>
      <w:bookmarkStart w:id="95" w:name="_Hlk72398643"/>
      <w:r>
        <w:rPr>
          <w:rFonts w:ascii="黑体" w:eastAsia="黑体" w:hAnsi="宋体" w:hint="eastAsia"/>
        </w:rPr>
        <w:t>政府采购供应商责任</w:t>
      </w:r>
    </w:p>
    <w:p>
      <w:pPr>
        <w:ind w:firstLine="470" w:firstLineChars="196"/>
        <w:rPr>
          <w:rFonts w:ascii="宋体" w:hAnsi="宋体"/>
          <w:szCs w:val="21"/>
        </w:rPr>
      </w:pPr>
      <w:r>
        <w:rPr>
          <w:rFonts w:ascii="宋体" w:hAnsi="宋体" w:hint="eastAsia"/>
          <w:szCs w:val="21"/>
        </w:rPr>
        <w:t>4.1欢迎诚信、有实力和有社会责任心的供应商参与政府采购事业。</w:t>
      </w:r>
    </w:p>
    <w:p>
      <w:pPr>
        <w:ind w:firstLine="470" w:firstLineChars="196"/>
        <w:rPr>
          <w:rFonts w:ascii="宋体" w:hAnsi="宋体"/>
          <w:szCs w:val="21"/>
        </w:rPr>
      </w:pPr>
      <w:r>
        <w:rPr>
          <w:rFonts w:ascii="宋体" w:hAnsi="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rPr>
      </w:pPr>
      <w:r>
        <w:rPr>
          <w:rFonts w:ascii="黑体" w:eastAsia="黑体" w:hAnsi="宋体" w:hint="eastAsia"/>
        </w:rPr>
        <w:t>5．投标人参加政府采购的条件</w:t>
      </w:r>
    </w:p>
    <w:p>
      <w:pPr>
        <w:ind w:firstLine="470" w:firstLineChars="196"/>
        <w:rPr>
          <w:rFonts w:ascii="宋体" w:hAnsi="宋体"/>
          <w:szCs w:val="21"/>
        </w:rPr>
      </w:pPr>
      <w:r>
        <w:rPr>
          <w:rFonts w:ascii="宋体" w:hAnsi="宋体" w:hint="eastAsia"/>
          <w:szCs w:val="21"/>
        </w:rPr>
        <w:t>5.1投标人应在投标前到</w:t>
      </w:r>
      <w:r>
        <w:rPr>
          <w:rFonts w:ascii="宋体" w:hAnsi="宋体" w:hint="eastAsia"/>
          <w:b/>
          <w:bCs/>
          <w:szCs w:val="21"/>
        </w:rPr>
        <w:t>深圳交易集团有限公司政府采购业务分公司</w:t>
      </w:r>
      <w:r>
        <w:rPr>
          <w:rFonts w:ascii="宋体" w:hAnsi="宋体" w:hint="eastAsia"/>
          <w:szCs w:val="21"/>
        </w:rPr>
        <w:t>进行注册并办理电子密钥。《</w:t>
      </w:r>
      <w:r>
        <w:fldChar w:fldCharType="begin"/>
      </w:r>
      <w:r>
        <w:instrText xml:space="preserve"> HYPERLINK "file:///C:\\Users\\69073\\Desktop\\模板\\供应商注册及信息变更指引" </w:instrText>
      </w:r>
      <w:r>
        <w:fldChar w:fldCharType="separate"/>
      </w:r>
      <w:r>
        <w:rPr>
          <w:rStyle w:val="Hyperlink"/>
          <w:rFonts w:ascii="宋体" w:hAnsi="宋体"/>
          <w:szCs w:val="21"/>
        </w:rPr>
        <w:t>供应商注册及信息变更指引</w:t>
      </w:r>
      <w:r>
        <w:rPr>
          <w:rStyle w:val="Hyperlink"/>
          <w:rFonts w:ascii="宋体" w:hAnsi="宋体"/>
          <w:szCs w:val="21"/>
        </w:rPr>
        <w:fldChar w:fldCharType="end"/>
      </w:r>
      <w:r>
        <w:rPr>
          <w:rFonts w:ascii="宋体" w:hAnsi="宋体" w:hint="eastAsia"/>
          <w:szCs w:val="21"/>
        </w:rPr>
        <w:t>》详见</w:t>
      </w:r>
      <w:r>
        <w:t>http://zfcg.szggzy.com/</w:t>
      </w:r>
      <w:r>
        <w:rPr>
          <w:rFonts w:ascii="宋体" w:hAnsi="宋体" w:hint="eastAsia"/>
          <w:szCs w:val="21"/>
        </w:rPr>
        <w:t>。</w:t>
      </w:r>
    </w:p>
    <w:p>
      <w:pPr>
        <w:ind w:firstLine="470" w:firstLineChars="196"/>
        <w:rPr>
          <w:rFonts w:ascii="宋体" w:hAnsi="宋体"/>
          <w:szCs w:val="21"/>
        </w:rPr>
      </w:pPr>
      <w:r>
        <w:rPr>
          <w:rFonts w:ascii="宋体" w:hAnsi="宋体" w:hint="eastAsia"/>
          <w:szCs w:val="21"/>
        </w:rPr>
        <w:t>5.2投标人资格要求</w:t>
      </w:r>
    </w:p>
    <w:p>
      <w:pPr>
        <w:ind w:firstLine="470" w:firstLineChars="196"/>
        <w:rPr>
          <w:rFonts w:ascii="宋体" w:hAnsi="宋体"/>
          <w:szCs w:val="21"/>
        </w:rPr>
      </w:pPr>
      <w:r>
        <w:rPr>
          <w:rFonts w:ascii="宋体" w:hAnsi="宋体" w:hint="eastAsia"/>
          <w:szCs w:val="21"/>
        </w:rPr>
        <w:t>参加本项目的投标人应具备的资格条件详见本项目招标公告中 “投标人资格要求”（即申请人的资格要求）的内容。</w:t>
      </w:r>
    </w:p>
    <w:p>
      <w:pPr>
        <w:ind w:firstLine="470" w:firstLineChars="196"/>
        <w:rPr>
          <w:rFonts w:ascii="宋体" w:hAnsi="宋体"/>
          <w:szCs w:val="21"/>
        </w:rPr>
      </w:pPr>
      <w:r>
        <w:rPr>
          <w:rFonts w:ascii="宋体" w:hAnsi="宋体" w:hint="eastAsia"/>
          <w:szCs w:val="21"/>
        </w:rPr>
        <w:t>5.3联合体投标</w:t>
      </w:r>
    </w:p>
    <w:p>
      <w:pPr>
        <w:ind w:firstLine="470" w:firstLineChars="196"/>
        <w:rPr>
          <w:rFonts w:ascii="宋体" w:hAnsi="宋体"/>
          <w:szCs w:val="21"/>
        </w:rPr>
      </w:pPr>
      <w:r>
        <w:rPr>
          <w:rFonts w:ascii="宋体" w:hAnsi="宋体" w:hint="eastAsia"/>
          <w:szCs w:val="21"/>
        </w:rPr>
        <w:t>5.3.1　以下有关联合体投标的条款仅适用于允许投标人组成联合体投标的项目。</w:t>
      </w:r>
    </w:p>
    <w:p>
      <w:pPr>
        <w:ind w:firstLine="470" w:firstLineChars="196"/>
        <w:rPr>
          <w:rFonts w:ascii="宋体" w:hAnsi="宋体"/>
          <w:szCs w:val="21"/>
        </w:rPr>
      </w:pPr>
      <w:r>
        <w:rPr>
          <w:rFonts w:ascii="宋体" w:hAnsi="宋体" w:hint="eastAsia"/>
          <w:szCs w:val="21"/>
        </w:rPr>
        <w:t>5.3.2  由两个或两个以上的自然人、法人或者其他组织可以组成一个联合体，以一个供应商的身份共同投标时，应符合以下原则：</w:t>
      </w:r>
    </w:p>
    <w:p>
      <w:pPr>
        <w:ind w:firstLine="470" w:firstLineChars="196"/>
        <w:rPr>
          <w:rFonts w:ascii="宋体" w:hAnsi="宋体"/>
        </w:rPr>
      </w:pPr>
      <w:r>
        <w:rPr>
          <w:rFonts w:ascii="宋体" w:hAnsi="宋体" w:hint="eastAsia"/>
        </w:rPr>
        <w:t>（1）投标联合体各方参加政府采购活动应当具备下列条件：</w:t>
      </w:r>
    </w:p>
    <w:p>
      <w:pPr>
        <w:ind w:left="480" w:firstLine="470" w:leftChars="200" w:firstLineChars="196"/>
        <w:rPr>
          <w:rFonts w:ascii="宋体" w:hAnsi="宋体"/>
        </w:rPr>
      </w:pPr>
      <w:r>
        <w:rPr>
          <w:rFonts w:ascii="宋体" w:hAnsi="宋体" w:hint="eastAsia"/>
        </w:rPr>
        <w:t>1、具有独立承担民事责任的能力；</w:t>
      </w:r>
    </w:p>
    <w:p>
      <w:pPr>
        <w:ind w:left="420" w:firstLine="470" w:firstLineChars="196"/>
        <w:rPr>
          <w:rFonts w:ascii="宋体" w:hAnsi="宋体"/>
        </w:rPr>
      </w:pPr>
      <w:r>
        <w:rPr>
          <w:rFonts w:ascii="宋体" w:hAnsi="宋体" w:hint="eastAsia"/>
        </w:rPr>
        <w:t>2、有良好的商业信誉和健全的财务会计制度；</w:t>
      </w:r>
    </w:p>
    <w:p>
      <w:pPr>
        <w:ind w:left="480" w:firstLine="470" w:leftChars="200" w:firstLineChars="196"/>
        <w:rPr>
          <w:rFonts w:ascii="宋体" w:hAnsi="宋体"/>
        </w:rPr>
      </w:pPr>
      <w:r>
        <w:rPr>
          <w:rFonts w:ascii="宋体" w:hAnsi="宋体" w:hint="eastAsia"/>
        </w:rPr>
        <w:t>3、具有履行合同所必需的设备和专业技术能力；</w:t>
      </w:r>
    </w:p>
    <w:p>
      <w:pPr>
        <w:ind w:left="480" w:firstLine="470" w:leftChars="200" w:firstLineChars="196"/>
        <w:rPr>
          <w:rFonts w:ascii="宋体" w:hAnsi="宋体"/>
        </w:rPr>
      </w:pPr>
      <w:r>
        <w:rPr>
          <w:rFonts w:ascii="宋体" w:hAnsi="宋体" w:hint="eastAsia"/>
        </w:rPr>
        <w:t>4、有依法缴纳税收和社会保障资金的良好记录；</w:t>
      </w:r>
    </w:p>
    <w:p>
      <w:pPr>
        <w:ind w:left="480" w:firstLine="470" w:leftChars="200" w:firstLineChars="196"/>
        <w:rPr>
          <w:rFonts w:ascii="宋体" w:hAnsi="宋体"/>
        </w:rPr>
      </w:pPr>
      <w:r>
        <w:rPr>
          <w:rFonts w:ascii="宋体" w:hAnsi="宋体" w:hint="eastAsia"/>
        </w:rPr>
        <w:t>5、参加政府采购活动前三年内，在经营活动中没有重大违法记录；</w:t>
      </w:r>
    </w:p>
    <w:p>
      <w:pPr>
        <w:ind w:left="480" w:firstLine="470" w:leftChars="200" w:firstLineChars="196"/>
        <w:rPr>
          <w:rFonts w:ascii="宋体" w:hAnsi="宋体"/>
        </w:rPr>
      </w:pPr>
      <w:r>
        <w:rPr>
          <w:rFonts w:ascii="宋体" w:hAnsi="宋体" w:hint="eastAsia"/>
        </w:rPr>
        <w:t>6、法律、行政法规规定的其他条件。</w:t>
      </w:r>
    </w:p>
    <w:p>
      <w:pPr>
        <w:ind w:firstLine="470" w:firstLineChars="196"/>
        <w:rPr>
          <w:rFonts w:ascii="宋体" w:hAnsi="宋体"/>
        </w:rPr>
      </w:pPr>
      <w:r>
        <w:rPr>
          <w:rFonts w:ascii="宋体" w:hAnsi="宋体" w:hint="eastAsia"/>
        </w:rPr>
        <w:t>（2）在投标截止前，投标联合体各方均应注册成深圳公共资源交易网供应商；</w:t>
      </w:r>
    </w:p>
    <w:p>
      <w:pPr>
        <w:ind w:firstLine="470" w:firstLineChars="196"/>
        <w:rPr>
          <w:rFonts w:ascii="宋体" w:hAnsi="宋体"/>
        </w:rPr>
      </w:pPr>
      <w:r>
        <w:rPr>
          <w:rFonts w:ascii="宋体" w:hAnsi="宋体" w:hint="eastAsia"/>
        </w:rPr>
        <w:t>（3）联合体中有同类资质的供应商按照联合体分工承担相同工作的，应当按照资质等级较低的供应商确定资质等级；</w:t>
      </w:r>
    </w:p>
    <w:p>
      <w:pPr>
        <w:ind w:firstLine="470" w:firstLineChars="196"/>
      </w:pPr>
      <w:r>
        <w:rPr>
          <w:rFonts w:hint="eastAsia"/>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hAnsi="宋体"/>
        </w:rPr>
      </w:pPr>
      <w:r>
        <w:rPr>
          <w:rFonts w:ascii="宋体" w:hAnsi="宋体" w:hint="eastAsia"/>
        </w:rPr>
        <w:t>（5）投标人的投标文件及中标后签署的合同协议对联合体各方均具法律约束力；</w:t>
      </w:r>
    </w:p>
    <w:p>
      <w:pPr>
        <w:ind w:firstLine="470" w:firstLineChars="196"/>
        <w:rPr>
          <w:rFonts w:ascii="宋体" w:hAnsi="宋体"/>
        </w:rPr>
      </w:pPr>
      <w:r>
        <w:rPr>
          <w:rFonts w:ascii="宋体" w:hAnsi="宋体" w:hint="eastAsia"/>
        </w:rPr>
        <w:t>（6）联合体各方应当签订联合体投标协议，明确约定各方拟承担的工作和责任，并将该协议随投标文件一并递交给</w:t>
      </w:r>
      <w:r>
        <w:rPr>
          <w:rFonts w:ascii="宋体" w:eastAsia="宋体" w:hAnsi="宋体" w:hint="eastAsia"/>
        </w:rPr>
        <w:t>招标机构</w:t>
      </w:r>
      <w:r>
        <w:rPr>
          <w:rFonts w:ascii="宋体" w:hAnsi="宋体" w:hint="eastAsia"/>
        </w:rPr>
        <w:t>；</w:t>
      </w:r>
    </w:p>
    <w:p>
      <w:pPr>
        <w:ind w:firstLine="470" w:firstLineChars="196"/>
        <w:rPr>
          <w:rFonts w:ascii="宋体" w:hAnsi="宋体"/>
        </w:rPr>
      </w:pPr>
      <w:r>
        <w:rPr>
          <w:rFonts w:ascii="宋体" w:hAnsi="宋体" w:hint="eastAsia"/>
        </w:rPr>
        <w:t>（7）联合体中标后，联合体各方应当共同与采购人签订合同，就中标项目向采购人承担连带责任；</w:t>
      </w:r>
    </w:p>
    <w:p>
      <w:pPr>
        <w:ind w:firstLine="470" w:firstLineChars="196"/>
        <w:rPr>
          <w:rFonts w:ascii="宋体" w:hAnsi="宋体"/>
        </w:rPr>
      </w:pPr>
      <w:r>
        <w:rPr>
          <w:rFonts w:ascii="宋体" w:hAnsi="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hAnsi="宋体"/>
          <w:szCs w:val="21"/>
        </w:rPr>
      </w:pPr>
      <w:r>
        <w:rPr>
          <w:rFonts w:ascii="宋体" w:hAnsi="宋体" w:hint="eastAsia"/>
        </w:rPr>
        <w:t>（9）本通用条款中“投标人”一词亦指联合体各方，专用条款另有规定或说明的除外。</w:t>
      </w:r>
    </w:p>
    <w:p>
      <w:pPr>
        <w:rPr>
          <w:rFonts w:ascii="黑体" w:eastAsia="黑体" w:hAnsi="宋体"/>
        </w:rPr>
      </w:pPr>
      <w:r>
        <w:rPr>
          <w:rFonts w:ascii="黑体" w:eastAsia="黑体" w:hAnsi="宋体" w:hint="eastAsia"/>
        </w:rPr>
        <w:t>6．政策导向</w:t>
      </w:r>
    </w:p>
    <w:p>
      <w:pPr>
        <w:ind w:firstLine="470" w:firstLineChars="196"/>
        <w:rPr>
          <w:rFonts w:ascii="宋体" w:hAnsi="宋体"/>
        </w:rPr>
      </w:pPr>
      <w:r>
        <w:rPr>
          <w:rFonts w:ascii="宋体" w:hAnsi="宋体" w:hint="eastAsia"/>
        </w:rPr>
        <w:t>6.1政府采购扶持贫困地区、中小企业、监狱企业和残疾人福利性单位发展，支持节能减排、环境保护。</w:t>
      </w:r>
    </w:p>
    <w:p>
      <w:pPr>
        <w:ind w:firstLine="405"/>
        <w:rPr>
          <w:shd w:val="clear" w:color="auto" w:fill="FFFFFF"/>
        </w:rPr>
      </w:pPr>
      <w:r>
        <w:rPr>
          <w:rFonts w:ascii="宋体" w:hAnsi="宋体" w:hint="eastAsia"/>
        </w:rPr>
        <w:t>6.2本项目落实深圳市政府采购供应商诚信管理政策要求。</w:t>
      </w:r>
    </w:p>
    <w:p>
      <w:pPr>
        <w:rPr>
          <w:rFonts w:ascii="黑体" w:eastAsia="黑体" w:hAnsi="宋体"/>
        </w:rPr>
      </w:pPr>
      <w:r>
        <w:rPr>
          <w:rFonts w:ascii="黑体" w:eastAsia="黑体" w:hAnsi="宋体" w:hint="eastAsia"/>
        </w:rPr>
        <w:t>7. 本项目若涉及采购货物，则合格的货物及相应服务应满足以下要求：</w:t>
      </w:r>
    </w:p>
    <w:p>
      <w:pPr>
        <w:ind w:firstLine="470" w:firstLineChars="196"/>
        <w:rPr>
          <w:rFonts w:ascii="宋体" w:hAnsi="宋体"/>
        </w:rPr>
      </w:pPr>
      <w:r>
        <w:rPr>
          <w:rFonts w:ascii="宋体" w:hAnsi="宋体" w:hint="eastAsia"/>
        </w:rPr>
        <w:t>7</w:t>
      </w:r>
      <w:r>
        <w:rPr>
          <w:rFonts w:ascii="宋体" w:hAnsi="宋体"/>
        </w:rPr>
        <w:t xml:space="preserve">.1  </w:t>
      </w:r>
      <w:r>
        <w:rPr>
          <w:rFonts w:ascii="宋体" w:hAnsi="宋体" w:hint="eastAsia"/>
        </w:rPr>
        <w:t>必须是全新、未使用过的原装合格正品（包括零部件），如安装或配置了软件的，须为正版软件。</w:t>
      </w:r>
    </w:p>
    <w:p>
      <w:pPr>
        <w:ind w:firstLine="470" w:firstLineChars="196"/>
        <w:rPr>
          <w:rFonts w:ascii="宋体" w:hAnsi="宋体"/>
        </w:rPr>
      </w:pPr>
      <w:r>
        <w:rPr>
          <w:rFonts w:ascii="宋体" w:hAnsi="宋体" w:hint="eastAsia"/>
        </w:rPr>
        <w:t>7.2  国产的货物及其有关服务必须符合中华人民共和国的设计、制造生产标准及行业标准。招标公告有其他要求的，亦应符合其要求。</w:t>
      </w:r>
    </w:p>
    <w:p>
      <w:pPr>
        <w:ind w:firstLine="470" w:firstLineChars="196"/>
        <w:rPr>
          <w:rFonts w:ascii="宋体" w:hAnsi="宋体"/>
        </w:rPr>
      </w:pPr>
      <w:r>
        <w:rPr>
          <w:rFonts w:ascii="宋体" w:hAnsi="宋体" w:hint="eastAsia"/>
        </w:rPr>
        <w:t>7</w:t>
      </w:r>
      <w:r>
        <w:rPr>
          <w:rFonts w:ascii="宋体" w:hAnsi="宋体"/>
        </w:rPr>
        <w:t>.</w:t>
      </w:r>
      <w:r>
        <w:rPr>
          <w:rFonts w:ascii="宋体" w:hAnsi="宋体" w:hint="eastAsia"/>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hAnsi="宋体"/>
        </w:rPr>
      </w:pPr>
      <w:r>
        <w:rPr>
          <w:rFonts w:ascii="宋体" w:hAnsi="宋体" w:hint="eastAsia"/>
        </w:rPr>
        <w:t>7</w:t>
      </w:r>
      <w:r>
        <w:rPr>
          <w:rFonts w:ascii="宋体" w:hAnsi="宋体"/>
        </w:rPr>
        <w:t>.</w:t>
      </w:r>
      <w:r>
        <w:rPr>
          <w:rFonts w:ascii="宋体" w:hAnsi="宋体" w:hint="eastAsia"/>
        </w:rPr>
        <w:t>4投标人</w:t>
      </w:r>
      <w:bookmarkStart w:id="96" w:name="_Hlk72152753"/>
      <w:r>
        <w:rPr>
          <w:rFonts w:ascii="宋体" w:hAnsi="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96"/>
    </w:p>
    <w:p>
      <w:pPr>
        <w:ind w:firstLine="470" w:firstLineChars="196"/>
        <w:rPr>
          <w:rFonts w:ascii="宋体" w:hAnsi="宋体"/>
        </w:rPr>
      </w:pPr>
      <w:r>
        <w:rPr>
          <w:rFonts w:ascii="宋体" w:hAnsi="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hAnsi="宋体"/>
        </w:rPr>
      </w:pPr>
      <w:r>
        <w:rPr>
          <w:rFonts w:ascii="宋体" w:hAnsi="宋体" w:hint="eastAsia"/>
        </w:rPr>
        <w:t>7.6  工期要求：投标人在投标时对其所投项目应提交交货进度、交货计划等，在合同规定的时间内完成项目实施工作。</w:t>
      </w:r>
    </w:p>
    <w:p>
      <w:pPr>
        <w:ind w:firstLine="470" w:firstLineChars="196"/>
        <w:rPr>
          <w:rFonts w:ascii="宋体" w:hAnsi="宋体"/>
        </w:rPr>
      </w:pPr>
      <w:r>
        <w:rPr>
          <w:rFonts w:ascii="宋体" w:hAnsi="宋体" w:hint="eastAsia"/>
        </w:rPr>
        <w:t>7.7  投标人必须承担的设备运输、安装调试、验收检测和提供设备操作说明书、图纸等其他相关及类似的义务。</w:t>
      </w:r>
    </w:p>
    <w:p>
      <w:pPr>
        <w:rPr>
          <w:rFonts w:ascii="黑体" w:eastAsia="黑体" w:hAnsi="宋体"/>
        </w:rPr>
      </w:pPr>
      <w:r>
        <w:rPr>
          <w:rFonts w:ascii="黑体" w:eastAsia="黑体" w:hAnsi="宋体" w:hint="eastAsia"/>
        </w:rPr>
        <w:t>8．投标费用</w:t>
      </w:r>
    </w:p>
    <w:p>
      <w:pPr>
        <w:ind w:firstLine="470" w:firstLineChars="196"/>
        <w:rPr>
          <w:rFonts w:ascii="宋体" w:hAnsi="宋体"/>
          <w:szCs w:val="21"/>
        </w:rPr>
      </w:pPr>
      <w:r>
        <w:rPr>
          <w:rFonts w:ascii="宋体" w:hAnsi="宋体" w:hint="eastAsia"/>
          <w:szCs w:val="21"/>
        </w:rPr>
        <w:t>不论投标结果如何，投标人应承担其编制投标文件与递交投标文件所涉及的一切费用。</w:t>
      </w:r>
    </w:p>
    <w:p>
      <w:pPr>
        <w:rPr>
          <w:rFonts w:ascii="黑体" w:eastAsia="黑体" w:hAnsi="宋体"/>
        </w:rPr>
      </w:pPr>
      <w:r>
        <w:rPr>
          <w:rFonts w:ascii="黑体" w:eastAsia="黑体" w:hAnsi="宋体" w:hint="eastAsia"/>
        </w:rPr>
        <w:t>9．踏勘现场</w:t>
      </w:r>
    </w:p>
    <w:p>
      <w:pPr>
        <w:ind w:firstLine="470" w:firstLineChars="196"/>
        <w:rPr>
          <w:rFonts w:ascii="宋体" w:hAnsi="宋体"/>
          <w:szCs w:val="21"/>
        </w:rPr>
      </w:pPr>
      <w:r>
        <w:rPr>
          <w:rFonts w:ascii="宋体" w:hAnsi="宋体" w:hint="eastAsia"/>
          <w:szCs w:val="21"/>
        </w:rPr>
        <w:t>9.1如有需要（详见专用条款），采购人或</w:t>
      </w:r>
      <w:r>
        <w:rPr>
          <w:rFonts w:ascii="宋体" w:eastAsia="宋体" w:hAnsi="宋体" w:hint="eastAsia"/>
          <w:szCs w:val="21"/>
        </w:rPr>
        <w:t>招标机构</w:t>
      </w:r>
      <w:r>
        <w:rPr>
          <w:rFonts w:ascii="宋体" w:hAnsi="宋体" w:hint="eastAsia"/>
          <w:szCs w:val="21"/>
        </w:rPr>
        <w:t>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hAnsi="宋体"/>
        </w:rPr>
      </w:pPr>
      <w:r>
        <w:rPr>
          <w:rFonts w:ascii="宋体" w:hAnsi="宋体" w:hint="eastAsia"/>
        </w:rPr>
        <w:t>9.2投标人及其人员经过采购人的允许，可以进入采购人的项目现场踏勘。若招标文件要求投标人于统一时间地点踏勘现场的，投标人应当按时前往。</w:t>
      </w:r>
    </w:p>
    <w:p>
      <w:pPr>
        <w:ind w:firstLine="470" w:firstLineChars="196"/>
        <w:rPr>
          <w:rFonts w:ascii="宋体" w:hAnsi="宋体"/>
        </w:rPr>
      </w:pPr>
      <w:r>
        <w:rPr>
          <w:rFonts w:ascii="宋体" w:hAnsi="宋体" w:hint="eastAsia"/>
        </w:rPr>
        <w:t>9.3采购人应当通过</w:t>
      </w:r>
      <w:r>
        <w:rPr>
          <w:rFonts w:ascii="宋体" w:eastAsia="宋体" w:hAnsi="宋体" w:hint="eastAsia"/>
        </w:rPr>
        <w:t>招标机构</w:t>
      </w:r>
      <w:r>
        <w:rPr>
          <w:rFonts w:ascii="宋体" w:hAnsi="宋体" w:hint="eastAsia"/>
        </w:rPr>
        <w:t>向投标人提供有关现场的书面资料和数据。</w:t>
      </w:r>
    </w:p>
    <w:p>
      <w:pPr>
        <w:ind w:firstLine="470" w:firstLineChars="196"/>
        <w:rPr>
          <w:rFonts w:ascii="宋体" w:hAnsi="宋体"/>
        </w:rPr>
      </w:pPr>
      <w:r>
        <w:rPr>
          <w:rFonts w:ascii="宋体" w:hAnsi="宋体" w:hint="eastAsia"/>
        </w:rPr>
        <w:t>9.4任何人或任何组织在踏勘现场时向投标人提供的任何书面资料或口头承诺，未经</w:t>
      </w:r>
      <w:r>
        <w:rPr>
          <w:rFonts w:ascii="宋体" w:eastAsia="宋体" w:hAnsi="宋体" w:hint="eastAsia"/>
        </w:rPr>
        <w:t>招标机构</w:t>
      </w:r>
      <w:r>
        <w:rPr>
          <w:rFonts w:ascii="宋体" w:hAnsi="宋体" w:hint="eastAsia"/>
        </w:rPr>
        <w:t>在网上发布或书面通知，均作无效处理。</w:t>
      </w:r>
    </w:p>
    <w:p>
      <w:pPr>
        <w:ind w:firstLine="470" w:firstLineChars="196"/>
        <w:rPr>
          <w:rFonts w:ascii="宋体" w:hAnsi="宋体"/>
        </w:rPr>
      </w:pPr>
      <w:r>
        <w:rPr>
          <w:rFonts w:ascii="宋体" w:hAnsi="宋体"/>
          <w:szCs w:val="21"/>
        </w:rPr>
        <w:t>9</w:t>
      </w:r>
      <w:r>
        <w:rPr>
          <w:rFonts w:ascii="宋体" w:hAnsi="宋体" w:hint="eastAsia"/>
          <w:szCs w:val="21"/>
        </w:rPr>
        <w:t>.</w:t>
      </w:r>
      <w:r>
        <w:rPr>
          <w:rFonts w:ascii="宋体" w:hAnsi="宋体"/>
          <w:szCs w:val="21"/>
        </w:rPr>
        <w:t>5</w:t>
      </w:r>
      <w:r>
        <w:rPr>
          <w:rFonts w:ascii="宋体" w:hAnsi="宋体" w:hint="eastAsia"/>
          <w:szCs w:val="21"/>
        </w:rPr>
        <w:t>未参与踏勘现场不作为否定投标人资格的理由。</w:t>
      </w:r>
    </w:p>
    <w:p>
      <w:pPr>
        <w:rPr>
          <w:rFonts w:ascii="宋体" w:hAnsi="宋体"/>
          <w:szCs w:val="21"/>
        </w:rPr>
      </w:pPr>
      <w:r>
        <w:rPr>
          <w:rFonts w:ascii="黑体" w:eastAsia="黑体" w:hAnsi="宋体" w:hint="eastAsia"/>
        </w:rPr>
        <w:t>1</w:t>
      </w:r>
      <w:r>
        <w:rPr>
          <w:rFonts w:ascii="黑体" w:eastAsia="黑体" w:hAnsi="宋体"/>
        </w:rPr>
        <w:t>0</w:t>
      </w:r>
      <w:r>
        <w:rPr>
          <w:rFonts w:ascii="黑体" w:eastAsia="黑体" w:hAnsi="宋体" w:hint="eastAsia"/>
        </w:rPr>
        <w:t>．标前会议</w:t>
      </w:r>
    </w:p>
    <w:p>
      <w:pPr>
        <w:ind w:firstLine="470" w:firstLineChars="196"/>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1</w:t>
      </w:r>
      <w:r>
        <w:rPr>
          <w:rFonts w:ascii="宋体" w:hAnsi="宋体" w:hint="eastAsia"/>
          <w:szCs w:val="21"/>
        </w:rPr>
        <w:t>如采购人或</w:t>
      </w:r>
      <w:r>
        <w:rPr>
          <w:rFonts w:ascii="宋体" w:eastAsia="宋体" w:hAnsi="宋体" w:hint="eastAsia"/>
          <w:szCs w:val="21"/>
        </w:rPr>
        <w:t>招标机构</w:t>
      </w:r>
      <w:r>
        <w:rPr>
          <w:rFonts w:ascii="宋体" w:hAnsi="宋体" w:hint="eastAsia"/>
          <w:szCs w:val="21"/>
        </w:rPr>
        <w:t>认为有必要组织标前会议，投标人应按照招标文件规定的时间或</w:t>
      </w:r>
      <w:r>
        <w:rPr>
          <w:rFonts w:ascii="宋体" w:eastAsia="宋体" w:hAnsi="宋体" w:hint="eastAsia"/>
          <w:szCs w:val="21"/>
        </w:rPr>
        <w:t>招标机构</w:t>
      </w:r>
      <w:r>
        <w:rPr>
          <w:rFonts w:ascii="宋体" w:hAnsi="宋体" w:hint="eastAsia"/>
          <w:szCs w:val="21"/>
        </w:rPr>
        <w:t>另行书面通知（包括</w:t>
      </w:r>
      <w:r>
        <w:rPr>
          <w:rFonts w:ascii="宋体" w:eastAsia="宋体" w:hAnsi="宋体" w:hint="eastAsia"/>
          <w:szCs w:val="21"/>
        </w:rPr>
        <w:t>招标机构</w:t>
      </w:r>
      <w:r>
        <w:rPr>
          <w:rFonts w:ascii="宋体" w:hAnsi="宋体" w:hint="eastAsia"/>
          <w:szCs w:val="21"/>
        </w:rPr>
        <w:t>网站发布方式，如更正公告等）的时间和地点，参与标前会议。</w:t>
      </w:r>
    </w:p>
    <w:p>
      <w:pPr>
        <w:ind w:firstLine="470" w:firstLineChars="196"/>
        <w:rPr>
          <w:rFonts w:ascii="宋体" w:hAnsi="宋体"/>
          <w:szCs w:val="21"/>
        </w:rPr>
      </w:pPr>
      <w:r>
        <w:rPr>
          <w:rFonts w:ascii="宋体" w:hAnsi="宋体"/>
        </w:rPr>
        <w:t>10</w:t>
      </w:r>
      <w:r>
        <w:rPr>
          <w:rFonts w:ascii="宋体" w:hAnsi="宋体" w:hint="eastAsia"/>
        </w:rPr>
        <w:t>.</w:t>
      </w:r>
      <w:r>
        <w:rPr>
          <w:rFonts w:ascii="宋体" w:hAnsi="宋体"/>
        </w:rPr>
        <w:t>2</w:t>
      </w:r>
      <w:r>
        <w:rPr>
          <w:rFonts w:ascii="宋体" w:hAnsi="宋体" w:hint="eastAsia"/>
        </w:rPr>
        <w:t>任何人或任何组织在标前会议时向投标人提供的任何书面资料或口头承诺，未经</w:t>
      </w:r>
      <w:r>
        <w:rPr>
          <w:rFonts w:ascii="宋体" w:eastAsia="宋体" w:hAnsi="宋体" w:hint="eastAsia"/>
        </w:rPr>
        <w:t>招标机构</w:t>
      </w:r>
      <w:r>
        <w:rPr>
          <w:rFonts w:ascii="宋体" w:hAnsi="宋体" w:hint="eastAsia"/>
        </w:rPr>
        <w:t>在网上发布或书面通知，均作无效处理。</w:t>
      </w:r>
    </w:p>
    <w:p>
      <w:pPr>
        <w:ind w:firstLine="470" w:firstLineChars="196"/>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szCs w:val="21"/>
        </w:rPr>
        <w:t>3</w:t>
      </w:r>
      <w:r>
        <w:rPr>
          <w:rFonts w:ascii="宋体" w:hAnsi="宋体" w:hint="eastAsia"/>
          <w:szCs w:val="21"/>
        </w:rPr>
        <w:t>未参与标前会议不作为否定投标人资格的理由。</w:t>
      </w:r>
    </w:p>
    <w:p>
      <w:pPr>
        <w:pStyle w:val="Heading2"/>
        <w:numPr>
          <w:ilvl w:val="0"/>
          <w:numId w:val="4"/>
        </w:numPr>
        <w:spacing w:before="120" w:beforeLines="50" w:after="120" w:afterLines="50"/>
        <w:ind w:left="562" w:hanging="562"/>
        <w:rPr>
          <w:sz w:val="28"/>
          <w:szCs w:val="28"/>
        </w:rPr>
      </w:pPr>
      <w:bookmarkEnd w:id="95"/>
      <w:r>
        <w:rPr>
          <w:rFonts w:hint="eastAsia"/>
          <w:sz w:val="28"/>
          <w:szCs w:val="28"/>
        </w:rPr>
        <w:t>招标文件</w:t>
      </w:r>
    </w:p>
    <w:p>
      <w:pPr>
        <w:rPr>
          <w:rFonts w:ascii="黑体" w:eastAsia="黑体" w:hAnsi="宋体"/>
        </w:rPr>
      </w:pPr>
      <w:r>
        <w:rPr>
          <w:rFonts w:ascii="黑体" w:eastAsia="黑体" w:hAnsi="宋体" w:hint="eastAsia"/>
        </w:rPr>
        <w:t>1</w:t>
      </w:r>
      <w:r>
        <w:rPr>
          <w:rFonts w:ascii="黑体" w:eastAsia="黑体" w:hAnsi="宋体"/>
        </w:rPr>
        <w:t>1</w:t>
      </w:r>
      <w:r>
        <w:rPr>
          <w:rFonts w:ascii="黑体" w:eastAsia="黑体" w:hAnsi="宋体" w:hint="eastAsia"/>
        </w:rPr>
        <w:t>．</w:t>
      </w:r>
      <w:bookmarkStart w:id="97" w:name="_Hlk72399819"/>
      <w:r>
        <w:rPr>
          <w:rFonts w:ascii="黑体" w:eastAsia="黑体" w:hAnsi="宋体" w:hint="eastAsia"/>
        </w:rPr>
        <w:t>招标文件的编制与组成</w:t>
      </w:r>
    </w:p>
    <w:p>
      <w:pPr>
        <w:snapToGrid w:val="0"/>
        <w:ind w:firstLine="480" w:firstLineChars="200"/>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.1招标文件除以下内容外，</w:t>
      </w:r>
      <w:r>
        <w:rPr>
          <w:rFonts w:ascii="宋体" w:eastAsia="宋体" w:hAnsi="宋体" w:hint="eastAsia"/>
          <w:szCs w:val="21"/>
        </w:rPr>
        <w:t>招标机构</w:t>
      </w:r>
      <w:r>
        <w:rPr>
          <w:rFonts w:ascii="宋体" w:hAnsi="宋体" w:hint="eastAsia"/>
          <w:szCs w:val="21"/>
        </w:rPr>
        <w:t>在招标期间发出的澄清或修改等相关公告或通知内容，均是招标文件的组成部分，对投标人起约束作用；</w:t>
      </w:r>
    </w:p>
    <w:p>
      <w:pPr>
        <w:ind w:firstLine="470" w:firstLineChars="196"/>
        <w:rPr>
          <w:rFonts w:ascii="宋体" w:hAnsi="宋体"/>
          <w:szCs w:val="21"/>
        </w:rPr>
      </w:pPr>
      <w:r>
        <w:rPr>
          <w:rFonts w:ascii="宋体" w:hAnsi="宋体" w:hint="eastAsia"/>
          <w:szCs w:val="21"/>
        </w:rPr>
        <w:t>招标文件包括下列内容：</w:t>
      </w:r>
    </w:p>
    <w:p>
      <w:pPr>
        <w:ind w:left="480" w:firstLine="470" w:leftChars="200" w:firstLineChars="196"/>
        <w:rPr>
          <w:rFonts w:ascii="宋体" w:hAnsi="宋体"/>
          <w:b/>
          <w:szCs w:val="21"/>
        </w:rPr>
      </w:pPr>
      <w:r>
        <w:rPr>
          <w:rFonts w:ascii="宋体" w:hAnsi="宋体" w:hint="eastAsia"/>
          <w:b/>
          <w:szCs w:val="21"/>
        </w:rPr>
        <w:t>第一册  专用条款</w:t>
      </w:r>
    </w:p>
    <w:p>
      <w:pPr>
        <w:ind w:left="1234" w:leftChars="514"/>
        <w:rPr>
          <w:rFonts w:ascii="宋体" w:hAnsi="宋体"/>
          <w:b/>
          <w:szCs w:val="21"/>
        </w:rPr>
      </w:pPr>
      <w:r>
        <w:rPr>
          <w:rFonts w:ascii="宋体" w:hAnsi="宋体" w:hint="eastAsia"/>
          <w:b/>
          <w:szCs w:val="21"/>
        </w:rPr>
        <w:t>关键信息</w:t>
      </w:r>
    </w:p>
    <w:p>
      <w:pPr>
        <w:ind w:left="720" w:firstLine="470" w:leftChars="300" w:firstLineChars="196"/>
        <w:rPr>
          <w:rFonts w:ascii="宋体" w:hAnsi="宋体"/>
          <w:szCs w:val="21"/>
        </w:rPr>
      </w:pPr>
      <w:r>
        <w:rPr>
          <w:rFonts w:ascii="宋体" w:hAnsi="宋体" w:hint="eastAsia"/>
          <w:szCs w:val="21"/>
        </w:rPr>
        <w:t>第一章  招标公告</w:t>
      </w:r>
    </w:p>
    <w:p>
      <w:pPr>
        <w:ind w:left="720" w:firstLine="470" w:leftChars="300" w:firstLineChars="196"/>
        <w:rPr>
          <w:rFonts w:ascii="宋体" w:hAnsi="宋体"/>
          <w:szCs w:val="21"/>
        </w:rPr>
      </w:pPr>
      <w:r>
        <w:rPr>
          <w:rFonts w:ascii="宋体" w:hAnsi="宋体" w:hint="eastAsia"/>
          <w:szCs w:val="21"/>
        </w:rPr>
        <w:t>第二章  对通用条款的补充内容及其他关键信息</w:t>
      </w:r>
    </w:p>
    <w:p>
      <w:pPr>
        <w:ind w:left="720" w:firstLine="470" w:leftChars="300" w:firstLineChars="196"/>
        <w:rPr>
          <w:rFonts w:ascii="宋体" w:hAnsi="宋体"/>
          <w:szCs w:val="21"/>
        </w:rPr>
      </w:pPr>
      <w:r>
        <w:rPr>
          <w:rFonts w:ascii="宋体" w:hAnsi="宋体" w:hint="eastAsia"/>
          <w:szCs w:val="21"/>
        </w:rPr>
        <w:t>第三章  用户需求书</w:t>
      </w:r>
    </w:p>
    <w:p>
      <w:pPr>
        <w:ind w:left="720" w:firstLine="470" w:leftChars="300" w:firstLineChars="196"/>
        <w:rPr>
          <w:rFonts w:ascii="宋体" w:hAnsi="宋体"/>
          <w:szCs w:val="21"/>
        </w:rPr>
      </w:pPr>
      <w:r>
        <w:rPr>
          <w:rFonts w:hint="eastAsia"/>
        </w:rPr>
        <w:t xml:space="preserve">第四章 </w:t>
      </w:r>
      <w:r>
        <w:rPr>
          <w:rFonts w:eastAsia="宋体" w:hint="eastAsia"/>
        </w:rPr>
        <w:t xml:space="preserve">   </w:t>
      </w:r>
      <w:r>
        <w:rPr>
          <w:rFonts w:hint="eastAsia"/>
        </w:rPr>
        <w:t>投标文件格式及附件</w:t>
      </w:r>
    </w:p>
    <w:p>
      <w:pPr>
        <w:ind w:left="720" w:firstLine="470" w:leftChars="300" w:firstLineChars="196"/>
        <w:rPr>
          <w:rFonts w:ascii="宋体" w:hAnsi="宋体"/>
          <w:color w:val="4F81BD" w:themeColor="accent1"/>
          <w:szCs w:val="21"/>
        </w:rPr>
      </w:pPr>
      <w:r>
        <w:rPr>
          <w:rFonts w:ascii="宋体" w:hAnsi="宋体" w:hint="eastAsia"/>
          <w:szCs w:val="21"/>
        </w:rPr>
        <w:t>第五章</w:t>
      </w:r>
      <w:r>
        <w:rPr>
          <w:rFonts w:ascii="宋体" w:hAnsi="宋体" w:hint="eastAsia"/>
          <w:color w:val="FF0000"/>
          <w:szCs w:val="21"/>
        </w:rPr>
        <w:t xml:space="preserve"> </w:t>
      </w:r>
      <w:r>
        <w:rPr>
          <w:rFonts w:ascii="宋体" w:hAnsi="宋体" w:hint="eastAsia"/>
          <w:color w:val="4F81BD" w:themeColor="accent1"/>
          <w:szCs w:val="21"/>
        </w:rPr>
        <w:t xml:space="preserve"> 合同</w:t>
      </w:r>
      <w:r>
        <w:rPr>
          <w:rFonts w:ascii="宋体" w:eastAsia="宋体" w:hAnsi="宋体" w:hint="eastAsia"/>
          <w:color w:val="4F81BD" w:themeColor="accent1"/>
          <w:szCs w:val="21"/>
        </w:rPr>
        <w:t>及履约情况反馈</w:t>
      </w:r>
      <w:r>
        <w:rPr>
          <w:rFonts w:ascii="宋体" w:hAnsi="宋体" w:hint="eastAsia"/>
          <w:color w:val="4F81BD" w:themeColor="accent1"/>
          <w:szCs w:val="21"/>
        </w:rPr>
        <w:t>格式</w:t>
      </w:r>
    </w:p>
    <w:p>
      <w:pPr>
        <w:ind w:left="480" w:firstLine="470" w:leftChars="200" w:firstLineChars="196"/>
        <w:rPr>
          <w:rFonts w:ascii="宋体" w:hAnsi="宋体"/>
          <w:b/>
          <w:szCs w:val="21"/>
        </w:rPr>
      </w:pPr>
      <w:r>
        <w:rPr>
          <w:rFonts w:ascii="宋体" w:hAnsi="宋体" w:hint="eastAsia"/>
          <w:b/>
          <w:szCs w:val="21"/>
        </w:rPr>
        <w:t>第二册  通用条款</w:t>
      </w:r>
    </w:p>
    <w:p>
      <w:pPr>
        <w:ind w:left="720" w:firstLine="470" w:leftChars="300" w:firstLineChars="196"/>
        <w:rPr>
          <w:rFonts w:ascii="宋体" w:hAnsi="宋体"/>
          <w:szCs w:val="21"/>
        </w:rPr>
      </w:pPr>
      <w:r>
        <w:rPr>
          <w:rFonts w:ascii="宋体" w:hAnsi="宋体" w:hint="eastAsia"/>
          <w:szCs w:val="21"/>
        </w:rPr>
        <w:t>第一章  总则</w:t>
      </w:r>
    </w:p>
    <w:p>
      <w:pPr>
        <w:ind w:left="720" w:firstLine="470" w:leftChars="300" w:firstLineChars="196"/>
        <w:rPr>
          <w:rFonts w:ascii="宋体" w:hAnsi="宋体"/>
          <w:szCs w:val="21"/>
        </w:rPr>
      </w:pPr>
      <w:r>
        <w:rPr>
          <w:rFonts w:ascii="宋体" w:hAnsi="宋体" w:hint="eastAsia"/>
          <w:szCs w:val="21"/>
        </w:rPr>
        <w:t>第二章  招标文件</w:t>
      </w:r>
    </w:p>
    <w:p>
      <w:pPr>
        <w:ind w:left="720" w:firstLine="470" w:leftChars="300" w:firstLineChars="196"/>
        <w:rPr>
          <w:rFonts w:ascii="宋体" w:hAnsi="宋体"/>
          <w:szCs w:val="21"/>
        </w:rPr>
      </w:pPr>
      <w:r>
        <w:rPr>
          <w:rFonts w:ascii="宋体" w:hAnsi="宋体" w:hint="eastAsia"/>
          <w:szCs w:val="21"/>
        </w:rPr>
        <w:t>第三章  投标文件的编制</w:t>
      </w:r>
    </w:p>
    <w:p>
      <w:pPr>
        <w:ind w:left="720" w:firstLine="470" w:leftChars="300" w:firstLineChars="196"/>
        <w:rPr>
          <w:rFonts w:ascii="宋体" w:hAnsi="宋体"/>
          <w:szCs w:val="21"/>
        </w:rPr>
      </w:pPr>
      <w:r>
        <w:rPr>
          <w:rFonts w:ascii="宋体" w:hAnsi="宋体" w:hint="eastAsia"/>
          <w:szCs w:val="21"/>
        </w:rPr>
        <w:t>第四章  投标文件的递交</w:t>
      </w:r>
    </w:p>
    <w:p>
      <w:pPr>
        <w:ind w:left="720" w:firstLine="470" w:leftChars="300" w:firstLineChars="196"/>
        <w:rPr>
          <w:rFonts w:ascii="宋体" w:hAnsi="宋体"/>
          <w:szCs w:val="21"/>
        </w:rPr>
      </w:pPr>
      <w:r>
        <w:rPr>
          <w:rFonts w:ascii="宋体" w:hAnsi="宋体" w:hint="eastAsia"/>
          <w:szCs w:val="21"/>
        </w:rPr>
        <w:t>第五章  开标</w:t>
      </w:r>
    </w:p>
    <w:p>
      <w:pPr>
        <w:ind w:left="720" w:firstLine="470" w:leftChars="300" w:firstLineChars="196"/>
        <w:rPr>
          <w:rFonts w:ascii="宋体" w:hAnsi="宋体"/>
          <w:szCs w:val="21"/>
        </w:rPr>
      </w:pPr>
      <w:r>
        <w:rPr>
          <w:rFonts w:ascii="宋体" w:hAnsi="宋体" w:hint="eastAsia"/>
          <w:szCs w:val="21"/>
        </w:rPr>
        <w:t>第六章  评审要求</w:t>
      </w:r>
    </w:p>
    <w:p>
      <w:pPr>
        <w:ind w:left="720" w:firstLine="470" w:leftChars="300" w:firstLineChars="196"/>
        <w:rPr>
          <w:rFonts w:ascii="宋体" w:hAnsi="宋体"/>
          <w:szCs w:val="21"/>
        </w:rPr>
      </w:pPr>
      <w:r>
        <w:rPr>
          <w:rFonts w:ascii="宋体" w:hAnsi="宋体" w:hint="eastAsia"/>
          <w:szCs w:val="21"/>
        </w:rPr>
        <w:t>第七章  评审程序及评审方法</w:t>
      </w:r>
    </w:p>
    <w:p>
      <w:pPr>
        <w:ind w:left="720" w:firstLine="470" w:leftChars="300" w:firstLineChars="196"/>
        <w:rPr>
          <w:rFonts w:ascii="宋体" w:hAnsi="宋体"/>
          <w:szCs w:val="21"/>
        </w:rPr>
      </w:pPr>
      <w:r>
        <w:rPr>
          <w:rFonts w:ascii="宋体" w:hAnsi="宋体" w:hint="eastAsia"/>
          <w:szCs w:val="21"/>
        </w:rPr>
        <w:t>第八章  定标及公示</w:t>
      </w:r>
    </w:p>
    <w:p>
      <w:pPr>
        <w:ind w:left="720" w:firstLine="470" w:leftChars="300" w:firstLineChars="196"/>
        <w:rPr>
          <w:rFonts w:ascii="宋体" w:hAnsi="宋体"/>
          <w:szCs w:val="21"/>
        </w:rPr>
      </w:pPr>
      <w:r>
        <w:rPr>
          <w:rFonts w:ascii="宋体" w:hAnsi="宋体" w:hint="eastAsia"/>
          <w:szCs w:val="21"/>
        </w:rPr>
        <w:t>第九章  公开招标失败的后续处理</w:t>
      </w:r>
    </w:p>
    <w:p>
      <w:pPr>
        <w:ind w:left="720" w:firstLine="470" w:leftChars="300" w:firstLineChars="196"/>
        <w:rPr>
          <w:rFonts w:ascii="宋体" w:hAnsi="宋体"/>
          <w:szCs w:val="21"/>
        </w:rPr>
      </w:pPr>
      <w:r>
        <w:rPr>
          <w:rFonts w:ascii="宋体" w:hAnsi="宋体" w:hint="eastAsia"/>
          <w:szCs w:val="21"/>
        </w:rPr>
        <w:t>第十章  合同的授予与备案</w:t>
      </w:r>
    </w:p>
    <w:p>
      <w:pPr>
        <w:ind w:left="720" w:firstLine="470" w:leftChars="300" w:firstLineChars="196"/>
        <w:rPr>
          <w:rFonts w:ascii="宋体" w:hAnsi="宋体"/>
          <w:szCs w:val="21"/>
        </w:rPr>
      </w:pPr>
      <w:r>
        <w:rPr>
          <w:rFonts w:ascii="宋体" w:hAnsi="宋体" w:hint="eastAsia"/>
          <w:szCs w:val="21"/>
        </w:rPr>
        <w:t>第十一章  质疑处理</w:t>
      </w:r>
    </w:p>
    <w:p>
      <w:pPr>
        <w:ind w:firstLine="470" w:firstLineChars="196"/>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.2 投标人下载招标文件后，应仔细检查招标文件的所有内容，如有疑问应在答疑截止时间之前向</w:t>
      </w:r>
      <w:r>
        <w:rPr>
          <w:rFonts w:ascii="宋体" w:eastAsia="宋体" w:hAnsi="宋体" w:hint="eastAsia"/>
          <w:szCs w:val="21"/>
        </w:rPr>
        <w:t>招标机构</w:t>
      </w:r>
      <w:r>
        <w:rPr>
          <w:rFonts w:ascii="宋体" w:hAnsi="宋体" w:hint="eastAsia"/>
          <w:szCs w:val="21"/>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.3</w:t>
      </w:r>
      <w:r>
        <w:rPr>
          <w:rFonts w:ascii="宋体" w:hAnsi="宋体" w:hint="eastAsia"/>
        </w:rPr>
        <w:t>任何人或任何组织向投标人提交的任何书面或口头资料，未经</w:t>
      </w:r>
      <w:r>
        <w:rPr>
          <w:rFonts w:ascii="宋体" w:eastAsia="宋体" w:hAnsi="宋体" w:hint="eastAsia"/>
        </w:rPr>
        <w:t>招标机构</w:t>
      </w:r>
      <w:r>
        <w:rPr>
          <w:rFonts w:ascii="宋体" w:hAnsi="宋体" w:hint="eastAsia"/>
        </w:rPr>
        <w:t>在网上发布或书面通知，均作无效处理，不得作为招标文件的组成部分。</w:t>
      </w:r>
      <w:r>
        <w:rPr>
          <w:rFonts w:ascii="宋体" w:eastAsia="宋体" w:hAnsi="宋体" w:hint="eastAsia"/>
        </w:rPr>
        <w:t>招标机构</w:t>
      </w:r>
      <w:r>
        <w:rPr>
          <w:rFonts w:ascii="宋体" w:hAnsi="宋体" w:hint="eastAsia"/>
        </w:rPr>
        <w:t>对投标人由此而做出的推论、理解和结论概不负责。</w:t>
      </w:r>
    </w:p>
    <w:p>
      <w:pPr>
        <w:rPr>
          <w:rFonts w:ascii="黑体" w:eastAsia="黑体" w:hAnsi="宋体"/>
        </w:rPr>
      </w:pPr>
      <w:r>
        <w:rPr>
          <w:rFonts w:ascii="黑体" w:eastAsia="黑体" w:hAnsi="宋体" w:hint="eastAsia"/>
        </w:rPr>
        <w:t>1</w:t>
      </w:r>
      <w:r>
        <w:rPr>
          <w:rFonts w:ascii="黑体" w:eastAsia="黑体" w:hAnsi="宋体"/>
        </w:rPr>
        <w:t>2</w:t>
      </w:r>
      <w:r>
        <w:rPr>
          <w:rFonts w:ascii="黑体" w:eastAsia="黑体" w:hAnsi="宋体" w:hint="eastAsia"/>
        </w:rPr>
        <w:t>．招标文件的澄清</w:t>
      </w:r>
    </w:p>
    <w:p>
      <w:pPr>
        <w:ind w:firstLine="470" w:firstLineChars="196"/>
        <w:rPr>
          <w:rFonts w:ascii="宋体" w:hAnsi="宋体"/>
          <w:szCs w:val="21"/>
        </w:rPr>
      </w:pPr>
      <w:r>
        <w:rPr>
          <w:rFonts w:ascii="宋体" w:hAnsi="宋体" w:hint="eastAsia"/>
          <w:szCs w:val="21"/>
        </w:rPr>
        <w:t>1</w:t>
      </w:r>
      <w:r>
        <w:rPr>
          <w:rFonts w:ascii="宋体" w:hAnsi="宋体"/>
          <w:szCs w:val="21"/>
        </w:rPr>
        <w:t>2</w:t>
      </w:r>
      <w:r>
        <w:rPr>
          <w:rFonts w:ascii="宋体" w:hAnsi="宋体" w:hint="eastAsia"/>
          <w:szCs w:val="21"/>
        </w:rPr>
        <w:t>.1招标文件澄清的目的是澄清、解答投标人在查阅招标文件后或现场踏勘中可能提出的与投标有关的疑问或询问。</w:t>
      </w:r>
    </w:p>
    <w:p>
      <w:pPr>
        <w:ind w:firstLine="470" w:firstLineChars="196"/>
        <w:rPr>
          <w:rFonts w:ascii="宋体" w:hAnsi="宋体"/>
          <w:szCs w:val="21"/>
        </w:rPr>
      </w:pPr>
      <w:r>
        <w:rPr>
          <w:rFonts w:ascii="宋体" w:hAnsi="宋体" w:hint="eastAsia"/>
          <w:szCs w:val="21"/>
        </w:rPr>
        <w:t>1</w:t>
      </w:r>
      <w:r>
        <w:rPr>
          <w:rFonts w:ascii="宋体" w:hAnsi="宋体"/>
          <w:szCs w:val="21"/>
        </w:rPr>
        <w:t>2</w:t>
      </w:r>
      <w:r>
        <w:rPr>
          <w:rFonts w:ascii="宋体" w:hAnsi="宋体" w:hint="eastAsia"/>
          <w:szCs w:val="21"/>
        </w:rPr>
        <w:t>.2投标人如对招标文件内容有疑问，应当在招标公告规定的澄清（提问）截止时间前以网上提问的形式通过网上政府采购系统提交</w:t>
      </w:r>
      <w:r>
        <w:rPr>
          <w:rFonts w:ascii="宋体" w:eastAsia="宋体" w:hAnsi="宋体" w:hint="eastAsia"/>
          <w:szCs w:val="21"/>
        </w:rPr>
        <w:t>招标机构</w:t>
      </w:r>
      <w:r>
        <w:rPr>
          <w:rFonts w:ascii="宋体" w:hAnsi="宋体" w:hint="eastAsia"/>
          <w:szCs w:val="21"/>
        </w:rPr>
        <w:t>。</w:t>
      </w:r>
    </w:p>
    <w:p>
      <w:pPr>
        <w:ind w:firstLine="470" w:firstLineChars="196"/>
        <w:rPr>
          <w:rFonts w:ascii="宋体" w:hAnsi="宋体"/>
          <w:szCs w:val="21"/>
        </w:rPr>
      </w:pPr>
      <w:r>
        <w:rPr>
          <w:rFonts w:ascii="宋体" w:hAnsi="宋体" w:hint="eastAsia"/>
          <w:szCs w:val="21"/>
        </w:rPr>
        <w:t>1</w:t>
      </w:r>
      <w:r>
        <w:rPr>
          <w:rFonts w:ascii="宋体" w:hAnsi="宋体"/>
          <w:szCs w:val="21"/>
        </w:rPr>
        <w:t>2</w:t>
      </w:r>
      <w:r>
        <w:rPr>
          <w:rFonts w:ascii="宋体" w:hAnsi="宋体" w:hint="eastAsia"/>
          <w:szCs w:val="21"/>
        </w:rPr>
        <w:t>.3不论是</w:t>
      </w:r>
      <w:r>
        <w:rPr>
          <w:rFonts w:ascii="宋体" w:eastAsia="宋体" w:hAnsi="宋体" w:hint="eastAsia"/>
          <w:szCs w:val="21"/>
        </w:rPr>
        <w:t>招标机构</w:t>
      </w:r>
      <w:r>
        <w:rPr>
          <w:rFonts w:ascii="宋体" w:hAnsi="宋体" w:hint="eastAsia"/>
          <w:szCs w:val="21"/>
        </w:rPr>
        <w:t>根据需要主动对招标文件进行必要的澄清或是根据投标人的要求对招标文件做出澄清，</w:t>
      </w:r>
      <w:r>
        <w:rPr>
          <w:rFonts w:ascii="宋体" w:eastAsia="宋体" w:hAnsi="宋体" w:hint="eastAsia"/>
          <w:szCs w:val="21"/>
        </w:rPr>
        <w:t>招标机构</w:t>
      </w:r>
      <w:r>
        <w:rPr>
          <w:rFonts w:ascii="宋体" w:hAnsi="宋体" w:hint="eastAsia"/>
          <w:szCs w:val="21"/>
        </w:rPr>
        <w:t>都将在投标截止日期前以书面形式（包括</w:t>
      </w:r>
      <w:r>
        <w:rPr>
          <w:rFonts w:ascii="宋体" w:eastAsia="宋体" w:hAnsi="宋体" w:hint="eastAsia"/>
          <w:szCs w:val="21"/>
        </w:rPr>
        <w:t>招标机构</w:t>
      </w:r>
      <w:r>
        <w:rPr>
          <w:rFonts w:ascii="宋体" w:hAnsi="宋体" w:hint="eastAsia"/>
          <w:szCs w:val="21"/>
        </w:rPr>
        <w:t>网站发布方式）答复或发送给所有投标人。答复内容是招标文件的组成部分，对投标人起约束作用，其有效性按照本通用条款第1</w:t>
      </w:r>
      <w:r>
        <w:rPr>
          <w:rFonts w:ascii="宋体" w:hAnsi="宋体"/>
          <w:szCs w:val="21"/>
        </w:rPr>
        <w:t>3.3</w:t>
      </w:r>
      <w:r>
        <w:rPr>
          <w:rFonts w:ascii="宋体" w:hAnsi="宋体" w:hint="eastAsia"/>
          <w:szCs w:val="21"/>
        </w:rPr>
        <w:t>、1</w:t>
      </w:r>
      <w:r>
        <w:rPr>
          <w:rFonts w:ascii="宋体" w:hAnsi="宋体"/>
          <w:szCs w:val="21"/>
        </w:rPr>
        <w:t>3.4</w:t>
      </w:r>
      <w:r>
        <w:rPr>
          <w:rFonts w:ascii="宋体" w:hAnsi="宋体" w:hint="eastAsia"/>
          <w:szCs w:val="21"/>
        </w:rPr>
        <w:t>款规定执行。</w:t>
      </w:r>
    </w:p>
    <w:p>
      <w:pPr>
        <w:rPr>
          <w:rFonts w:ascii="黑体" w:eastAsia="黑体" w:hAnsi="宋体"/>
        </w:rPr>
      </w:pPr>
      <w:r>
        <w:rPr>
          <w:rFonts w:ascii="黑体" w:eastAsia="黑体" w:hAnsi="宋体"/>
        </w:rPr>
        <w:t>1</w:t>
      </w:r>
      <w:r>
        <w:rPr>
          <w:rFonts w:ascii="黑体" w:eastAsia="黑体" w:hAnsi="宋体" w:hint="eastAsia"/>
        </w:rPr>
        <w:t>3．招标文件的修改</w:t>
      </w:r>
    </w:p>
    <w:p>
      <w:pPr>
        <w:ind w:firstLine="470" w:firstLineChars="196"/>
        <w:rPr>
          <w:rFonts w:ascii="宋体" w:hAnsi="宋体"/>
          <w:szCs w:val="21"/>
        </w:rPr>
      </w:pPr>
      <w:r>
        <w:rPr>
          <w:rFonts w:ascii="宋体" w:hAnsi="宋体"/>
          <w:szCs w:val="21"/>
        </w:rPr>
        <w:t>1</w:t>
      </w:r>
      <w:r>
        <w:rPr>
          <w:rFonts w:ascii="宋体" w:hAnsi="宋体" w:hint="eastAsia"/>
          <w:szCs w:val="21"/>
        </w:rPr>
        <w:t>3.1招标文件发出后，在投标截止日期前任何时候，确需要变更招标文件内容的，</w:t>
      </w:r>
      <w:r>
        <w:rPr>
          <w:rFonts w:ascii="宋体" w:eastAsia="宋体" w:hAnsi="宋体" w:hint="eastAsia"/>
          <w:szCs w:val="21"/>
        </w:rPr>
        <w:t>招标机构</w:t>
      </w:r>
      <w:r>
        <w:rPr>
          <w:rFonts w:ascii="宋体" w:hAnsi="宋体" w:hint="eastAsia"/>
          <w:szCs w:val="21"/>
        </w:rPr>
        <w:t>可主动或在解答投标人提出的澄清问题时对招标文件进行修改。</w:t>
      </w:r>
    </w:p>
    <w:p>
      <w:pPr>
        <w:ind w:firstLine="470" w:firstLineChars="196"/>
        <w:rPr>
          <w:rFonts w:ascii="宋体" w:hAnsi="宋体"/>
          <w:szCs w:val="21"/>
        </w:rPr>
      </w:pPr>
      <w:r>
        <w:rPr>
          <w:rFonts w:ascii="宋体" w:hAnsi="宋体"/>
          <w:szCs w:val="21"/>
        </w:rPr>
        <w:t>1</w:t>
      </w:r>
      <w:r>
        <w:rPr>
          <w:rFonts w:ascii="宋体" w:hAnsi="宋体" w:hint="eastAsia"/>
          <w:szCs w:val="21"/>
        </w:rPr>
        <w:t>3.2招标文件的修改以书面形式（包括</w:t>
      </w:r>
      <w:r>
        <w:rPr>
          <w:rFonts w:ascii="宋体" w:eastAsia="宋体" w:hAnsi="宋体" w:hint="eastAsia"/>
          <w:szCs w:val="21"/>
        </w:rPr>
        <w:t>招标机构</w:t>
      </w:r>
      <w:r>
        <w:rPr>
          <w:rFonts w:ascii="宋体" w:hAnsi="宋体" w:hint="eastAsia"/>
          <w:szCs w:val="21"/>
        </w:rPr>
        <w:t>网站发布方式，如更正公告等）发送给所有投标人，招标文件的修改内容作为招标文件的组成部分，并具有约束力。</w:t>
      </w:r>
    </w:p>
    <w:p>
      <w:pPr>
        <w:ind w:firstLine="470" w:firstLineChars="196"/>
        <w:rPr>
          <w:rFonts w:ascii="宋体" w:hAnsi="宋体"/>
          <w:szCs w:val="21"/>
        </w:rPr>
      </w:pPr>
      <w:r>
        <w:rPr>
          <w:rFonts w:ascii="宋体" w:hAnsi="宋体"/>
          <w:szCs w:val="21"/>
        </w:rPr>
        <w:t>1</w:t>
      </w:r>
      <w:r>
        <w:rPr>
          <w:rFonts w:ascii="宋体" w:hAnsi="宋体" w:hint="eastAsia"/>
          <w:szCs w:val="21"/>
        </w:rPr>
        <w:t>3.3招标文件、招标文件澄清答复内容、招标文件修改补充内容均以书面形式（包括</w:t>
      </w:r>
      <w:r>
        <w:rPr>
          <w:rFonts w:ascii="宋体" w:eastAsia="宋体" w:hAnsi="宋体" w:hint="eastAsia"/>
          <w:szCs w:val="21"/>
        </w:rPr>
        <w:t>招标机构</w:t>
      </w:r>
      <w:r>
        <w:rPr>
          <w:rFonts w:ascii="宋体" w:hAnsi="宋体" w:hint="eastAsia"/>
          <w:szCs w:val="21"/>
        </w:rPr>
        <w:t>网站公开发布方式，如更正公告等）明确的内容为准。当招标文件、修改补充通知、招标文件澄清答复内容相互矛盾时，以最后发出的内容为准。</w:t>
      </w:r>
    </w:p>
    <w:p>
      <w:pPr>
        <w:ind w:firstLine="470" w:firstLineChars="196"/>
        <w:rPr>
          <w:rFonts w:ascii="宋体" w:hAnsi="宋体"/>
          <w:szCs w:val="21"/>
        </w:rPr>
      </w:pPr>
      <w:r>
        <w:rPr>
          <w:rFonts w:ascii="宋体" w:hAnsi="宋体"/>
          <w:szCs w:val="21"/>
        </w:rPr>
        <w:t>1</w:t>
      </w:r>
      <w:r>
        <w:rPr>
          <w:rFonts w:ascii="宋体" w:hAnsi="宋体" w:hint="eastAsia"/>
          <w:szCs w:val="21"/>
        </w:rPr>
        <w:t>3.4</w:t>
      </w:r>
      <w:r>
        <w:rPr>
          <w:rFonts w:ascii="宋体" w:eastAsia="宋体" w:hAnsi="宋体" w:hint="eastAsia"/>
          <w:szCs w:val="21"/>
        </w:rPr>
        <w:t>招标机构</w:t>
      </w:r>
      <w:r>
        <w:rPr>
          <w:rFonts w:ascii="宋体" w:hAnsi="宋体" w:hint="eastAsia"/>
          <w:szCs w:val="21"/>
        </w:rPr>
        <w:t>保证招标文件澄清答复内容和招标文件修改补充内容在投标截止时间前以书面形式（包括</w:t>
      </w:r>
      <w:r>
        <w:rPr>
          <w:rFonts w:ascii="宋体" w:eastAsia="宋体" w:hAnsi="宋体" w:hint="eastAsia"/>
          <w:szCs w:val="21"/>
        </w:rPr>
        <w:t>招标机构</w:t>
      </w:r>
      <w:r>
        <w:rPr>
          <w:rFonts w:ascii="宋体" w:hAnsi="宋体" w:hint="eastAsia"/>
          <w:szCs w:val="21"/>
        </w:rPr>
        <w:t>网站发布方式，如更正公告等）发送给所有投标人。为使投标人在编制投标文件时有充分时间对招标文件的修改部分进行研究，</w:t>
      </w:r>
      <w:r>
        <w:rPr>
          <w:rFonts w:ascii="宋体" w:eastAsia="宋体" w:hAnsi="宋体" w:hint="eastAsia"/>
          <w:szCs w:val="21"/>
        </w:rPr>
        <w:t>招标机构</w:t>
      </w:r>
      <w:r>
        <w:rPr>
          <w:rFonts w:ascii="宋体" w:hAnsi="宋体" w:hint="eastAsia"/>
          <w:szCs w:val="21"/>
        </w:rPr>
        <w:t>可以酌情延长递交投标文件的截止日期。</w:t>
      </w:r>
      <w:bookmarkEnd w:id="97"/>
    </w:p>
    <w:p>
      <w:pPr>
        <w:pStyle w:val="Heading2"/>
        <w:numPr>
          <w:ilvl w:val="0"/>
          <w:numId w:val="4"/>
        </w:numPr>
        <w:spacing w:before="120" w:beforeLines="50" w:after="120" w:afterLines="50"/>
        <w:ind w:left="562" w:hanging="562"/>
        <w:rPr>
          <w:sz w:val="28"/>
          <w:szCs w:val="28"/>
        </w:rPr>
      </w:pPr>
      <w:r>
        <w:rPr>
          <w:rFonts w:hint="eastAsia"/>
          <w:sz w:val="28"/>
          <w:szCs w:val="28"/>
        </w:rPr>
        <w:t>投标文件的编制</w:t>
      </w:r>
    </w:p>
    <w:p>
      <w:pPr>
        <w:rPr>
          <w:rFonts w:ascii="黑体" w:eastAsia="黑体" w:hAnsi="宋体"/>
        </w:rPr>
      </w:pPr>
      <w:r>
        <w:rPr>
          <w:rFonts w:ascii="黑体" w:eastAsia="黑体" w:hAnsi="宋体" w:hint="eastAsia"/>
        </w:rPr>
        <w:t>14．</w:t>
      </w:r>
      <w:bookmarkStart w:id="98" w:name="_Hlk72400236"/>
      <w:r>
        <w:rPr>
          <w:rFonts w:ascii="黑体" w:eastAsia="黑体" w:hAnsi="宋体" w:hint="eastAsia"/>
        </w:rPr>
        <w:t>投标文件的语言及度量单位</w:t>
      </w:r>
    </w:p>
    <w:p>
      <w:pPr>
        <w:ind w:firstLine="470" w:firstLineChars="196"/>
        <w:rPr>
          <w:rFonts w:ascii="宋体" w:hAnsi="宋体"/>
          <w:szCs w:val="21"/>
        </w:rPr>
      </w:pPr>
      <w:r>
        <w:rPr>
          <w:rFonts w:ascii="宋体" w:hAnsi="宋体" w:hint="eastAsia"/>
          <w:szCs w:val="21"/>
        </w:rPr>
        <w:t>14.1 投标人与</w:t>
      </w:r>
      <w:r>
        <w:rPr>
          <w:rFonts w:ascii="宋体" w:eastAsia="宋体" w:hAnsi="宋体" w:hint="eastAsia"/>
          <w:szCs w:val="21"/>
        </w:rPr>
        <w:t>招标机构</w:t>
      </w:r>
      <w:r>
        <w:rPr>
          <w:rFonts w:ascii="宋体" w:hAnsi="宋体" w:hint="eastAsia"/>
          <w:szCs w:val="21"/>
        </w:rPr>
        <w:t>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hAnsi="宋体"/>
          <w:szCs w:val="21"/>
        </w:rPr>
      </w:pPr>
      <w:r>
        <w:rPr>
          <w:rFonts w:ascii="宋体" w:hAnsi="宋体" w:hint="eastAsia"/>
          <w:szCs w:val="21"/>
        </w:rPr>
        <w:t>14.2 除技术规范另有规定外，投标文件使用的度量单位，均采用中华人民共和国法定计量单位。</w:t>
      </w:r>
    </w:p>
    <w:p>
      <w:pPr>
        <w:rPr>
          <w:rFonts w:ascii="黑体" w:eastAsia="黑体" w:hAnsi="宋体"/>
        </w:rPr>
      </w:pPr>
      <w:bookmarkEnd w:id="98"/>
      <w:r>
        <w:rPr>
          <w:rFonts w:ascii="黑体" w:eastAsia="黑体" w:hAnsi="宋体" w:hint="eastAsia"/>
        </w:rPr>
        <w:t>15．</w:t>
      </w:r>
      <w:bookmarkStart w:id="99" w:name="_Hlk72401567"/>
      <w:r>
        <w:rPr>
          <w:rFonts w:ascii="黑体" w:eastAsia="黑体" w:hAnsi="宋体" w:hint="eastAsia"/>
        </w:rPr>
        <w:t>投标文件的组成</w:t>
      </w:r>
    </w:p>
    <w:p>
      <w:pPr>
        <w:ind w:firstLine="470" w:firstLineChars="196"/>
        <w:rPr>
          <w:rFonts w:ascii="宋体" w:hAnsi="宋体"/>
          <w:szCs w:val="21"/>
        </w:rPr>
      </w:pPr>
      <w:r>
        <w:rPr>
          <w:rFonts w:ascii="宋体" w:hAnsi="宋体" w:hint="eastAsia"/>
          <w:szCs w:val="21"/>
        </w:rPr>
        <w:t>具体内容在招标文件专用条款中进行规定。</w:t>
      </w:r>
    </w:p>
    <w:p>
      <w:pPr>
        <w:rPr>
          <w:rFonts w:ascii="黑体" w:eastAsia="黑体" w:hAnsi="宋体"/>
        </w:rPr>
      </w:pPr>
      <w:r>
        <w:rPr>
          <w:rFonts w:ascii="黑体" w:eastAsia="黑体" w:hAnsi="宋体"/>
        </w:rPr>
        <w:t>16．投标文件格式</w:t>
      </w:r>
    </w:p>
    <w:p>
      <w:pPr>
        <w:ind w:firstLine="470" w:firstLineChars="196"/>
        <w:rPr>
          <w:rFonts w:ascii="宋体" w:hAnsi="宋体"/>
          <w:szCs w:val="21"/>
        </w:rPr>
      </w:pPr>
      <w:r>
        <w:rPr>
          <w:rFonts w:ascii="宋体" w:hAnsi="宋体" w:hint="eastAsia"/>
          <w:szCs w:val="21"/>
        </w:rPr>
        <w:t>投标文件包括本通用条款第</w:t>
      </w:r>
      <w:r>
        <w:rPr>
          <w:rFonts w:ascii="宋体" w:hAnsi="宋体"/>
          <w:szCs w:val="21"/>
        </w:rPr>
        <w:t>15条中规定的内容。如招标文件提供了投标文件格式，则</w:t>
      </w:r>
      <w:r>
        <w:rPr>
          <w:rFonts w:ascii="宋体" w:hAnsi="宋体" w:hint="eastAsia"/>
          <w:b/>
          <w:bCs/>
          <w:szCs w:val="21"/>
        </w:rPr>
        <w:t>投标人提交的投标文件应毫无例外地使用招标文件所提供的相应格式</w:t>
      </w:r>
      <w:r>
        <w:rPr>
          <w:rFonts w:ascii="宋体" w:hAnsi="宋体" w:hint="eastAsia"/>
          <w:szCs w:val="21"/>
        </w:rPr>
        <w:t>（表格均可按同样格式扩展）。</w:t>
      </w:r>
    </w:p>
    <w:p>
      <w:pPr>
        <w:rPr>
          <w:rFonts w:ascii="黑体" w:eastAsia="黑体" w:hAnsi="宋体"/>
        </w:rPr>
      </w:pPr>
      <w:r>
        <w:rPr>
          <w:rFonts w:ascii="黑体" w:eastAsia="黑体" w:hAnsi="宋体" w:hint="eastAsia"/>
        </w:rPr>
        <w:t>17．投标货币</w:t>
      </w:r>
    </w:p>
    <w:p>
      <w:pPr>
        <w:ind w:firstLine="470" w:firstLineChars="196"/>
        <w:rPr>
          <w:rFonts w:ascii="宋体" w:hAnsi="宋体"/>
          <w:szCs w:val="21"/>
        </w:rPr>
      </w:pPr>
      <w:r>
        <w:rPr>
          <w:rFonts w:ascii="宋体" w:hAnsi="宋体" w:hint="eastAsia"/>
          <w:szCs w:val="21"/>
        </w:rPr>
        <w:t>本项目的投标报价应以人民币计。</w:t>
      </w:r>
    </w:p>
    <w:p>
      <w:pPr>
        <w:rPr>
          <w:rFonts w:ascii="黑体" w:eastAsia="黑体" w:hAnsi="宋体"/>
        </w:rPr>
      </w:pPr>
      <w:bookmarkEnd w:id="99"/>
      <w:r>
        <w:rPr>
          <w:rFonts w:ascii="黑体" w:eastAsia="黑体" w:hAnsi="宋体" w:hint="eastAsia"/>
        </w:rPr>
        <w:t>18．</w:t>
      </w:r>
      <w:bookmarkStart w:id="100" w:name="_Hlk72401735"/>
      <w:r>
        <w:rPr>
          <w:rFonts w:ascii="黑体" w:eastAsia="黑体" w:hAnsi="宋体" w:hint="eastAsia"/>
        </w:rPr>
        <w:t>证明投标文件投标技术方案的合格性和符合招标文件规定的文件要求</w:t>
      </w:r>
    </w:p>
    <w:p>
      <w:pPr>
        <w:ind w:firstLine="470" w:firstLineChars="196"/>
        <w:rPr>
          <w:rFonts w:ascii="宋体" w:hAnsi="宋体"/>
          <w:szCs w:val="21"/>
        </w:rPr>
      </w:pPr>
      <w:r>
        <w:rPr>
          <w:rFonts w:ascii="宋体" w:hAnsi="宋体" w:hint="eastAsia"/>
          <w:szCs w:val="21"/>
        </w:rPr>
        <w:t>18</w:t>
      </w:r>
      <w:r>
        <w:rPr>
          <w:rFonts w:ascii="宋体" w:hAnsi="宋体"/>
          <w:szCs w:val="21"/>
        </w:rPr>
        <w:t xml:space="preserve">.1 </w:t>
      </w:r>
      <w:r>
        <w:rPr>
          <w:rFonts w:ascii="宋体" w:hAnsi="宋体" w:hint="eastAsia"/>
          <w:szCs w:val="21"/>
        </w:rPr>
        <w:t>投标人应提交证明文件，证明其投标技术方案项下的货物和服务的合格性符合招标文件规定。该投标技术方案及其证明文件均作为投标文件组成部分。</w:t>
      </w:r>
    </w:p>
    <w:p>
      <w:pPr>
        <w:ind w:firstLine="470"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 xml:space="preserve">.2 </w:t>
      </w:r>
      <w:r>
        <w:rPr>
          <w:rFonts w:ascii="宋体" w:hAnsi="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hAnsi="宋体"/>
          <w:szCs w:val="21"/>
        </w:rPr>
      </w:pPr>
      <w:r>
        <w:rPr>
          <w:rFonts w:ascii="宋体" w:hAnsi="宋体" w:hint="eastAsia"/>
          <w:szCs w:val="21"/>
        </w:rPr>
        <w:t>18.2.1主要技术指标和性能的详细说明。</w:t>
      </w:r>
    </w:p>
    <w:p>
      <w:pPr>
        <w:ind w:firstLine="470" w:firstLineChars="196"/>
        <w:rPr>
          <w:rFonts w:ascii="宋体" w:hAnsi="宋体"/>
          <w:szCs w:val="21"/>
        </w:rPr>
      </w:pPr>
      <w:r>
        <w:rPr>
          <w:rFonts w:ascii="宋体" w:hAnsi="宋体" w:hint="eastAsia"/>
          <w:szCs w:val="21"/>
        </w:rPr>
        <w:t>18.2.</w:t>
      </w:r>
      <w:r>
        <w:rPr>
          <w:rFonts w:ascii="宋体" w:hAnsi="宋体"/>
          <w:szCs w:val="21"/>
        </w:rPr>
        <w:t>2</w:t>
      </w:r>
      <w:r>
        <w:rPr>
          <w:rFonts w:ascii="宋体" w:hAnsi="宋体" w:hint="eastAsia"/>
          <w:szCs w:val="21"/>
        </w:rPr>
        <w:t>投标产品从采购人开始使用至招标文件中规定的周期内正常、连续地使用所必须的备件和专用工具清单，包括备件和专用工具的货源及现行价格。</w:t>
      </w:r>
    </w:p>
    <w:p>
      <w:pPr>
        <w:ind w:firstLine="470" w:firstLineChars="196"/>
        <w:rPr>
          <w:rFonts w:ascii="宋体" w:hAnsi="宋体"/>
          <w:szCs w:val="21"/>
        </w:rPr>
      </w:pPr>
      <w:r>
        <w:rPr>
          <w:rFonts w:ascii="宋体" w:hAnsi="宋体" w:hint="eastAsia"/>
          <w:szCs w:val="21"/>
        </w:rPr>
        <w:t>18.2.</w:t>
      </w:r>
      <w:r>
        <w:rPr>
          <w:rFonts w:ascii="宋体" w:hAnsi="宋体"/>
          <w:szCs w:val="21"/>
        </w:rPr>
        <w:t>3</w:t>
      </w:r>
      <w:r>
        <w:rPr>
          <w:rFonts w:ascii="宋体" w:hAnsi="宋体"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hAnsi="宋体"/>
          <w:szCs w:val="21"/>
        </w:rPr>
      </w:pPr>
      <w:r>
        <w:rPr>
          <w:rFonts w:ascii="宋体" w:hAnsi="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ascii="宋体" w:hAnsi="宋体" w:hint="eastAsia"/>
          <w:szCs w:val="21"/>
        </w:rPr>
        <w:t>；</w:t>
      </w:r>
    </w:p>
    <w:p>
      <w:pPr>
        <w:ind w:firstLine="470" w:firstLineChars="196"/>
        <w:rPr>
          <w:rFonts w:ascii="宋体" w:hAnsi="宋体"/>
          <w:szCs w:val="21"/>
        </w:rPr>
      </w:pPr>
      <w:r>
        <w:rPr>
          <w:rFonts w:ascii="宋体" w:hAnsi="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hAnsi="宋体"/>
          <w:szCs w:val="21"/>
        </w:rPr>
      </w:pPr>
      <w:r>
        <w:rPr>
          <w:rFonts w:ascii="宋体" w:hAnsi="宋体" w:hint="eastAsia"/>
          <w:szCs w:val="21"/>
        </w:rPr>
        <w:t>18.3相关资料不符合18.2款要求的，评审委员会有权认定为投标技术方案不合格响应，其相关分数予以扣减或作投标无效处理。</w:t>
      </w:r>
    </w:p>
    <w:p>
      <w:pPr>
        <w:ind w:firstLine="470" w:firstLineChars="196"/>
        <w:rPr>
          <w:rFonts w:ascii="宋体" w:hAnsi="宋体"/>
          <w:szCs w:val="21"/>
        </w:rPr>
      </w:pPr>
      <w:r>
        <w:rPr>
          <w:rFonts w:ascii="宋体" w:hAnsi="宋体"/>
          <w:szCs w:val="21"/>
        </w:rPr>
        <w:t>1</w:t>
      </w:r>
      <w:r>
        <w:rPr>
          <w:rFonts w:ascii="宋体" w:hAnsi="宋体" w:hint="eastAsia"/>
          <w:szCs w:val="21"/>
        </w:rPr>
        <w:t>8</w:t>
      </w:r>
      <w:r>
        <w:rPr>
          <w:rFonts w:ascii="宋体" w:hAnsi="宋体"/>
          <w:szCs w:val="21"/>
        </w:rPr>
        <w:t>.</w:t>
      </w:r>
      <w:r>
        <w:rPr>
          <w:rFonts w:ascii="宋体" w:hAnsi="宋体"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ascii="宋体" w:hAnsi="宋体" w:hint="eastAsia"/>
          <w:szCs w:val="21"/>
        </w:rPr>
        <w:t>，由评审委员会来评判。</w:t>
      </w:r>
    </w:p>
    <w:p>
      <w:pPr>
        <w:ind w:firstLine="470" w:firstLineChars="196"/>
        <w:rPr>
          <w:rFonts w:ascii="宋体" w:hAnsi="宋体"/>
          <w:szCs w:val="21"/>
        </w:rPr>
      </w:pPr>
      <w:r>
        <w:rPr>
          <w:rFonts w:ascii="宋体" w:hAnsi="宋体" w:hint="eastAsia"/>
          <w:szCs w:val="21"/>
        </w:rPr>
        <w:t>18.5除非另有规定或说明，投标人对同一项目投标时，不得同时提供两套或两套以上的投标方案。</w:t>
      </w:r>
    </w:p>
    <w:p>
      <w:pPr>
        <w:rPr>
          <w:rFonts w:ascii="黑体" w:eastAsia="黑体" w:hAnsi="宋体"/>
        </w:rPr>
      </w:pPr>
      <w:bookmarkEnd w:id="100"/>
      <w:r>
        <w:rPr>
          <w:rFonts w:ascii="黑体" w:eastAsia="黑体" w:hAnsi="宋体" w:hint="eastAsia"/>
        </w:rPr>
        <w:t>19．</w:t>
      </w:r>
      <w:bookmarkStart w:id="101" w:name="_Hlk72402034"/>
      <w:r>
        <w:rPr>
          <w:rFonts w:ascii="黑体" w:eastAsia="黑体" w:hAnsi="宋体" w:hint="eastAsia"/>
        </w:rPr>
        <w:t>投标文件其他证明文件的要求</w:t>
      </w:r>
    </w:p>
    <w:p>
      <w:pPr>
        <w:rPr>
          <w:rFonts w:ascii="宋体" w:hAnsi="宋体"/>
          <w:color w:val="FF0000"/>
          <w:szCs w:val="21"/>
        </w:rPr>
      </w:pPr>
      <w:r>
        <w:rPr>
          <w:rFonts w:ascii="宋体" w:hAnsi="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102" w:name="_Hlk71407299"/>
    </w:p>
    <w:p>
      <w:pPr>
        <w:ind w:firstLine="470" w:firstLineChars="196"/>
        <w:rPr>
          <w:rFonts w:ascii="宋体" w:hAnsi="宋体"/>
          <w:szCs w:val="21"/>
        </w:rPr>
      </w:pPr>
      <w:bookmarkEnd w:id="102"/>
      <w:r>
        <w:rPr>
          <w:rFonts w:ascii="宋体" w:hAnsi="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rPr>
      </w:pPr>
      <w:r>
        <w:rPr>
          <w:rFonts w:ascii="黑体" w:eastAsia="黑体" w:hAnsi="宋体" w:hint="eastAsia"/>
        </w:rPr>
        <w:t>20．投标有效期</w:t>
      </w:r>
    </w:p>
    <w:p>
      <w:pPr>
        <w:ind w:firstLine="470" w:firstLineChars="196"/>
        <w:rPr>
          <w:rFonts w:ascii="宋体" w:hAnsi="宋体"/>
          <w:szCs w:val="21"/>
        </w:rPr>
      </w:pPr>
      <w:bookmarkEnd w:id="101"/>
      <w:bookmarkStart w:id="103" w:name="_Hlk72402214"/>
      <w:r>
        <w:rPr>
          <w:rFonts w:ascii="宋体" w:hAnsi="宋体" w:hint="eastAsia"/>
          <w:szCs w:val="21"/>
        </w:rPr>
        <w:t>20.1 投标有效期为</w:t>
      </w:r>
      <w:r>
        <w:rPr>
          <w:rFonts w:ascii="Arial" w:hAnsi="Arial" w:cs="Arial" w:hint="eastAsia"/>
          <w:szCs w:val="21"/>
        </w:rPr>
        <w:t>从投标截止之日算起的日历天数。</w:t>
      </w:r>
      <w:r>
        <w:rPr>
          <w:rFonts w:ascii="宋体" w:hAnsi="宋体" w:hint="eastAsia"/>
          <w:szCs w:val="21"/>
        </w:rPr>
        <w:t>在此期限内，所有投标文件均保持有效。</w:t>
      </w:r>
    </w:p>
    <w:p>
      <w:pPr>
        <w:ind w:firstLine="470" w:firstLineChars="196"/>
        <w:rPr>
          <w:rFonts w:ascii="宋体" w:hAnsi="宋体"/>
          <w:szCs w:val="21"/>
        </w:rPr>
      </w:pPr>
      <w:r>
        <w:rPr>
          <w:rFonts w:ascii="宋体" w:hAnsi="宋体" w:hint="eastAsia"/>
          <w:szCs w:val="21"/>
        </w:rPr>
        <w:t>20.2 在特殊情况下，</w:t>
      </w:r>
      <w:r>
        <w:rPr>
          <w:rFonts w:ascii="宋体" w:eastAsia="宋体" w:hAnsi="宋体" w:hint="eastAsia"/>
          <w:szCs w:val="21"/>
        </w:rPr>
        <w:t>招标机构</w:t>
      </w:r>
      <w:r>
        <w:rPr>
          <w:rFonts w:ascii="宋体" w:hAnsi="宋体" w:hint="eastAsia"/>
          <w:szCs w:val="21"/>
        </w:rPr>
        <w:t>在原定的投标有效期满之前，</w:t>
      </w:r>
      <w:r>
        <w:rPr>
          <w:rFonts w:ascii="宋体" w:eastAsia="宋体" w:hAnsi="宋体" w:hint="eastAsia"/>
          <w:szCs w:val="21"/>
        </w:rPr>
        <w:t>招标机构</w:t>
      </w:r>
      <w:r>
        <w:rPr>
          <w:rFonts w:ascii="宋体" w:hAnsi="宋体" w:hint="eastAsia"/>
          <w:szCs w:val="21"/>
        </w:rPr>
        <w:t>可以根据需要以书面形式（包括</w:t>
      </w:r>
      <w:r>
        <w:rPr>
          <w:rFonts w:ascii="宋体" w:eastAsia="宋体" w:hAnsi="宋体" w:hint="eastAsia"/>
          <w:szCs w:val="21"/>
        </w:rPr>
        <w:t>招标机构</w:t>
      </w:r>
      <w:r>
        <w:rPr>
          <w:rFonts w:ascii="宋体" w:hAnsi="宋体" w:hint="eastAsia"/>
          <w:szCs w:val="21"/>
        </w:rPr>
        <w:t>网站公开发布方式）向投标人提出延长投标有效期的要求，对此要求投标人须以书面形式予以答复，投标人可以拒绝</w:t>
      </w:r>
      <w:r>
        <w:rPr>
          <w:rFonts w:ascii="宋体" w:eastAsia="宋体" w:hAnsi="宋体" w:hint="eastAsia"/>
          <w:szCs w:val="21"/>
        </w:rPr>
        <w:t>招标机构</w:t>
      </w:r>
      <w:r>
        <w:rPr>
          <w:rFonts w:ascii="宋体" w:hAnsi="宋体" w:hint="eastAsia"/>
          <w:szCs w:val="21"/>
        </w:rPr>
        <w:t>此项要求，其投标在原投标有效期满后不再有效。同意延长投标有效期的投标人不能要求也不允许修改其投标文件。</w:t>
      </w:r>
    </w:p>
    <w:p>
      <w:pPr>
        <w:ind w:firstLine="470" w:firstLineChars="196"/>
        <w:rPr>
          <w:rFonts w:ascii="宋体" w:hAnsi="宋体"/>
          <w:szCs w:val="21"/>
        </w:rPr>
      </w:pPr>
      <w:r>
        <w:rPr>
          <w:rFonts w:ascii="宋体" w:hAnsi="宋体" w:hint="eastAsia"/>
          <w:szCs w:val="21"/>
        </w:rPr>
        <w:t>20</w:t>
      </w:r>
      <w:r>
        <w:rPr>
          <w:rFonts w:ascii="宋体" w:hAnsi="宋体"/>
          <w:szCs w:val="21"/>
        </w:rPr>
        <w:t>.3</w:t>
      </w:r>
      <w:r>
        <w:rPr>
          <w:rFonts w:ascii="宋体" w:hAnsi="宋体" w:hint="eastAsia"/>
          <w:szCs w:val="21"/>
        </w:rPr>
        <w:t xml:space="preserve"> 中标供应商的投标文件有效期，截止于完成本招标文件规定的全部项目内容，并通过竣工验收及保修期结束。</w:t>
      </w:r>
    </w:p>
    <w:p>
      <w:pPr>
        <w:rPr>
          <w:rFonts w:ascii="黑体" w:eastAsia="黑体" w:hAnsi="宋体"/>
        </w:rPr>
      </w:pPr>
      <w:bookmarkEnd w:id="103"/>
      <w:r>
        <w:rPr>
          <w:rFonts w:ascii="黑体" w:eastAsia="黑体" w:hAnsi="宋体" w:hint="eastAsia"/>
        </w:rPr>
        <w:t>21．</w:t>
      </w:r>
      <w:bookmarkStart w:id="104" w:name="_Hlk72402325"/>
      <w:r>
        <w:rPr>
          <w:rFonts w:ascii="黑体" w:eastAsia="黑体" w:hAnsi="宋体" w:hint="eastAsia"/>
        </w:rPr>
        <w:t xml:space="preserve">关于投标保证金 </w:t>
      </w:r>
    </w:p>
    <w:p>
      <w:pPr>
        <w:rPr>
          <w:rFonts w:ascii="宋体" w:hAnsi="宋体"/>
          <w:szCs w:val="21"/>
        </w:rPr>
      </w:pPr>
      <w:r>
        <w:rPr>
          <w:rFonts w:ascii="宋体" w:hAnsi="宋体" w:hint="eastAsia"/>
          <w:szCs w:val="21"/>
        </w:rPr>
        <w:t xml:space="preserve">    21.1 </w:t>
      </w:r>
      <w:r>
        <w:rPr>
          <w:rFonts w:hint="eastAsia"/>
        </w:rPr>
        <w:t>根据《</w:t>
      </w:r>
      <w:r>
        <w:t>深圳市财政局关于明确政府采购保证金管理工作的通知</w:t>
      </w:r>
      <w:r>
        <w:rPr>
          <w:rFonts w:hint="eastAsia"/>
        </w:rPr>
        <w:t>》（深财购[</w:t>
      </w:r>
      <w:r>
        <w:t>2019]42</w:t>
      </w:r>
      <w:r>
        <w:rPr>
          <w:rFonts w:hint="eastAsia"/>
        </w:rPr>
        <w:t>号）文的规定，本项目不收取投标保证金。</w:t>
      </w:r>
    </w:p>
    <w:p>
      <w:pPr>
        <w:rPr>
          <w:rFonts w:ascii="黑体" w:eastAsia="黑体" w:hAnsi="宋体"/>
        </w:rPr>
      </w:pPr>
      <w:r>
        <w:rPr>
          <w:rFonts w:ascii="黑体" w:eastAsia="黑体" w:hAnsi="宋体" w:hint="eastAsia"/>
        </w:rPr>
        <w:t>22．投标人的替代方案</w:t>
      </w:r>
    </w:p>
    <w:p>
      <w:pPr>
        <w:ind w:firstLine="470" w:firstLineChars="196"/>
        <w:rPr>
          <w:rFonts w:ascii="宋体" w:hAnsi="宋体"/>
          <w:szCs w:val="21"/>
        </w:rPr>
      </w:pPr>
      <w:r>
        <w:rPr>
          <w:rFonts w:ascii="宋体" w:hAnsi="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hAnsi="宋体"/>
          <w:szCs w:val="21"/>
        </w:rPr>
      </w:pPr>
      <w:r>
        <w:rPr>
          <w:rFonts w:ascii="宋体" w:hAnsi="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rPr>
      </w:pPr>
      <w:bookmarkEnd w:id="104"/>
      <w:r>
        <w:rPr>
          <w:rFonts w:ascii="黑体" w:eastAsia="黑体" w:hAnsi="宋体" w:hint="eastAsia"/>
        </w:rPr>
        <w:t>23．</w:t>
      </w:r>
      <w:bookmarkStart w:id="105" w:name="_Hlk72402860"/>
      <w:r>
        <w:rPr>
          <w:rFonts w:ascii="黑体" w:eastAsia="黑体" w:hAnsi="宋体"/>
        </w:rPr>
        <w:t>投标文件的</w:t>
      </w:r>
      <w:r>
        <w:rPr>
          <w:rFonts w:ascii="黑体" w:eastAsia="黑体" w:hAnsi="宋体" w:hint="eastAsia"/>
        </w:rPr>
        <w:t>制作</w:t>
      </w:r>
      <w:r>
        <w:rPr>
          <w:rFonts w:ascii="黑体" w:eastAsia="黑体" w:hAnsi="宋体"/>
        </w:rPr>
        <w:t>要求</w:t>
      </w:r>
    </w:p>
    <w:p>
      <w:pPr>
        <w:ind w:firstLine="470" w:firstLineChars="196"/>
        <w:rPr>
          <w:rFonts w:ascii="宋体" w:hAnsi="宋体"/>
        </w:rPr>
      </w:pPr>
      <w:r>
        <w:rPr>
          <w:rFonts w:ascii="宋体" w:hAnsi="宋体" w:hint="eastAsia"/>
        </w:rPr>
        <w:t>23.1投标人应准备所投项目的电子投标文件一份。此电子投标文件须由投标人根据</w:t>
      </w:r>
      <w:r>
        <w:rPr>
          <w:rFonts w:ascii="宋体" w:eastAsia="宋体" w:hAnsi="宋体" w:hint="eastAsia"/>
        </w:rPr>
        <w:t>招标机构</w:t>
      </w:r>
      <w:r>
        <w:rPr>
          <w:rFonts w:ascii="宋体" w:hAnsi="宋体" w:hint="eastAsia"/>
        </w:rPr>
        <w:t>提供的后缀名为.szczf的电子招标文件，下载并使用相应的深圳智慧采购平台投标文件制作专用软件打开招标文件（.szczf格式）【下载地址：</w:t>
      </w:r>
      <w:r>
        <w:t>http://zfcg.szggzy.com/</w:t>
      </w:r>
      <w:r>
        <w:rPr>
          <w:rFonts w:ascii="宋体" w:hAnsi="宋体" w:hint="eastAsia"/>
        </w:rPr>
        <w:t>TPBidder/DownLoad/深圳智慧采购平台投标文件制作专用软件.zip】。</w:t>
      </w:r>
    </w:p>
    <w:p>
      <w:pPr>
        <w:ind w:firstLine="470" w:firstLineChars="196"/>
        <w:rPr>
          <w:rFonts w:ascii="宋体" w:hAnsi="宋体"/>
        </w:rPr>
      </w:pPr>
      <w:r>
        <w:rPr>
          <w:rFonts w:ascii="宋体" w:hAnsi="宋体" w:hint="eastAsia"/>
        </w:rPr>
        <w:t>23.2投标人在使用《投标文件制作软件》编制投标书时须注意：</w:t>
      </w:r>
    </w:p>
    <w:p>
      <w:pPr>
        <w:ind w:firstLine="470" w:firstLineChars="196"/>
        <w:rPr>
          <w:rFonts w:ascii="宋体" w:hAnsi="宋体"/>
        </w:rPr>
      </w:pPr>
      <w:r>
        <w:rPr>
          <w:rFonts w:ascii="宋体" w:hAnsi="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hAnsi="宋体"/>
        </w:rPr>
      </w:pPr>
      <w:r>
        <w:rPr>
          <w:rFonts w:ascii="宋体" w:hAnsi="宋体" w:hint="eastAsia"/>
        </w:rPr>
        <w:t>23.2.2不能用非本公司的电子密钥加密本公司的投标文件，或者用其它公司的登录用户上传本公司的投标文件。</w:t>
      </w:r>
    </w:p>
    <w:p>
      <w:pPr>
        <w:ind w:firstLine="470" w:firstLineChars="196"/>
        <w:rPr>
          <w:rFonts w:ascii="宋体" w:hAnsi="宋体"/>
        </w:rPr>
      </w:pPr>
      <w:r>
        <w:rPr>
          <w:rFonts w:ascii="宋体" w:hAnsi="宋体" w:hint="eastAsia"/>
        </w:rPr>
        <w:t>23.2.3要求用《投标文件制作软件》编制投标书的包，不能用其它方式编制投标书。编制投标文件时，电脑须连通互联网。</w:t>
      </w:r>
    </w:p>
    <w:p>
      <w:pPr>
        <w:ind w:firstLine="470" w:firstLineChars="196"/>
        <w:rPr>
          <w:rFonts w:ascii="宋体" w:hAnsi="宋体"/>
        </w:rPr>
      </w:pPr>
      <w:r>
        <w:rPr>
          <w:rFonts w:ascii="宋体" w:hAnsi="宋体" w:hint="eastAsia"/>
        </w:rPr>
        <w:t>23.2.4投标文件不能带病毒。</w:t>
      </w:r>
      <w:r>
        <w:rPr>
          <w:rFonts w:ascii="宋体" w:eastAsia="宋体" w:hAnsi="宋体" w:hint="eastAsia"/>
        </w:rPr>
        <w:t>招标机构</w:t>
      </w:r>
      <w:r>
        <w:rPr>
          <w:rFonts w:ascii="宋体" w:hAnsi="宋体" w:hint="eastAsia"/>
        </w:rPr>
        <w:t>将用专业杀毒软件对投标文件进行病毒检测，如果这两种软件均报告发现病毒，则</w:t>
      </w:r>
      <w:r>
        <w:rPr>
          <w:rFonts w:ascii="宋体" w:eastAsia="宋体" w:hAnsi="宋体" w:hint="eastAsia"/>
        </w:rPr>
        <w:t>招标机构</w:t>
      </w:r>
      <w:r>
        <w:rPr>
          <w:rFonts w:ascii="宋体" w:hAnsi="宋体" w:hint="eastAsia"/>
        </w:rPr>
        <w:t>认为该投标文件带病毒。</w:t>
      </w:r>
    </w:p>
    <w:p>
      <w:pPr>
        <w:ind w:firstLine="470" w:firstLineChars="196"/>
        <w:rPr>
          <w:rFonts w:ascii="宋体" w:hAnsi="宋体"/>
        </w:rPr>
      </w:pPr>
      <w:r>
        <w:rPr>
          <w:rFonts w:ascii="宋体" w:hAnsi="宋体" w:hint="eastAsia"/>
        </w:rPr>
        <w:t>23.2.5完整填写“投标关键信息”，如下图所示：</w:t>
      </w:r>
    </w:p>
    <w:p>
      <w:pPr>
        <w:ind w:firstLine="470" w:firstLineChars="196"/>
        <w:rPr>
          <w:rFonts w:ascii="宋体" w:hAnsi="宋体"/>
        </w:rPr>
      </w:pPr>
      <w:r>
        <w:rPr>
          <w:rFonts w:ascii="宋体" w:hAnsi="宋体"/>
        </w:rPr>
        <w:drawing>
          <wp:inline distT="0" distB="0" distL="114300" distR="114300">
            <wp:extent cx="5278755" cy="2721610"/>
            <wp:effectExtent l="0" t="0" r="17145" b="254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5"/>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b/>
        </w:rPr>
      </w:pPr>
      <w:r>
        <w:rPr>
          <w:rFonts w:ascii="宋体" w:hAnsi="宋体" w:hint="eastAsia"/>
          <w:b/>
        </w:rPr>
        <w:t>备注：上述“开标一览表”中的“投标总价”将作为价格分计算依据；其它信息仅是对投标文件相关内容的概括性表述，不作为评审依据。</w:t>
      </w:r>
    </w:p>
    <w:p>
      <w:pPr>
        <w:ind w:firstLine="470" w:firstLineChars="196"/>
        <w:rPr>
          <w:rFonts w:ascii="宋体" w:hAnsi="宋体"/>
        </w:rPr>
      </w:pPr>
      <w:r>
        <w:rPr>
          <w:rFonts w:ascii="宋体" w:hAnsi="宋体" w:hint="eastAsia"/>
        </w:rPr>
        <w:t>23.2.6投标人在编辑投标文件时，</w:t>
      </w:r>
      <w:r>
        <w:rPr>
          <w:rFonts w:ascii="宋体" w:hAnsi="宋体" w:hint="eastAsia"/>
          <w:b/>
        </w:rPr>
        <w:t>在投标文件目录中属于本节点内容的必须在本节点中填写，填写到其他节点或附件，</w:t>
      </w:r>
      <w:r>
        <w:rPr>
          <w:rFonts w:ascii="宋体" w:hAnsi="宋体" w:hint="eastAsia"/>
        </w:rPr>
        <w:t>一切后果由供应商自行承担。</w:t>
      </w:r>
    </w:p>
    <w:p>
      <w:pPr>
        <w:ind w:firstLine="470" w:firstLineChars="196"/>
        <w:rPr>
          <w:rFonts w:ascii="宋体" w:hAnsi="宋体"/>
        </w:rPr>
      </w:pPr>
      <w:r>
        <w:rPr>
          <w:rFonts w:ascii="宋体" w:hAnsi="宋体" w:hint="eastAsia"/>
        </w:rPr>
        <w:t>23.2.7投标文件编写完成后，</w:t>
      </w:r>
      <w:r>
        <w:rPr>
          <w:rFonts w:ascii="宋体" w:hAnsi="宋体" w:hint="eastAsia"/>
          <w:b/>
        </w:rPr>
        <w:t>必须用属于投标人的电子密钥进行加密，否则视同未盖公章，将导致投标文件无效。</w:t>
      </w:r>
    </w:p>
    <w:p>
      <w:pPr>
        <w:ind w:firstLine="470" w:firstLineChars="196"/>
        <w:rPr>
          <w:rFonts w:ascii="宋体" w:hAnsi="宋体"/>
        </w:rPr>
      </w:pPr>
      <w:r>
        <w:rPr>
          <w:rFonts w:ascii="宋体" w:hAnsi="宋体" w:hint="eastAsia"/>
        </w:rPr>
        <w:t>23.2.8</w:t>
      </w:r>
      <w:r>
        <w:rPr>
          <w:rFonts w:ascii="宋体" w:eastAsia="宋体" w:hAnsi="宋体" w:hint="eastAsia"/>
        </w:rPr>
        <w:t>招标机构</w:t>
      </w:r>
      <w:r>
        <w:rPr>
          <w:rFonts w:ascii="宋体" w:hAnsi="宋体" w:hint="eastAsia"/>
        </w:rPr>
        <w:t>不接受投标截止时间后递交的纸质、电子、传真等所有形式的投标文件。由于对网上政府采购系统操作不熟悉或自身电脑、网络等原因导致不能在投标截止时间之前上传投标文件，</w:t>
      </w:r>
      <w:r>
        <w:rPr>
          <w:rFonts w:ascii="宋体" w:eastAsia="宋体" w:hAnsi="宋体" w:hint="eastAsia"/>
        </w:rPr>
        <w:t>招标机构</w:t>
      </w:r>
      <w:r>
        <w:rPr>
          <w:rFonts w:ascii="宋体" w:hAnsi="宋体" w:hint="eastAsia"/>
        </w:rPr>
        <w:t>概不负责。建议于开标前一个工作日完成投标文件的制作与上传，如上传确有困难，请及时咨询。</w:t>
      </w:r>
    </w:p>
    <w:p>
      <w:pPr>
        <w:ind w:firstLine="470" w:firstLineChars="196"/>
        <w:rPr>
          <w:rFonts w:ascii="宋体" w:hAnsi="宋体"/>
        </w:rPr>
      </w:pPr>
      <w:r>
        <w:rPr>
          <w:rFonts w:ascii="宋体" w:hAnsi="宋体" w:hint="eastAsia"/>
        </w:rPr>
        <w:t>23.2.9如果开标时出现网络故障、技术故障，影响了政府采购活动，</w:t>
      </w:r>
      <w:r>
        <w:rPr>
          <w:rFonts w:ascii="宋体" w:eastAsia="宋体" w:hAnsi="宋体" w:hint="eastAsia"/>
        </w:rPr>
        <w:t>招标机构</w:t>
      </w:r>
      <w:r>
        <w:rPr>
          <w:rFonts w:ascii="宋体" w:hAnsi="宋体" w:hint="eastAsia"/>
        </w:rPr>
        <w:t>有权采取措施如延期、接受无法从网上上传的投标书等，以保障政府采购活动的公开、公平和公正。</w:t>
      </w:r>
    </w:p>
    <w:p>
      <w:pPr>
        <w:ind w:firstLine="470" w:firstLineChars="196"/>
        <w:rPr>
          <w:rFonts w:ascii="宋体" w:hAnsi="宋体"/>
        </w:rPr>
      </w:pPr>
      <w:r>
        <w:rPr>
          <w:rFonts w:ascii="宋体" w:hAnsi="宋体" w:hint="eastAsia"/>
        </w:rPr>
        <w:t>23.3电报、电话、传真形式的投标概不接受。</w:t>
      </w:r>
    </w:p>
    <w:p>
      <w:pPr>
        <w:ind w:firstLine="470" w:firstLineChars="196"/>
        <w:rPr>
          <w:rFonts w:ascii="宋体" w:hAnsi="宋体"/>
          <w:b/>
        </w:rPr>
      </w:pPr>
      <w:r>
        <w:rPr>
          <w:rFonts w:ascii="宋体" w:hAnsi="宋体" w:hint="eastAsia"/>
          <w:b/>
        </w:rPr>
        <w:t>23.4经投标人电子密钥加密的投标文件无须盖章或签字，</w:t>
      </w:r>
      <w:r>
        <w:rPr>
          <w:rFonts w:ascii="宋体" w:hAnsi="宋体" w:hint="eastAsia"/>
        </w:rPr>
        <w:t>专用条款另有要求的除外。</w:t>
      </w:r>
    </w:p>
    <w:p>
      <w:pPr>
        <w:ind w:firstLine="470" w:firstLineChars="196"/>
        <w:rPr>
          <w:rFonts w:ascii="宋体" w:hAnsi="宋体"/>
        </w:rPr>
      </w:pPr>
      <w:r>
        <w:rPr>
          <w:rFonts w:ascii="宋体" w:hAnsi="宋体" w:hint="eastAsia"/>
          <w:b/>
        </w:rPr>
        <w:t>23.5</w:t>
      </w:r>
      <w:r>
        <w:rPr>
          <w:rFonts w:ascii="宋体" w:hAnsi="宋体" w:hint="eastAsia"/>
        </w:rPr>
        <w:t xml:space="preserve"> 各类资格（资质）文件提供扫描件，专用条款另有要求的除外。</w:t>
      </w:r>
      <w:bookmarkEnd w:id="105"/>
    </w:p>
    <w:p>
      <w:pPr>
        <w:pStyle w:val="Heading2"/>
        <w:numPr>
          <w:ilvl w:val="0"/>
          <w:numId w:val="4"/>
        </w:numPr>
        <w:spacing w:before="120" w:beforeLines="50" w:after="120" w:afterLines="50"/>
        <w:ind w:left="562" w:hanging="562"/>
        <w:rPr>
          <w:sz w:val="28"/>
          <w:szCs w:val="28"/>
        </w:rPr>
      </w:pPr>
      <w:r>
        <w:rPr>
          <w:rFonts w:hint="eastAsia"/>
          <w:sz w:val="28"/>
          <w:szCs w:val="28"/>
        </w:rPr>
        <w:t>投标文件的递交</w:t>
      </w:r>
      <w:bookmarkStart w:id="106" w:name="_Hlk72405459"/>
    </w:p>
    <w:p>
      <w:pPr>
        <w:rPr>
          <w:rFonts w:ascii="黑体" w:eastAsia="黑体" w:hAnsi="宋体"/>
        </w:rPr>
      </w:pPr>
      <w:r>
        <w:rPr>
          <w:rFonts w:ascii="黑体" w:eastAsia="黑体" w:hAnsi="宋体" w:hint="eastAsia"/>
        </w:rPr>
        <w:t>24．投标书的保密</w:t>
      </w:r>
    </w:p>
    <w:p>
      <w:pPr>
        <w:ind w:firstLine="470" w:firstLineChars="196"/>
        <w:rPr>
          <w:rFonts w:ascii="宋体" w:hAnsi="宋体"/>
        </w:rPr>
      </w:pPr>
      <w:r>
        <w:rPr>
          <w:rFonts w:ascii="宋体" w:hAnsi="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hAnsi="宋体"/>
        </w:rPr>
      </w:pPr>
      <w:r>
        <w:rPr>
          <w:rFonts w:ascii="宋体" w:hAnsi="宋体"/>
        </w:rPr>
        <w:drawing>
          <wp:inline distT="0" distB="0" distL="114300" distR="114300">
            <wp:extent cx="5278755" cy="2721610"/>
            <wp:effectExtent l="0" t="0" r="17145" b="254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5"/>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rPr>
      </w:pPr>
      <w:r>
        <w:rPr>
          <w:rFonts w:ascii="宋体" w:hAnsi="宋体" w:hint="eastAsia"/>
        </w:rPr>
        <w:t>在投标文件制作软件点击【生成标书】按钮进入【填写开标一览表界面】界面，在该界面填写完开标一览表信息后点击【确定】，进入投标文件生成环节。</w:t>
      </w:r>
      <w:r>
        <w:rPr>
          <w:rFonts w:ascii="宋体" w:hAnsi="宋体"/>
        </w:rPr>
        <w:drawing>
          <wp:inline distT="0" distB="0" distL="114300" distR="114300">
            <wp:extent cx="5278755" cy="2732405"/>
            <wp:effectExtent l="0" t="0" r="17145" b="10795"/>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6"/>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hAnsi="宋体"/>
        </w:rPr>
      </w:pPr>
      <w:r>
        <w:rPr>
          <w:rFonts w:ascii="宋体" w:hAnsi="宋体" w:hint="eastAsia"/>
        </w:rPr>
        <w:t>投标文件制作软件会在投标文件生成过程中，提示用户输入密码，输入密码后对投标文件自动进行加密。</w:t>
      </w:r>
    </w:p>
    <w:p>
      <w:pPr>
        <w:ind w:firstLine="480" w:firstLineChars="200"/>
        <w:rPr>
          <w:rFonts w:ascii="宋体" w:hAnsi="宋体"/>
          <w:b/>
        </w:rPr>
      </w:pPr>
      <w:r>
        <w:rPr>
          <w:rFonts w:ascii="宋体" w:hAnsi="宋体" w:hint="eastAsia"/>
          <w:b/>
        </w:rPr>
        <w:t>24.2若采购项目出现延期情况：</w:t>
      </w:r>
    </w:p>
    <w:p>
      <w:pPr>
        <w:ind w:firstLine="480" w:firstLineChars="200"/>
        <w:rPr>
          <w:rFonts w:ascii="黑体" w:eastAsia="黑体" w:hAnsi="宋体"/>
          <w:b/>
        </w:rPr>
      </w:pPr>
      <w:r>
        <w:rPr>
          <w:rFonts w:ascii="宋体" w:hAnsi="宋体" w:hint="eastAsia"/>
          <w:b/>
        </w:rPr>
        <w:t>如果供下载的招标文件（后缀名为.</w:t>
      </w:r>
      <w:r>
        <w:rPr>
          <w:rFonts w:ascii="宋体" w:hAnsi="宋体"/>
          <w:b/>
        </w:rPr>
        <w:t>szczf</w:t>
      </w:r>
      <w:r>
        <w:rPr>
          <w:rFonts w:ascii="宋体" w:hAnsi="宋体" w:hint="eastAsia"/>
          <w:b/>
        </w:rPr>
        <w:t>）有更新，投标人必须重新下载招标文件、重新制作投标文件、重新加密投标文件、重新上传投标文件；如果供下载的招标文件（后缀名为.</w:t>
      </w:r>
      <w:r>
        <w:rPr>
          <w:rFonts w:ascii="宋体" w:hAnsi="宋体"/>
          <w:b/>
        </w:rPr>
        <w:t>szczf</w:t>
      </w:r>
      <w:r>
        <w:rPr>
          <w:rFonts w:ascii="宋体" w:hAnsi="宋体" w:hint="eastAsia"/>
          <w:b/>
        </w:rPr>
        <w:t>）没有更新，投标人必须重新加密投标文件、重新上传投标文件（是否重新制作投标文件根据项目实际情况定）。否则，投标人自行承担投标文件无法解密导致投标无效的后果。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rPr>
      </w:pPr>
      <w:r>
        <w:rPr>
          <w:rFonts w:ascii="黑体" w:eastAsia="黑体" w:hAnsi="宋体" w:hint="eastAsia"/>
        </w:rPr>
        <w:t>25．上传投标文件及投标截止日期</w:t>
      </w:r>
    </w:p>
    <w:p>
      <w:pPr>
        <w:ind w:firstLine="470" w:firstLineChars="196"/>
        <w:rPr>
          <w:rFonts w:ascii="宋体" w:hAnsi="宋体"/>
        </w:rPr>
      </w:pPr>
      <w:r>
        <w:rPr>
          <w:rFonts w:ascii="宋体" w:hAnsi="宋体" w:hint="eastAsia"/>
        </w:rPr>
        <w:t>25</w:t>
      </w:r>
      <w:r>
        <w:rPr>
          <w:rFonts w:ascii="宋体" w:hAnsi="宋体"/>
        </w:rPr>
        <w:t>.</w:t>
      </w:r>
      <w:r>
        <w:rPr>
          <w:rFonts w:ascii="宋体" w:hAnsi="宋体" w:hint="eastAsia"/>
        </w:rPr>
        <w:t>1实行网上投标，</w:t>
      </w:r>
      <w:r>
        <w:rPr>
          <w:rFonts w:ascii="宋体" w:hAnsi="宋体"/>
        </w:rPr>
        <w:t>投标人必须</w:t>
      </w:r>
      <w:r>
        <w:rPr>
          <w:rFonts w:ascii="宋体" w:hAnsi="宋体" w:hint="eastAsia"/>
        </w:rPr>
        <w:t>在招标</w:t>
      </w:r>
      <w:r>
        <w:rPr>
          <w:rFonts w:ascii="宋体" w:hAnsi="宋体"/>
        </w:rPr>
        <w:t>文件规定的投标截止时间前</w:t>
      </w:r>
      <w:r>
        <w:rPr>
          <w:rFonts w:ascii="宋体" w:hAnsi="宋体" w:hint="eastAsia"/>
        </w:rPr>
        <w:t>用电子密钥登录“深圳政府采购智慧平台用户网上办事子系统（http://zfcg.szggzy.com/TPBidder/memberLogin）”，用“【我的项目】→【项目流程】→【递交投标(应答)文件】”功能点上传投标文件。如果确有困难，多次上传均告失败，请在投标截止时间之前携带加密后的电子投标文件送达至</w:t>
      </w:r>
      <w:r>
        <w:rPr>
          <w:rFonts w:ascii="宋体" w:hAnsi="宋体" w:hint="eastAsia"/>
          <w:b/>
          <w:bCs/>
          <w:szCs w:val="21"/>
        </w:rPr>
        <w:t>深圳公共资源交易中心（深圳交易集团有限公司政府采购业务分公司）3楼304室（地址：深圳市福田区景田路70号雅枫国际酒店北侧交易集团评审区三楼），联系方式：83948100，83938584，83938599。</w:t>
      </w:r>
    </w:p>
    <w:p>
      <w:pPr>
        <w:ind w:firstLine="470" w:firstLineChars="196"/>
        <w:rPr>
          <w:rFonts w:ascii="宋体" w:hAnsi="宋体"/>
        </w:rPr>
      </w:pPr>
      <w:r>
        <w:rPr>
          <w:rFonts w:ascii="宋体" w:hAnsi="宋体" w:hint="eastAsia"/>
        </w:rPr>
        <w:t>25.2</w:t>
      </w:r>
      <w:r>
        <w:rPr>
          <w:rFonts w:ascii="宋体" w:eastAsia="宋体" w:hAnsi="宋体" w:hint="eastAsia"/>
        </w:rPr>
        <w:t>招标机构</w:t>
      </w:r>
      <w:r>
        <w:rPr>
          <w:rFonts w:ascii="宋体" w:hAnsi="宋体" w:hint="eastAsia"/>
        </w:rPr>
        <w:t>可以按本通用条款第13条规定，通过修改招标文件自行决定酌情延长投标截止期。在此情况下，</w:t>
      </w:r>
      <w:r>
        <w:rPr>
          <w:rFonts w:ascii="宋体" w:eastAsia="宋体" w:hAnsi="宋体" w:hint="eastAsia"/>
        </w:rPr>
        <w:t>招标机构</w:t>
      </w:r>
      <w:r>
        <w:rPr>
          <w:rFonts w:ascii="宋体" w:hAnsi="宋体" w:hint="eastAsia"/>
        </w:rPr>
        <w:t>、采购人和投标人受投标截止期制约的所有权利和义务均应延长至新的截止期。</w:t>
      </w:r>
    </w:p>
    <w:p>
      <w:pPr>
        <w:ind w:firstLine="470" w:firstLineChars="196"/>
        <w:rPr>
          <w:rFonts w:ascii="宋体" w:hAnsi="宋体"/>
        </w:rPr>
      </w:pPr>
      <w:r>
        <w:rPr>
          <w:rFonts w:ascii="宋体" w:hAnsi="宋体" w:hint="eastAsia"/>
        </w:rPr>
        <w:t>25</w:t>
      </w:r>
      <w:r>
        <w:rPr>
          <w:rFonts w:ascii="宋体" w:hAnsi="宋体"/>
        </w:rPr>
        <w:t>.</w:t>
      </w:r>
      <w:r>
        <w:rPr>
          <w:rFonts w:ascii="宋体" w:hAnsi="宋体" w:hint="eastAsia"/>
        </w:rPr>
        <w:t>3投标截止时间以后不得上传投标文件。</w:t>
      </w:r>
    </w:p>
    <w:p>
      <w:pPr>
        <w:ind w:firstLine="470" w:firstLineChars="196"/>
        <w:rPr>
          <w:rFonts w:ascii="宋体" w:hAnsi="宋体"/>
        </w:rPr>
      </w:pPr>
      <w:r>
        <w:rPr>
          <w:rFonts w:ascii="宋体" w:hAnsi="宋体" w:hint="eastAsia"/>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rPr>
          <w:rFonts w:ascii="黑体" w:eastAsia="黑体" w:hAnsi="宋体"/>
        </w:rPr>
      </w:pPr>
      <w:bookmarkEnd w:id="106"/>
      <w:r>
        <w:rPr>
          <w:rFonts w:ascii="黑体" w:eastAsia="黑体" w:hAnsi="宋体" w:hint="eastAsia"/>
        </w:rPr>
        <w:t>26. 样品、现场演示、方案讲解</w:t>
      </w:r>
    </w:p>
    <w:p>
      <w:pPr>
        <w:ind w:firstLine="470" w:firstLineChars="196"/>
        <w:rPr>
          <w:rFonts w:ascii="宋体" w:hAnsi="宋体"/>
          <w:szCs w:val="21"/>
        </w:rPr>
      </w:pPr>
      <w:r>
        <w:rPr>
          <w:rFonts w:ascii="宋体" w:hAnsi="宋体" w:hint="eastAsia"/>
          <w:szCs w:val="21"/>
        </w:rPr>
        <w:t>26.1 样品、现场演示、方案讲解等事项在招标文件专用条款中进行规定。</w:t>
      </w:r>
    </w:p>
    <w:p>
      <w:pPr>
        <w:rPr>
          <w:rFonts w:ascii="黑体" w:eastAsia="黑体" w:hAnsi="宋体"/>
        </w:rPr>
      </w:pPr>
      <w:bookmarkStart w:id="107" w:name="_Hlk72428346"/>
      <w:r>
        <w:rPr>
          <w:rFonts w:ascii="黑体" w:eastAsia="黑体" w:hAnsi="宋体"/>
        </w:rPr>
        <w:t>2</w:t>
      </w:r>
      <w:r>
        <w:rPr>
          <w:rFonts w:ascii="黑体" w:eastAsia="黑体" w:hAnsi="宋体" w:hint="eastAsia"/>
        </w:rPr>
        <w:t>7．</w:t>
      </w:r>
      <w:r>
        <w:rPr>
          <w:rFonts w:ascii="黑体" w:eastAsia="黑体" w:hAnsi="宋体"/>
        </w:rPr>
        <w:t>投标文件的修改和撤销</w:t>
      </w:r>
    </w:p>
    <w:p>
      <w:pPr>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1</w:t>
      </w:r>
      <w:r>
        <w:rPr>
          <w:rFonts w:ascii="宋体" w:hAnsi="宋体"/>
        </w:rPr>
        <w:t>投标方在提交投标文件后可对其投标文件进行修改</w:t>
      </w:r>
      <w:r>
        <w:rPr>
          <w:rFonts w:ascii="宋体" w:hAnsi="宋体" w:hint="eastAsia"/>
        </w:rPr>
        <w:t>并重新上传投标文件</w:t>
      </w:r>
      <w:r>
        <w:rPr>
          <w:rFonts w:ascii="宋体" w:hAnsi="宋体"/>
        </w:rPr>
        <w:t>或</w:t>
      </w:r>
      <w:r>
        <w:rPr>
          <w:rFonts w:ascii="宋体" w:hAnsi="宋体" w:hint="eastAsia"/>
        </w:rPr>
        <w:t>在网上进行</w:t>
      </w:r>
      <w:r>
        <w:rPr>
          <w:rFonts w:ascii="宋体" w:hAnsi="宋体"/>
        </w:rPr>
        <w:t>撤销</w:t>
      </w:r>
      <w:r>
        <w:rPr>
          <w:rFonts w:ascii="宋体" w:hAnsi="宋体" w:hint="eastAsia"/>
        </w:rPr>
        <w:t>投标的操作</w:t>
      </w:r>
      <w:r>
        <w:rPr>
          <w:rFonts w:ascii="宋体" w:hAnsi="宋体"/>
        </w:rPr>
        <w:t>。</w:t>
      </w:r>
    </w:p>
    <w:p>
      <w:pPr>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2</w:t>
      </w:r>
      <w:r>
        <w:rPr>
          <w:rFonts w:ascii="宋体" w:hAnsi="宋体"/>
        </w:rPr>
        <w:t>投标截止时间以后不得修改投标文件。</w:t>
      </w:r>
    </w:p>
    <w:p>
      <w:pPr>
        <w:ind w:firstLine="470" w:firstLineChars="196"/>
        <w:rPr>
          <w:rFonts w:ascii="宋体" w:hAnsi="宋体"/>
        </w:rPr>
      </w:pPr>
      <w:r>
        <w:rPr>
          <w:rFonts w:ascii="宋体" w:hAnsi="宋体"/>
        </w:rPr>
        <w:t>2</w:t>
      </w:r>
      <w:r>
        <w:rPr>
          <w:rFonts w:ascii="宋体" w:hAnsi="宋体" w:hint="eastAsia"/>
        </w:rPr>
        <w:t>7</w:t>
      </w:r>
      <w:r>
        <w:rPr>
          <w:rFonts w:ascii="宋体" w:hAnsi="宋体"/>
        </w:rPr>
        <w:t>.</w:t>
      </w:r>
      <w:r>
        <w:rPr>
          <w:rFonts w:ascii="宋体" w:hAnsi="宋体" w:hint="eastAsia"/>
        </w:rPr>
        <w:t>3从投标截止期至投标人在投标文件中确定的投标有效期之间的这段时间内，投标人不得撤回其投标。</w:t>
      </w:r>
    </w:p>
    <w:p>
      <w:pPr>
        <w:ind w:firstLine="470" w:firstLineChars="196"/>
        <w:rPr>
          <w:rFonts w:ascii="宋体" w:hAnsi="宋体"/>
          <w:szCs w:val="21"/>
        </w:rPr>
      </w:pPr>
      <w:r>
        <w:rPr>
          <w:rFonts w:ascii="宋体" w:hAnsi="宋体" w:hint="eastAsia"/>
          <w:szCs w:val="21"/>
        </w:rPr>
        <w:t>27.4</w:t>
      </w:r>
      <w:r>
        <w:rPr>
          <w:rFonts w:ascii="宋体" w:eastAsia="宋体" w:hAnsi="宋体" w:hint="eastAsia"/>
          <w:szCs w:val="21"/>
        </w:rPr>
        <w:t>招标机构</w:t>
      </w:r>
      <w:r>
        <w:rPr>
          <w:rFonts w:ascii="宋体" w:hAnsi="宋体" w:hint="eastAsia"/>
          <w:szCs w:val="21"/>
        </w:rPr>
        <w:t>不退还投标文件，专用条款另有规定的除外。</w:t>
      </w:r>
    </w:p>
    <w:p>
      <w:pPr>
        <w:pStyle w:val="Heading2"/>
        <w:numPr>
          <w:ilvl w:val="0"/>
          <w:numId w:val="4"/>
        </w:numPr>
        <w:spacing w:before="120" w:beforeLines="50" w:after="120" w:afterLines="50"/>
        <w:ind w:left="562" w:hanging="562"/>
        <w:rPr>
          <w:sz w:val="28"/>
          <w:szCs w:val="28"/>
        </w:rPr>
      </w:pPr>
      <w:bookmarkEnd w:id="107"/>
      <w:r>
        <w:rPr>
          <w:rFonts w:hint="eastAsia"/>
          <w:sz w:val="28"/>
          <w:szCs w:val="28"/>
        </w:rPr>
        <w:t>开标</w:t>
      </w:r>
    </w:p>
    <w:p>
      <w:pPr>
        <w:rPr>
          <w:rFonts w:ascii="黑体" w:eastAsia="黑体" w:hAnsi="宋体"/>
        </w:rPr>
      </w:pPr>
      <w:r>
        <w:rPr>
          <w:rFonts w:ascii="黑体" w:eastAsia="黑体" w:hAnsi="宋体" w:hint="eastAsia"/>
        </w:rPr>
        <w:t>28．开标</w:t>
      </w:r>
    </w:p>
    <w:p>
      <w:pPr>
        <w:ind w:firstLine="480" w:firstLineChars="200"/>
        <w:rPr>
          <w:rFonts w:ascii="宋体" w:hAnsi="宋体"/>
        </w:rPr>
      </w:pPr>
      <w:r>
        <w:rPr>
          <w:rFonts w:ascii="宋体" w:hAnsi="宋体"/>
          <w:szCs w:val="21"/>
        </w:rPr>
        <w:t>2</w:t>
      </w:r>
      <w:r>
        <w:rPr>
          <w:rFonts w:ascii="宋体" w:hAnsi="宋体" w:hint="eastAsia"/>
          <w:szCs w:val="21"/>
        </w:rPr>
        <w:t>8</w:t>
      </w:r>
      <w:r>
        <w:rPr>
          <w:rFonts w:ascii="宋体" w:hAnsi="宋体"/>
          <w:szCs w:val="21"/>
        </w:rPr>
        <w:t>.</w:t>
      </w:r>
      <w:r>
        <w:rPr>
          <w:rFonts w:ascii="宋体" w:hAnsi="宋体" w:hint="eastAsia"/>
          <w:szCs w:val="21"/>
        </w:rPr>
        <w:t>1</w:t>
      </w:r>
      <w:r>
        <w:rPr>
          <w:rFonts w:ascii="宋体" w:hAnsi="宋体" w:hint="eastAsia"/>
        </w:rPr>
        <w:t>投标人须在开标当日的开标时间至解密截止时间内进行解密，逾期未解密的作无效处理。解密方法：登录“深圳政府采购智慧平台用户网上办事子系统（</w:t>
      </w:r>
      <w:r>
        <w:rPr>
          <w:rFonts w:ascii="宋体" w:hAnsi="宋体"/>
        </w:rPr>
        <w:t>http://zfcg.szggzy.com/</w:t>
      </w:r>
      <w:r>
        <w:rPr>
          <w:rFonts w:ascii="宋体" w:hAnsi="宋体" w:hint="eastAsia"/>
        </w:rPr>
        <w:t>TPBidder/memberLogin）”，使用本单位制作电子投标文件同一个电子密钥，在“【我的项目】→【项目流程】→【开标及解密】”进行在线解密、查询开标情况。</w:t>
      </w:r>
    </w:p>
    <w:p>
      <w:pPr>
        <w:ind w:firstLine="410" w:firstLineChars="171"/>
        <w:rPr>
          <w:rFonts w:ascii="宋体" w:hAnsi="宋体"/>
          <w:szCs w:val="21"/>
        </w:rPr>
      </w:pPr>
      <w:r>
        <w:rPr>
          <w:rFonts w:ascii="宋体" w:hAnsi="宋体" w:hint="eastAsia"/>
          <w:szCs w:val="21"/>
        </w:rPr>
        <w:t>2</w:t>
      </w:r>
      <w:r>
        <w:rPr>
          <w:rFonts w:ascii="宋体" w:hAnsi="宋体"/>
          <w:szCs w:val="21"/>
        </w:rPr>
        <w:t xml:space="preserve">8.2 </w:t>
      </w:r>
      <w:r>
        <w:rPr>
          <w:rFonts w:ascii="宋体" w:eastAsia="宋体" w:hAnsi="宋体" w:hint="eastAsia"/>
          <w:szCs w:val="21"/>
        </w:rPr>
        <w:t>招标机构</w:t>
      </w:r>
      <w:r>
        <w:rPr>
          <w:rFonts w:ascii="宋体" w:hAnsi="宋体" w:hint="eastAsia"/>
          <w:szCs w:val="21"/>
        </w:rPr>
        <w:t>将在满足开标条件（</w:t>
      </w:r>
      <w:r>
        <w:rPr>
          <w:rFonts w:ascii="宋体" w:hAnsi="宋体" w:cs="宋体" w:hint="eastAsia"/>
          <w:color w:val="333333"/>
          <w:sz w:val="20"/>
          <w:szCs w:val="20"/>
          <w:shd w:val="clear" w:color="auto" w:fill="FFFFFF"/>
        </w:rPr>
        <w:t>①</w:t>
      </w:r>
      <w:r>
        <w:rPr>
          <w:rFonts w:ascii="宋体" w:hAnsi="宋体" w:hint="eastAsia"/>
          <w:szCs w:val="21"/>
        </w:rPr>
        <w:t>解密时间结束，解密后的投标供应商数量满足开标要求或</w:t>
      </w:r>
      <w:r>
        <w:rPr>
          <w:rFonts w:ascii="宋体" w:hAnsi="宋体" w:cs="宋体" w:hint="eastAsia"/>
          <w:color w:val="333333"/>
          <w:sz w:val="20"/>
          <w:szCs w:val="20"/>
          <w:shd w:val="clear" w:color="auto" w:fill="FFFFFF"/>
        </w:rPr>
        <w:t>②</w:t>
      </w:r>
      <w:r>
        <w:rPr>
          <w:rFonts w:ascii="宋体" w:hAnsi="宋体" w:hint="eastAsia"/>
          <w:szCs w:val="21"/>
        </w:rPr>
        <w:t>解密时间结束前所有投标供应商均完成投标文件解密）后，对投标文件进行开标，并在网上公布开标结果。</w:t>
      </w:r>
    </w:p>
    <w:p>
      <w:pPr>
        <w:pStyle w:val="Heading2"/>
        <w:numPr>
          <w:ilvl w:val="0"/>
          <w:numId w:val="4"/>
        </w:numPr>
        <w:spacing w:before="120" w:beforeLines="50" w:after="120" w:afterLines="50"/>
        <w:ind w:left="562" w:hanging="562"/>
        <w:rPr>
          <w:sz w:val="28"/>
          <w:szCs w:val="28"/>
        </w:rPr>
      </w:pPr>
      <w:r>
        <w:rPr>
          <w:rFonts w:hint="eastAsia"/>
          <w:sz w:val="28"/>
          <w:szCs w:val="28"/>
        </w:rPr>
        <w:t>评审要求</w:t>
      </w:r>
    </w:p>
    <w:p>
      <w:pPr>
        <w:rPr>
          <w:rFonts w:ascii="黑体" w:eastAsia="黑体" w:hAnsi="宋体"/>
        </w:rPr>
      </w:pPr>
      <w:r>
        <w:rPr>
          <w:rFonts w:ascii="黑体" w:eastAsia="黑体" w:hAnsi="宋体" w:hint="eastAsia"/>
        </w:rPr>
        <w:t>29．评审委员会组成</w:t>
      </w:r>
    </w:p>
    <w:p>
      <w:pPr>
        <w:ind w:firstLine="470" w:firstLineChars="196"/>
        <w:rPr>
          <w:rFonts w:ascii="宋体" w:hAnsi="宋体"/>
        </w:rPr>
      </w:pPr>
      <w:r>
        <w:rPr>
          <w:rFonts w:ascii="宋体" w:hAnsi="宋体" w:hint="eastAsia"/>
        </w:rPr>
        <w:t>29.1网上开标结束后召开评审会议，</w:t>
      </w:r>
      <w:r>
        <w:rPr>
          <w:rFonts w:ascii="宋体" w:hAnsi="宋体" w:hint="eastAsia"/>
          <w:szCs w:val="21"/>
        </w:rPr>
        <w:t>评审委员会</w:t>
      </w:r>
      <w:r>
        <w:rPr>
          <w:rFonts w:ascii="宋体" w:hAnsi="宋体" w:hint="eastAsia"/>
        </w:rPr>
        <w:t>由</w:t>
      </w:r>
      <w:r>
        <w:rPr>
          <w:rFonts w:ascii="宋体" w:eastAsia="宋体" w:hAnsi="宋体" w:hint="eastAsia"/>
        </w:rPr>
        <w:t>招标机构</w:t>
      </w:r>
      <w:r>
        <w:rPr>
          <w:rFonts w:ascii="宋体" w:hAnsi="宋体" w:hint="eastAsia"/>
        </w:rPr>
        <w:t>依法组建，负责评审活动。</w:t>
      </w:r>
    </w:p>
    <w:p>
      <w:pPr>
        <w:ind w:firstLine="470" w:firstLineChars="196"/>
        <w:rPr>
          <w:rFonts w:ascii="宋体" w:hAnsi="宋体"/>
        </w:rPr>
      </w:pPr>
      <w:bookmarkStart w:id="108" w:name="_Hlk72436580"/>
      <w:r>
        <w:rPr>
          <w:rFonts w:ascii="宋体" w:hAnsi="宋体" w:hint="eastAsia"/>
        </w:rPr>
        <w:t>评审委员会由采购人代表和评审专家组成，成员人数应当为5人以上单数（部分条件下为7人以上单数），其中评审专家不得少于成员总数的三分之二。</w:t>
      </w:r>
      <w:bookmarkEnd w:id="108"/>
      <w:r>
        <w:rPr>
          <w:rFonts w:ascii="宋体" w:hAnsi="宋体" w:hint="eastAsia"/>
        </w:rPr>
        <w:t>评定</w:t>
      </w:r>
      <w:r>
        <w:rPr>
          <w:rFonts w:hint="eastAsia"/>
        </w:rPr>
        <w:t>分离项目</w:t>
      </w:r>
      <w:r>
        <w:t>评审专家</w:t>
      </w:r>
      <w:r>
        <w:rPr>
          <w:rFonts w:hint="eastAsia"/>
        </w:rPr>
        <w:t>均</w:t>
      </w:r>
      <w:r>
        <w:t>由</w:t>
      </w:r>
      <w:r>
        <w:rPr>
          <w:rFonts w:hint="eastAsia"/>
        </w:rPr>
        <w:t>评审专家组成。</w:t>
      </w:r>
      <w:r>
        <w:rPr>
          <w:rFonts w:ascii="宋体" w:hAnsi="宋体" w:hint="eastAsia"/>
          <w:szCs w:val="21"/>
        </w:rPr>
        <w:t>评审专家一般是</w:t>
      </w:r>
      <w:r>
        <w:rPr>
          <w:rFonts w:ascii="宋体" w:hAnsi="宋体" w:hint="eastAsia"/>
        </w:rPr>
        <w:t>从深圳市政府采购评审专家库中随机抽取。采购人代表须持本单位签发的《评审授权书》参加评审。</w:t>
      </w:r>
    </w:p>
    <w:p>
      <w:pPr>
        <w:ind w:firstLine="470" w:firstLineChars="196"/>
        <w:rPr>
          <w:rFonts w:ascii="宋体" w:hAnsi="宋体"/>
        </w:rPr>
      </w:pPr>
      <w:r>
        <w:rPr>
          <w:rFonts w:ascii="宋体" w:hAnsi="宋体" w:hint="eastAsia"/>
        </w:rPr>
        <w:t>29.2评审定标应当遵循公平、公正、科学、择优的原则。</w:t>
      </w:r>
    </w:p>
    <w:p>
      <w:pPr>
        <w:ind w:firstLine="470" w:firstLineChars="196"/>
        <w:rPr>
          <w:rFonts w:ascii="宋体" w:hAnsi="宋体"/>
        </w:rPr>
      </w:pPr>
      <w:r>
        <w:rPr>
          <w:rFonts w:ascii="宋体" w:hAnsi="宋体" w:hint="eastAsia"/>
        </w:rPr>
        <w:t>29.3评审活动依法进行，任何单位和个人不得非法干预评标过程和结果。</w:t>
      </w:r>
    </w:p>
    <w:p>
      <w:pPr>
        <w:ind w:firstLine="470" w:firstLineChars="196"/>
        <w:rPr>
          <w:rFonts w:ascii="宋体" w:hAnsi="宋体"/>
        </w:rPr>
      </w:pPr>
      <w:r>
        <w:rPr>
          <w:rFonts w:ascii="宋体" w:hAnsi="宋体" w:hint="eastAsia"/>
        </w:rPr>
        <w:t>29.4评审过程中不允许违背评标程序或采用招标文件未载明的评标方法或评标因素进行评标。</w:t>
      </w:r>
    </w:p>
    <w:p>
      <w:pPr>
        <w:ind w:firstLine="470" w:firstLineChars="196"/>
        <w:rPr>
          <w:rFonts w:ascii="宋体" w:hAnsi="宋体"/>
          <w:bCs/>
        </w:rPr>
      </w:pPr>
      <w:r>
        <w:rPr>
          <w:rFonts w:ascii="宋体" w:hAnsi="宋体" w:hint="eastAsia"/>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ascii="宋体" w:hAnsi="宋体" w:hint="eastAsia"/>
          <w:bCs/>
        </w:rPr>
        <w:t>）。</w:t>
      </w:r>
    </w:p>
    <w:p>
      <w:pPr>
        <w:rPr>
          <w:rFonts w:ascii="黑体" w:eastAsia="黑体" w:hAnsi="宋体"/>
        </w:rPr>
      </w:pPr>
      <w:r>
        <w:rPr>
          <w:rFonts w:ascii="黑体" w:eastAsia="黑体" w:hAnsi="宋体" w:hint="eastAsia"/>
        </w:rPr>
        <w:t>30．向评审委员会提供的资料</w:t>
      </w:r>
    </w:p>
    <w:p>
      <w:pPr>
        <w:ind w:firstLine="470" w:firstLineChars="196"/>
        <w:rPr>
          <w:rFonts w:ascii="宋体" w:hAnsi="宋体"/>
        </w:rPr>
      </w:pPr>
      <w:r>
        <w:rPr>
          <w:rFonts w:ascii="宋体" w:hAnsi="宋体" w:hint="eastAsia"/>
        </w:rPr>
        <w:t>30.1公开发布的招标文件，包括图纸、服务清单、答疑文件等；</w:t>
      </w:r>
    </w:p>
    <w:p>
      <w:pPr>
        <w:ind w:firstLine="470" w:firstLineChars="196"/>
        <w:rPr>
          <w:rFonts w:ascii="宋体" w:hAnsi="宋体"/>
        </w:rPr>
      </w:pPr>
      <w:r>
        <w:rPr>
          <w:rFonts w:ascii="宋体" w:hAnsi="宋体" w:hint="eastAsia"/>
        </w:rPr>
        <w:t>30.2其他评标必须的资料。</w:t>
      </w:r>
    </w:p>
    <w:p>
      <w:pPr>
        <w:ind w:firstLine="470" w:firstLineChars="196"/>
        <w:rPr>
          <w:rFonts w:ascii="宋体" w:hAnsi="宋体"/>
        </w:rPr>
      </w:pPr>
      <w:r>
        <w:rPr>
          <w:rFonts w:ascii="宋体" w:hAnsi="宋体" w:hint="eastAsia"/>
        </w:rPr>
        <w:t>30.3</w:t>
      </w:r>
      <w:r>
        <w:rPr>
          <w:rFonts w:ascii="宋体" w:hAnsi="宋体" w:hint="eastAsia"/>
          <w:szCs w:val="21"/>
        </w:rPr>
        <w:t>评审委员会</w:t>
      </w:r>
      <w:r>
        <w:rPr>
          <w:rFonts w:ascii="宋体" w:hAnsi="宋体" w:hint="eastAsia"/>
        </w:rPr>
        <w:t>应当认真研究招标文件，至少应了解熟悉以下内容：</w:t>
      </w:r>
    </w:p>
    <w:p>
      <w:pPr>
        <w:ind w:firstLine="470" w:firstLineChars="196"/>
        <w:rPr>
          <w:rFonts w:ascii="宋体" w:hAnsi="宋体"/>
        </w:rPr>
      </w:pPr>
      <w:r>
        <w:rPr>
          <w:rFonts w:ascii="宋体" w:hAnsi="宋体" w:hint="eastAsia"/>
        </w:rPr>
        <w:t>（1）招标的目的；</w:t>
      </w:r>
    </w:p>
    <w:p>
      <w:pPr>
        <w:ind w:firstLine="470" w:firstLineChars="196"/>
        <w:rPr>
          <w:rFonts w:ascii="宋体" w:hAnsi="宋体"/>
        </w:rPr>
      </w:pPr>
      <w:r>
        <w:rPr>
          <w:rFonts w:ascii="宋体" w:hAnsi="宋体" w:hint="eastAsia"/>
        </w:rPr>
        <w:t>（2）招标项目需求的范围和性质；</w:t>
      </w:r>
    </w:p>
    <w:p>
      <w:pPr>
        <w:ind w:firstLine="470" w:firstLineChars="196"/>
        <w:rPr>
          <w:rFonts w:ascii="宋体" w:hAnsi="宋体"/>
        </w:rPr>
      </w:pPr>
      <w:r>
        <w:rPr>
          <w:rFonts w:ascii="宋体" w:hAnsi="宋体" w:hint="eastAsia"/>
        </w:rPr>
        <w:t>（3）招标文件规定的投标人的资格、财政预算限额、商务条款；</w:t>
      </w:r>
    </w:p>
    <w:p>
      <w:pPr>
        <w:ind w:firstLine="470" w:firstLineChars="196"/>
        <w:rPr>
          <w:rFonts w:ascii="宋体" w:hAnsi="宋体"/>
        </w:rPr>
      </w:pPr>
      <w:r>
        <w:rPr>
          <w:rFonts w:ascii="宋体" w:hAnsi="宋体" w:hint="eastAsia"/>
        </w:rPr>
        <w:t>（4）招标文件规定的评标程序、评标方法和评标因素；</w:t>
      </w:r>
    </w:p>
    <w:p>
      <w:pPr>
        <w:ind w:firstLine="470" w:firstLineChars="196"/>
        <w:rPr>
          <w:rFonts w:ascii="宋体" w:hAnsi="宋体"/>
        </w:rPr>
      </w:pPr>
      <w:r>
        <w:rPr>
          <w:rFonts w:ascii="宋体" w:hAnsi="宋体" w:hint="eastAsia"/>
        </w:rPr>
        <w:t>（5）招标文件所列示的资格性审查表及符合性审查表。</w:t>
      </w:r>
    </w:p>
    <w:p>
      <w:pPr>
        <w:rPr>
          <w:rFonts w:ascii="黑体" w:eastAsia="黑体" w:hAnsi="宋体"/>
        </w:rPr>
      </w:pPr>
      <w:r>
        <w:rPr>
          <w:rFonts w:ascii="黑体" w:eastAsia="黑体" w:hAnsi="宋体" w:hint="eastAsia"/>
        </w:rPr>
        <w:t>31．独立评审</w:t>
      </w:r>
    </w:p>
    <w:p>
      <w:pPr>
        <w:ind w:firstLine="470" w:firstLineChars="196"/>
        <w:rPr>
          <w:rFonts w:ascii="宋体" w:hAnsi="宋体"/>
          <w:bCs/>
        </w:rPr>
      </w:pPr>
      <w:r>
        <w:rPr>
          <w:rFonts w:ascii="宋体" w:hAnsi="宋体" w:hint="eastAsia"/>
          <w:bCs/>
        </w:rPr>
        <w:t>3</w:t>
      </w:r>
      <w:r>
        <w:rPr>
          <w:rFonts w:ascii="宋体" w:hAnsi="宋体"/>
          <w:bCs/>
        </w:rPr>
        <w:t>1</w:t>
      </w:r>
      <w:r>
        <w:rPr>
          <w:rFonts w:ascii="宋体" w:hAnsi="宋体" w:hint="eastAsia"/>
          <w:bCs/>
        </w:rPr>
        <w:t>.1</w:t>
      </w:r>
      <w:r>
        <w:rPr>
          <w:rFonts w:ascii="宋体" w:hAnsi="宋体" w:hint="eastAsia"/>
          <w:szCs w:val="21"/>
        </w:rPr>
        <w:t>评审委员会</w:t>
      </w:r>
      <w:r>
        <w:rPr>
          <w:rFonts w:ascii="宋体" w:hAnsi="宋体" w:hint="eastAsia"/>
          <w:bCs/>
        </w:rPr>
        <w:t>成员的评标活动应当独立进行，并应遵循投标文件初审、澄清有关问题、比较与评价、确定中标供应商、编写评审报告的工作程序。</w:t>
      </w:r>
    </w:p>
    <w:p>
      <w:pPr>
        <w:pStyle w:val="Heading2"/>
        <w:numPr>
          <w:ilvl w:val="0"/>
          <w:numId w:val="4"/>
        </w:numPr>
        <w:spacing w:before="120" w:beforeLines="50" w:after="120" w:afterLines="50"/>
        <w:ind w:left="562" w:hanging="562"/>
        <w:rPr>
          <w:sz w:val="28"/>
          <w:szCs w:val="28"/>
        </w:rPr>
      </w:pPr>
      <w:r>
        <w:rPr>
          <w:rFonts w:hint="eastAsia"/>
          <w:sz w:val="28"/>
          <w:szCs w:val="28"/>
        </w:rPr>
        <w:t>评审程序及评审方法</w:t>
      </w:r>
    </w:p>
    <w:p>
      <w:pPr>
        <w:rPr>
          <w:rFonts w:ascii="黑体" w:eastAsia="黑体" w:hAnsi="宋体"/>
        </w:rPr>
      </w:pPr>
      <w:r>
        <w:rPr>
          <w:rFonts w:ascii="黑体" w:eastAsia="黑体" w:hAnsi="宋体" w:hint="eastAsia"/>
        </w:rPr>
        <w:t>32．投标文件初审</w:t>
      </w:r>
    </w:p>
    <w:p>
      <w:pPr>
        <w:ind w:firstLine="470" w:firstLineChars="196"/>
        <w:rPr>
          <w:rFonts w:ascii="宋体" w:hAnsi="宋体"/>
        </w:rPr>
      </w:pPr>
      <w:r>
        <w:rPr>
          <w:rFonts w:ascii="宋体" w:hAnsi="宋体" w:hint="eastAsia"/>
        </w:rPr>
        <w:t>32.1投标文件初审包括资格性审查和符合性审查。</w:t>
      </w:r>
    </w:p>
    <w:p>
      <w:pPr>
        <w:ind w:firstLine="470" w:firstLineChars="196"/>
        <w:rPr>
          <w:rFonts w:ascii="宋体" w:hAnsi="宋体"/>
        </w:rPr>
      </w:pPr>
      <w:r>
        <w:rPr>
          <w:rFonts w:ascii="宋体" w:hAnsi="宋体" w:hint="eastAsia"/>
        </w:rPr>
        <w:t>资格性审查：依据法律法规和招标文件的规定，对投标文件中的资格证明等进行审查，以确定投标供应商是否具备投标资格。</w:t>
      </w:r>
    </w:p>
    <w:p>
      <w:pPr>
        <w:ind w:firstLine="470" w:firstLineChars="196"/>
        <w:rPr>
          <w:rFonts w:ascii="宋体" w:hAnsi="宋体"/>
        </w:rPr>
      </w:pPr>
      <w:r>
        <w:rPr>
          <w:rFonts w:ascii="宋体" w:hAnsi="宋体" w:hint="eastAsia"/>
        </w:rPr>
        <w:t>符合性审查：依据招标文件的规定，对投标文件的有效性、完整性和对招标文件的响应程度进行审查，以确定是否满足符合性审查的要求。</w:t>
      </w:r>
    </w:p>
    <w:p>
      <w:pPr>
        <w:ind w:firstLine="470" w:firstLineChars="196"/>
        <w:rPr>
          <w:rFonts w:ascii="宋体" w:hAnsi="宋体"/>
        </w:rPr>
      </w:pPr>
      <w:r>
        <w:rPr>
          <w:rFonts w:ascii="宋体" w:hAnsi="宋体" w:hint="eastAsia"/>
        </w:rPr>
        <w:t>32.2 投标文件初审内容请详见《资格性审查表》和《符合性审查表》部分。投标人若有一条审查不通过则按投标无效处理。</w:t>
      </w:r>
    </w:p>
    <w:p>
      <w:pPr>
        <w:ind w:firstLine="470" w:firstLineChars="196"/>
        <w:rPr>
          <w:rFonts w:ascii="宋体" w:hAnsi="宋体"/>
          <w:bCs/>
        </w:rPr>
      </w:pPr>
      <w:r>
        <w:rPr>
          <w:rFonts w:ascii="宋体" w:hAnsi="宋体" w:hint="eastAsia"/>
          <w:bCs/>
        </w:rPr>
        <w:t>32.3 投标文件初审中关于供应商家数的计算:</w:t>
      </w:r>
    </w:p>
    <w:p>
      <w:pPr>
        <w:ind w:firstLine="470" w:firstLineChars="196"/>
        <w:rPr>
          <w:rFonts w:ascii="宋体" w:hAnsi="宋体"/>
          <w:bCs/>
        </w:rPr>
      </w:pPr>
      <w:r>
        <w:rPr>
          <w:rFonts w:ascii="宋体" w:hAnsi="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hAnsi="宋体"/>
          <w:bCs/>
        </w:rPr>
      </w:pPr>
      <w:r>
        <w:rPr>
          <w:rFonts w:ascii="宋体" w:hAnsi="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szCs w:val="21"/>
        </w:rPr>
        <w:t>评审委员会</w:t>
      </w:r>
      <w:r>
        <w:rPr>
          <w:rFonts w:ascii="宋体" w:hAnsi="宋体" w:hint="eastAsia"/>
          <w:bCs/>
        </w:rPr>
        <w:t>按照招标文件规定的方式确定一个投标人获得中标人推荐资格，招标文件未规定的采取随机抽取方式确定，其他同品牌投标人不作为中标候选人。</w:t>
      </w:r>
    </w:p>
    <w:p>
      <w:pPr>
        <w:ind w:firstLine="470" w:firstLineChars="196"/>
        <w:rPr>
          <w:rFonts w:ascii="宋体" w:hAnsi="宋体"/>
          <w:bCs/>
        </w:rPr>
      </w:pPr>
      <w:r>
        <w:rPr>
          <w:rFonts w:ascii="宋体" w:hAnsi="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hAnsi="宋体"/>
        </w:rPr>
      </w:pPr>
      <w:r>
        <w:rPr>
          <w:rFonts w:ascii="宋体" w:hAnsi="宋体" w:hint="eastAsia"/>
        </w:rPr>
        <w:t>32.4投标人投标文件作无效处理的情形，具体包括但不限于以下：</w:t>
      </w:r>
    </w:p>
    <w:p>
      <w:pPr>
        <w:ind w:firstLine="470" w:firstLineChars="196"/>
      </w:pPr>
      <w:r>
        <w:rPr>
          <w:rFonts w:ascii="宋体" w:hAnsi="宋体" w:hint="eastAsia"/>
        </w:rPr>
        <w:t>32.4.1</w:t>
      </w:r>
      <w:r>
        <w:rPr>
          <w:rFonts w:hint="eastAsia"/>
        </w:rPr>
        <w:t>不同投标人的投标文件由同一单位或者同一个人编制，或者由同一个人分阶段参与编制；</w:t>
      </w:r>
    </w:p>
    <w:p>
      <w:pPr>
        <w:ind w:firstLine="470" w:firstLineChars="196"/>
      </w:pPr>
      <w:r>
        <w:rPr>
          <w:rFonts w:ascii="宋体" w:hAnsi="宋体"/>
        </w:rPr>
        <w:t>32.4.</w:t>
      </w:r>
      <w:r>
        <w:rPr>
          <w:rFonts w:ascii="宋体" w:hAnsi="宋体" w:hint="eastAsia"/>
        </w:rPr>
        <w:t>2</w:t>
      </w:r>
      <w:r>
        <w:rPr>
          <w:rFonts w:hint="eastAsia"/>
        </w:rPr>
        <w:t>不同投标人委托同一单位或者个人办理投标事宜；</w:t>
      </w:r>
    </w:p>
    <w:p>
      <w:pPr>
        <w:ind w:firstLine="470" w:firstLineChars="196"/>
        <w:rPr>
          <w:rFonts w:ascii="宋体" w:hAnsi="宋体"/>
        </w:rPr>
      </w:pPr>
      <w:r>
        <w:rPr>
          <w:rFonts w:ascii="宋体" w:hAnsi="宋体" w:hint="eastAsia"/>
        </w:rPr>
        <w:t>32.4.3不同投标人的投标文件载明的项目管理成员或者联系人员为同一人；</w:t>
      </w:r>
    </w:p>
    <w:p>
      <w:pPr>
        <w:ind w:firstLine="470" w:firstLineChars="196"/>
        <w:rPr>
          <w:rFonts w:ascii="宋体" w:hAnsi="宋体"/>
        </w:rPr>
      </w:pPr>
      <w:r>
        <w:rPr>
          <w:rFonts w:ascii="宋体" w:hAnsi="宋体" w:hint="eastAsia"/>
        </w:rPr>
        <w:t>32.4.4不同投标人的投标文件异常一致或者投标报价呈规律性差异；</w:t>
      </w:r>
    </w:p>
    <w:p>
      <w:pPr>
        <w:ind w:firstLine="470" w:firstLineChars="196"/>
        <w:rPr>
          <w:rFonts w:ascii="宋体" w:hAnsi="宋体"/>
        </w:rPr>
      </w:pPr>
      <w:r>
        <w:rPr>
          <w:rFonts w:ascii="宋体" w:hAnsi="宋体" w:hint="eastAsia"/>
        </w:rPr>
        <w:t>32.4.5</w:t>
      </w:r>
      <w:r>
        <w:rPr>
          <w:rFonts w:ascii="宋体" w:hAnsi="宋体"/>
        </w:rPr>
        <w:t>不同投标供应商的投标文件或部分投标文件相互混装</w:t>
      </w:r>
      <w:r>
        <w:rPr>
          <w:rFonts w:ascii="宋体" w:hAnsi="宋体" w:hint="eastAsia"/>
        </w:rPr>
        <w:t>；</w:t>
      </w:r>
    </w:p>
    <w:p>
      <w:pPr>
        <w:ind w:firstLine="470" w:firstLineChars="196"/>
        <w:rPr>
          <w:rFonts w:ascii="宋体" w:hAnsi="宋体"/>
        </w:rPr>
      </w:pPr>
      <w:r>
        <w:rPr>
          <w:rFonts w:ascii="宋体" w:hAnsi="宋体" w:hint="eastAsia"/>
        </w:rPr>
        <w:t>32.4.6投标供应商之间相互约定给予未中标的供应商利益补偿；</w:t>
      </w:r>
    </w:p>
    <w:p>
      <w:pPr>
        <w:ind w:firstLine="470" w:firstLineChars="196"/>
        <w:rPr>
          <w:rFonts w:ascii="宋体" w:hAnsi="宋体"/>
        </w:rPr>
      </w:pPr>
      <w:r>
        <w:rPr>
          <w:rFonts w:ascii="宋体" w:hAnsi="宋体" w:hint="eastAsia"/>
        </w:rPr>
        <w:t>32.4.7不同投标供应商的法定代表人、主要经营负责人、项目投标授权代表人、项目负责人、主要技术人员为同一人、属同一单位或者同一单位缴纳社会保险；</w:t>
      </w:r>
    </w:p>
    <w:p>
      <w:pPr>
        <w:ind w:firstLine="470" w:firstLineChars="196"/>
        <w:rPr>
          <w:rFonts w:ascii="宋体" w:hAnsi="宋体"/>
        </w:rPr>
      </w:pPr>
      <w:r>
        <w:rPr>
          <w:rFonts w:ascii="宋体" w:hAnsi="宋体" w:hint="eastAsia"/>
        </w:rPr>
        <w:t>32.4.8不同投标供应商的投标文件内容存在非正常一致；</w:t>
      </w:r>
    </w:p>
    <w:p>
      <w:pPr>
        <w:ind w:firstLine="470" w:firstLineChars="196"/>
        <w:rPr>
          <w:rFonts w:ascii="宋体" w:hAnsi="宋体"/>
        </w:rPr>
      </w:pPr>
      <w:r>
        <w:rPr>
          <w:rFonts w:ascii="宋体" w:hAnsi="宋体" w:hint="eastAsia"/>
        </w:rPr>
        <w:t>32.4.9在同一单位工作人员为两家以上（含两家）供应商进行同一项投标活动；</w:t>
      </w:r>
    </w:p>
    <w:p>
      <w:pPr>
        <w:ind w:firstLine="470" w:firstLineChars="196"/>
        <w:rPr>
          <w:rFonts w:ascii="宋体" w:hAnsi="宋体"/>
        </w:rPr>
      </w:pPr>
      <w:r>
        <w:rPr>
          <w:rFonts w:ascii="宋体" w:hAnsi="宋体" w:hint="eastAsia"/>
        </w:rPr>
        <w:t>32.4.10主管部门依照法律、法规认定的其他情形。</w:t>
      </w:r>
    </w:p>
    <w:p>
      <w:pPr>
        <w:ind w:firstLine="470" w:firstLineChars="196"/>
        <w:rPr>
          <w:rFonts w:ascii="宋体" w:hAnsi="宋体"/>
        </w:rPr>
      </w:pPr>
      <w:r>
        <w:rPr>
          <w:rFonts w:ascii="宋体" w:hAnsi="宋体" w:hint="eastAsia"/>
        </w:rPr>
        <w:t>32.5对不属于《资格性审查表》和《符合性审查表》所列的其他情形，除专用条款另有规定和32.4条款所列情形外，不得作为投标无效的理由。</w:t>
      </w:r>
    </w:p>
    <w:p>
      <w:pPr>
        <w:rPr>
          <w:rFonts w:ascii="黑体" w:eastAsia="黑体" w:hAnsi="宋体"/>
        </w:rPr>
      </w:pPr>
      <w:r>
        <w:rPr>
          <w:rFonts w:ascii="黑体" w:eastAsia="黑体" w:hAnsi="宋体" w:hint="eastAsia"/>
        </w:rPr>
        <w:t>33．澄清有关问题</w:t>
      </w:r>
    </w:p>
    <w:p>
      <w:pPr>
        <w:ind w:firstLine="470" w:firstLineChars="196"/>
        <w:rPr>
          <w:rFonts w:ascii="宋体" w:hAnsi="宋体"/>
        </w:rPr>
      </w:pPr>
      <w:bookmarkStart w:id="109" w:name="_Hlk71407321"/>
      <w:r>
        <w:rPr>
          <w:rFonts w:ascii="宋体" w:hAnsi="宋体" w:hint="eastAsia"/>
        </w:rPr>
        <w:t>3</w:t>
      </w:r>
      <w:r>
        <w:rPr>
          <w:rFonts w:ascii="宋体" w:hAnsi="宋体"/>
        </w:rPr>
        <w:t>3.1</w:t>
      </w:r>
      <w:r>
        <w:rPr>
          <w:rFonts w:ascii="宋体" w:hAnsi="宋体" w:hint="eastAsia"/>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ascii="宋体" w:hAnsi="宋体" w:hint="eastAsia"/>
        </w:rPr>
        <w:t>，评审委员会有权进行评判，但对同一条款的评判应适用于每个投标人。</w:t>
      </w:r>
      <w:bookmarkEnd w:id="109"/>
    </w:p>
    <w:p>
      <w:pPr>
        <w:ind w:firstLine="470" w:firstLineChars="196"/>
        <w:rPr>
          <w:rFonts w:ascii="宋体" w:hAnsi="宋体"/>
        </w:rPr>
      </w:pPr>
      <w:r>
        <w:rPr>
          <w:rFonts w:ascii="宋体" w:hAnsi="宋体" w:hint="eastAsia"/>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eastAsia="宋体" w:hint="eastAsia"/>
          <w:szCs w:val="21"/>
        </w:rPr>
        <w:t>招标机构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pPr>
        <w:ind w:firstLine="470" w:firstLineChars="196"/>
        <w:rPr>
          <w:rFonts w:ascii="宋体" w:hAnsi="宋体"/>
        </w:rPr>
      </w:pPr>
      <w:r>
        <w:rPr>
          <w:rFonts w:ascii="宋体" w:hAnsi="宋体"/>
        </w:rPr>
        <w:t>33.3</w:t>
      </w:r>
      <w:r>
        <w:rPr>
          <w:rFonts w:ascii="宋体" w:hAnsi="宋体" w:hint="eastAsia"/>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hAnsi="宋体"/>
        </w:rPr>
      </w:pPr>
      <w:r>
        <w:rPr>
          <w:rFonts w:ascii="宋体" w:hAnsi="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hAnsi="宋体"/>
          <w:szCs w:val="21"/>
        </w:rPr>
      </w:pPr>
      <w:r>
        <w:rPr>
          <w:rFonts w:ascii="宋体" w:hAnsi="宋体" w:hint="eastAsia"/>
          <w:szCs w:val="21"/>
        </w:rPr>
        <w:t>根据本通用条款第34条，凡属于评审委员会在评审中发现的算术错误进行核实的修改不在此列。</w:t>
      </w:r>
    </w:p>
    <w:p>
      <w:pPr>
        <w:rPr>
          <w:rFonts w:ascii="黑体" w:eastAsia="黑体" w:hAnsi="宋体"/>
        </w:rPr>
      </w:pPr>
      <w:bookmarkStart w:id="110" w:name="_Toc100052400"/>
      <w:bookmarkStart w:id="111" w:name="_Toc73517673"/>
      <w:bookmarkStart w:id="112" w:name="_Toc73521669"/>
      <w:bookmarkStart w:id="113" w:name="_Toc73521581"/>
      <w:bookmarkStart w:id="114" w:name="_Toc73518151"/>
      <w:r>
        <w:rPr>
          <w:rFonts w:ascii="黑体" w:eastAsia="黑体" w:hAnsi="宋体" w:hint="eastAsia"/>
        </w:rPr>
        <w:t>34．错误的修正</w:t>
      </w:r>
      <w:bookmarkEnd w:id="110"/>
      <w:bookmarkEnd w:id="111"/>
      <w:bookmarkEnd w:id="112"/>
      <w:bookmarkEnd w:id="113"/>
      <w:bookmarkEnd w:id="114"/>
    </w:p>
    <w:p>
      <w:pPr>
        <w:ind w:firstLine="470" w:firstLineChars="196"/>
        <w:rPr>
          <w:rFonts w:ascii="宋体" w:hAnsi="宋体"/>
          <w:szCs w:val="21"/>
        </w:rPr>
      </w:pPr>
      <w:r>
        <w:rPr>
          <w:rFonts w:ascii="宋体" w:hAnsi="宋体" w:hint="eastAsia"/>
          <w:szCs w:val="21"/>
        </w:rPr>
        <w:t>投标文件报价出现前后不一致的，除专用条款另有规定外，按照下列规定修正：</w:t>
      </w:r>
    </w:p>
    <w:p>
      <w:pPr>
        <w:ind w:firstLine="470" w:firstLineChars="196"/>
        <w:rPr>
          <w:rFonts w:ascii="宋体" w:hAnsi="宋体"/>
          <w:szCs w:val="21"/>
        </w:rPr>
      </w:pPr>
      <w:r>
        <w:rPr>
          <w:rFonts w:ascii="宋体" w:hAnsi="宋体" w:hint="eastAsia"/>
          <w:szCs w:val="21"/>
        </w:rPr>
        <w:t>34.1投标文件中开标一览表投标报价内容与投标文件中投标报价相应内容不一致的，以开标一览表为准；</w:t>
      </w:r>
    </w:p>
    <w:p>
      <w:pPr>
        <w:ind w:firstLine="470" w:firstLineChars="196"/>
        <w:rPr>
          <w:rFonts w:ascii="宋体" w:hAnsi="宋体"/>
          <w:szCs w:val="21"/>
        </w:rPr>
      </w:pPr>
      <w:r>
        <w:rPr>
          <w:rFonts w:ascii="宋体" w:hAnsi="宋体" w:hint="eastAsia"/>
          <w:szCs w:val="21"/>
        </w:rPr>
        <w:t>34.2大写金额和小写金额不一致的，以大写金额为准；</w:t>
      </w:r>
    </w:p>
    <w:p>
      <w:pPr>
        <w:ind w:firstLine="470" w:firstLineChars="196"/>
        <w:rPr>
          <w:rFonts w:ascii="宋体" w:hAnsi="宋体"/>
          <w:szCs w:val="21"/>
        </w:rPr>
      </w:pPr>
      <w:r>
        <w:rPr>
          <w:rFonts w:ascii="宋体" w:hAnsi="宋体" w:hint="eastAsia"/>
          <w:szCs w:val="21"/>
        </w:rPr>
        <w:t>34.3单价金额小数点或者百分比有明显错位，以开标一览表的总价为准，并修改单价；</w:t>
      </w:r>
    </w:p>
    <w:p>
      <w:pPr>
        <w:ind w:firstLine="470" w:firstLineChars="196"/>
        <w:rPr>
          <w:rFonts w:ascii="宋体" w:hAnsi="宋体"/>
          <w:szCs w:val="21"/>
        </w:rPr>
      </w:pPr>
      <w:r>
        <w:rPr>
          <w:rFonts w:ascii="宋体" w:hAnsi="宋体" w:hint="eastAsia"/>
          <w:szCs w:val="21"/>
        </w:rPr>
        <w:t>34.4总价金额与按单价汇总金额不一致的，以单价金额计算结果为准。</w:t>
      </w:r>
    </w:p>
    <w:p>
      <w:pPr>
        <w:ind w:firstLine="470" w:firstLineChars="196"/>
        <w:rPr>
          <w:rFonts w:ascii="宋体" w:hAnsi="宋体"/>
          <w:szCs w:val="21"/>
        </w:rPr>
      </w:pPr>
      <w:r>
        <w:rPr>
          <w:rFonts w:ascii="宋体" w:hAnsi="宋体" w:hint="eastAsia"/>
          <w:szCs w:val="21"/>
        </w:rPr>
        <w:t>34.5同时出现两种以上不一致的，按照前款规定的顺序修正。修正后的报价按照本通用条款33条的规定，经投标人确认后产生约束力，投标人不确认的，其投标无效。</w:t>
      </w:r>
    </w:p>
    <w:p>
      <w:pPr>
        <w:rPr>
          <w:rFonts w:ascii="黑体" w:eastAsia="黑体" w:hAnsi="宋体"/>
        </w:rPr>
      </w:pPr>
      <w:r>
        <w:rPr>
          <w:rFonts w:ascii="黑体" w:eastAsia="黑体" w:hAnsi="宋体" w:hint="eastAsia"/>
        </w:rPr>
        <w:t>35．投标文件的比较与评价</w:t>
      </w:r>
    </w:p>
    <w:p>
      <w:pPr>
        <w:ind w:firstLine="470" w:firstLineChars="196"/>
        <w:rPr>
          <w:rFonts w:ascii="宋体" w:hAnsi="宋体"/>
          <w:szCs w:val="21"/>
        </w:rPr>
      </w:pPr>
      <w:r>
        <w:rPr>
          <w:rFonts w:ascii="宋体" w:hAnsi="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hAnsi="宋体"/>
          <w:szCs w:val="21"/>
        </w:rPr>
      </w:pPr>
      <w:r>
        <w:rPr>
          <w:rFonts w:ascii="宋体" w:hAnsi="宋体" w:hint="eastAsia"/>
          <w:szCs w:val="21"/>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rPr>
      </w:pPr>
      <w:r>
        <w:rPr>
          <w:rFonts w:ascii="黑体" w:eastAsia="黑体" w:hAnsi="宋体" w:hint="eastAsia"/>
        </w:rPr>
        <w:t>36. 实地考察或资料查验</w:t>
      </w:r>
    </w:p>
    <w:p>
      <w:pPr>
        <w:ind w:firstLine="470" w:firstLineChars="196"/>
        <w:rPr>
          <w:rFonts w:ascii="宋体" w:hAnsi="宋体"/>
          <w:szCs w:val="21"/>
        </w:rPr>
      </w:pPr>
      <w:r>
        <w:rPr>
          <w:rFonts w:ascii="宋体" w:hAnsi="宋体" w:hint="eastAsia"/>
          <w:szCs w:val="21"/>
        </w:rPr>
        <w:t>36.1在评审过程中，评审委员会有权决定是否对本项目投标人进行实地考察或资料查验（原件）。投标人应随时做好接受实地考察或资料查验的准备。</w:t>
      </w:r>
    </w:p>
    <w:p>
      <w:pPr>
        <w:rPr>
          <w:rFonts w:ascii="黑体" w:eastAsia="黑体" w:hAnsi="宋体"/>
        </w:rPr>
      </w:pPr>
      <w:r>
        <w:rPr>
          <w:rFonts w:ascii="黑体" w:eastAsia="黑体" w:hAnsi="宋体" w:hint="eastAsia"/>
        </w:rPr>
        <w:t>37．评审方法</w:t>
      </w:r>
    </w:p>
    <w:p>
      <w:pPr>
        <w:ind w:firstLine="470" w:firstLineChars="196"/>
        <w:rPr>
          <w:rFonts w:ascii="宋体" w:hAnsi="宋体"/>
          <w:b/>
          <w:bCs/>
          <w:szCs w:val="21"/>
        </w:rPr>
      </w:pPr>
      <w:r>
        <w:rPr>
          <w:rFonts w:ascii="宋体" w:hAnsi="宋体" w:hint="eastAsia"/>
          <w:b/>
          <w:bCs/>
          <w:szCs w:val="21"/>
        </w:rPr>
        <w:t>37.1.1最低价法</w:t>
      </w:r>
    </w:p>
    <w:p>
      <w:pPr>
        <w:ind w:firstLine="470" w:firstLineChars="196"/>
        <w:rPr>
          <w:rFonts w:ascii="ˎ̥" w:hAnsi="ˎ̥"/>
        </w:rPr>
      </w:pPr>
      <w:bookmarkStart w:id="115" w:name="_Hlk72438142"/>
      <w:r>
        <w:rPr>
          <w:rFonts w:ascii="ˎ̥" w:hAnsi="ˎ̥"/>
        </w:rPr>
        <w:t>最低价法，是指</w:t>
      </w:r>
      <w:r>
        <w:rPr>
          <w:rFonts w:ascii="ˎ̥" w:hAnsi="ˎ̥" w:hint="eastAsia"/>
        </w:rPr>
        <w:t>完全</w:t>
      </w:r>
      <w:r>
        <w:rPr>
          <w:rFonts w:ascii="ˎ̥" w:hAnsi="ˎ̥"/>
        </w:rPr>
        <w:t>满足招标文件实质性要求，</w:t>
      </w:r>
      <w:r>
        <w:rPr>
          <w:rFonts w:ascii="ˎ̥" w:hAnsi="ˎ̥" w:hint="eastAsia"/>
        </w:rPr>
        <w:t>按照报价由低到高的顺序，依据招标文件中规定的数量或者比例推荐候选中标供应商。</w:t>
      </w:r>
    </w:p>
    <w:p>
      <w:pPr>
        <w:ind w:firstLine="470" w:firstLineChars="196"/>
        <w:rPr>
          <w:rFonts w:ascii="宋体" w:hAnsi="宋体"/>
          <w:b/>
          <w:bCs/>
          <w:szCs w:val="21"/>
        </w:rPr>
      </w:pPr>
      <w:r>
        <w:rPr>
          <w:rFonts w:ascii="宋体" w:hAnsi="宋体" w:hint="eastAsia"/>
          <w:b/>
          <w:bCs/>
          <w:szCs w:val="21"/>
        </w:rPr>
        <w:t>37.1.2综合评分法</w:t>
      </w:r>
    </w:p>
    <w:p>
      <w:pPr>
        <w:ind w:firstLine="470" w:firstLineChars="196"/>
        <w:rPr>
          <w:rFonts w:ascii="ˎ̥" w:hAnsi="ˎ̥"/>
        </w:rPr>
      </w:pPr>
      <w:r>
        <w:rPr>
          <w:rFonts w:ascii="ˎ̥" w:hAnsi="ˎ̥"/>
        </w:rPr>
        <w:t>综合评分法，是指</w:t>
      </w:r>
      <w:r>
        <w:rPr>
          <w:rFonts w:ascii="ˎ̥" w:hAnsi="ˎ̥" w:hint="eastAsia"/>
        </w:rPr>
        <w:t>在</w:t>
      </w:r>
      <w:r>
        <w:rPr>
          <w:rFonts w:ascii="ˎ̥" w:hAnsi="ˎ̥"/>
        </w:rPr>
        <w:t>满足招标文件全部实质性要求</w:t>
      </w:r>
      <w:r>
        <w:rPr>
          <w:rFonts w:ascii="ˎ̥" w:hAnsi="ˎ̥" w:hint="eastAsia"/>
        </w:rPr>
        <w:t>的前提下</w:t>
      </w:r>
      <w:r>
        <w:rPr>
          <w:rFonts w:ascii="ˎ̥" w:hAnsi="ˎ̥"/>
        </w:rPr>
        <w:t>，</w:t>
      </w:r>
      <w:r>
        <w:rPr>
          <w:rFonts w:ascii="ˎ̥" w:hAnsi="ˎ̥" w:hint="eastAsia"/>
        </w:rPr>
        <w:t>按照招标文件中规定的各项因素进行综合评审，评审总得分排名前列的投标人，作为推荐的候选中标供应商。</w:t>
      </w:r>
      <w:bookmarkEnd w:id="115"/>
    </w:p>
    <w:p>
      <w:pPr>
        <w:ind w:firstLine="470" w:firstLineChars="196"/>
        <w:rPr>
          <w:rFonts w:ascii="宋体" w:hAnsi="宋体"/>
          <w:b/>
          <w:bCs/>
          <w:szCs w:val="21"/>
        </w:rPr>
      </w:pPr>
      <w:r>
        <w:rPr>
          <w:rFonts w:ascii="宋体" w:hAnsi="宋体" w:hint="eastAsia"/>
          <w:b/>
          <w:bCs/>
          <w:szCs w:val="21"/>
        </w:rPr>
        <w:t>37.2 本项目采用的评审方法见本项目招标文件第一册“专用条款”的相关内容。</w:t>
      </w:r>
    </w:p>
    <w:p>
      <w:pPr>
        <w:ind w:firstLine="470" w:firstLineChars="196"/>
        <w:rPr>
          <w:rFonts w:ascii="宋体" w:hAnsi="宋体"/>
          <w:b/>
          <w:bCs/>
          <w:szCs w:val="21"/>
        </w:rPr>
      </w:pPr>
      <w:r>
        <w:rPr>
          <w:rFonts w:ascii="宋体" w:hAnsi="宋体" w:hint="eastAsia"/>
          <w:b/>
          <w:bCs/>
          <w:szCs w:val="21"/>
        </w:rPr>
        <w:t>37.3重新评审的情形</w:t>
      </w:r>
    </w:p>
    <w:p>
      <w:pPr>
        <w:ind w:firstLine="470" w:firstLineChars="196"/>
        <w:rPr>
          <w:rFonts w:ascii="宋体" w:hAnsi="宋体"/>
          <w:b/>
          <w:bCs/>
          <w:szCs w:val="21"/>
        </w:rPr>
      </w:pPr>
      <w:r>
        <w:rPr>
          <w:rFonts w:ascii="宋体" w:hAnsi="宋体" w:cs="宋体" w:hint="eastAsia"/>
          <w:szCs w:val="21"/>
        </w:rPr>
        <w:t>评审结果汇总完成后，除下列情形外，任何人不得修改评审结果：</w:t>
      </w:r>
    </w:p>
    <w:p>
      <w:pPr>
        <w:ind w:firstLine="470" w:firstLineChars="196"/>
        <w:rPr>
          <w:rFonts w:ascii="宋体" w:hAnsi="宋体" w:cs="宋体"/>
          <w:szCs w:val="21"/>
        </w:rPr>
      </w:pPr>
      <w:r>
        <w:rPr>
          <w:rFonts w:ascii="宋体" w:hAnsi="宋体" w:cs="宋体" w:hint="eastAsia"/>
          <w:szCs w:val="21"/>
        </w:rPr>
        <w:t>37.3.1分值汇总计算错误的；</w:t>
      </w:r>
    </w:p>
    <w:p>
      <w:pPr>
        <w:ind w:firstLine="470" w:firstLineChars="196"/>
        <w:rPr>
          <w:rFonts w:ascii="宋体" w:hAnsi="宋体" w:cs="宋体"/>
          <w:szCs w:val="21"/>
        </w:rPr>
      </w:pPr>
      <w:r>
        <w:rPr>
          <w:rFonts w:ascii="宋体" w:hAnsi="宋体" w:cs="宋体" w:hint="eastAsia"/>
          <w:szCs w:val="21"/>
        </w:rPr>
        <w:t>37.3.2分项评分超出评分标准范围的；</w:t>
      </w:r>
    </w:p>
    <w:p>
      <w:pPr>
        <w:ind w:firstLine="470" w:firstLineChars="196"/>
        <w:rPr>
          <w:rFonts w:ascii="宋体" w:hAnsi="宋体" w:cs="宋体"/>
          <w:szCs w:val="21"/>
        </w:rPr>
      </w:pPr>
      <w:r>
        <w:rPr>
          <w:rFonts w:ascii="宋体" w:hAnsi="宋体" w:cs="宋体" w:hint="eastAsia"/>
          <w:szCs w:val="21"/>
        </w:rPr>
        <w:t>37.3.3评审委员会成员对客观评审因素评分不一致的；</w:t>
      </w:r>
    </w:p>
    <w:p>
      <w:pPr>
        <w:ind w:firstLine="470" w:firstLineChars="196"/>
        <w:rPr>
          <w:rFonts w:ascii="宋体" w:hAnsi="宋体" w:cs="宋体"/>
          <w:szCs w:val="21"/>
        </w:rPr>
      </w:pPr>
      <w:r>
        <w:rPr>
          <w:rFonts w:ascii="宋体" w:hAnsi="宋体" w:cs="宋体" w:hint="eastAsia"/>
          <w:szCs w:val="21"/>
        </w:rPr>
        <w:t>37.3.4经评审委员会认定评分畸高、畸低的。</w:t>
      </w:r>
    </w:p>
    <w:p>
      <w:pPr>
        <w:ind w:firstLine="470" w:firstLineChars="196"/>
        <w:rPr>
          <w:rFonts w:ascii="宋体" w:hAnsi="宋体" w:cs="宋体"/>
          <w:szCs w:val="21"/>
        </w:rPr>
      </w:pPr>
      <w:r>
        <w:rPr>
          <w:rFonts w:ascii="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hAnsi="宋体" w:cs="宋体"/>
          <w:szCs w:val="21"/>
        </w:rPr>
      </w:pPr>
      <w:r>
        <w:rPr>
          <w:rFonts w:ascii="宋体" w:hAnsi="宋体" w:cs="宋体" w:hint="eastAsia"/>
          <w:szCs w:val="21"/>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hAnsi="宋体"/>
          <w:b/>
          <w:bCs/>
          <w:szCs w:val="21"/>
        </w:rPr>
      </w:pPr>
      <w:r>
        <w:rPr>
          <w:rFonts w:ascii="宋体" w:hAnsi="宋体" w:hint="eastAsia"/>
          <w:b/>
          <w:bCs/>
          <w:szCs w:val="21"/>
        </w:rPr>
        <w:t xml:space="preserve"> 37.4重新组建评审委员会的情形</w:t>
      </w:r>
    </w:p>
    <w:p>
      <w:pPr>
        <w:ind w:firstLine="470" w:firstLineChars="196"/>
        <w:rPr>
          <w:rFonts w:ascii="宋体" w:hAnsi="宋体" w:cs="宋体"/>
          <w:szCs w:val="21"/>
        </w:rPr>
      </w:pPr>
      <w:r>
        <w:rPr>
          <w:rFonts w:ascii="宋体" w:hAnsi="宋体" w:cs="宋体" w:hint="eastAsia"/>
          <w:szCs w:val="21"/>
        </w:rPr>
        <w:t>评审委员会或者其成员存在下列情形导致评审结果无效的，重新组建评审委员会进行评标，并书面报告本级财政部门：</w:t>
      </w:r>
    </w:p>
    <w:p>
      <w:pPr>
        <w:ind w:firstLine="470" w:firstLineChars="196"/>
        <w:rPr>
          <w:rFonts w:ascii="宋体" w:hAnsi="宋体" w:cs="宋体"/>
          <w:szCs w:val="21"/>
        </w:rPr>
      </w:pPr>
      <w:r>
        <w:rPr>
          <w:rFonts w:ascii="宋体" w:hAnsi="宋体" w:cs="宋体" w:hint="eastAsia"/>
          <w:szCs w:val="21"/>
        </w:rPr>
        <w:t>37.4.1评审委员会组成不符合《政府采购货物和服务招标投标管理办法》规定的；</w:t>
      </w:r>
    </w:p>
    <w:p>
      <w:pPr>
        <w:ind w:firstLine="470" w:firstLineChars="196"/>
        <w:rPr>
          <w:rFonts w:ascii="宋体" w:hAnsi="宋体" w:cs="宋体"/>
          <w:szCs w:val="21"/>
        </w:rPr>
      </w:pPr>
      <w:r>
        <w:rPr>
          <w:rFonts w:ascii="宋体" w:hAnsi="宋体" w:cs="宋体" w:hint="eastAsia"/>
          <w:szCs w:val="21"/>
        </w:rPr>
        <w:t>37.4.2有《政府采购货物和服务招标投标管理办法》第六十二条第一至五项情形的；</w:t>
      </w:r>
    </w:p>
    <w:p>
      <w:pPr>
        <w:ind w:firstLine="470" w:firstLineChars="196"/>
        <w:rPr>
          <w:rFonts w:ascii="宋体" w:hAnsi="宋体" w:cs="宋体"/>
          <w:szCs w:val="21"/>
        </w:rPr>
      </w:pPr>
      <w:r>
        <w:rPr>
          <w:rFonts w:ascii="宋体" w:hAnsi="宋体" w:cs="宋体" w:hint="eastAsia"/>
          <w:szCs w:val="21"/>
        </w:rPr>
        <w:t>37.4.3评审委员会及其成员独立评标受到非法干预的；</w:t>
      </w:r>
    </w:p>
    <w:p>
      <w:pPr>
        <w:ind w:firstLine="470" w:firstLineChars="196"/>
        <w:rPr>
          <w:rFonts w:ascii="宋体" w:hAnsi="宋体" w:cs="宋体"/>
          <w:szCs w:val="21"/>
        </w:rPr>
      </w:pPr>
      <w:r>
        <w:rPr>
          <w:rFonts w:ascii="宋体" w:hAnsi="宋体" w:cs="宋体" w:hint="eastAsia"/>
          <w:szCs w:val="21"/>
        </w:rPr>
        <w:t>37.4.4有政府采购法实施条例第七十五条规定的违法行为的。</w:t>
      </w:r>
    </w:p>
    <w:p>
      <w:pPr>
        <w:ind w:firstLine="470" w:firstLineChars="196"/>
        <w:rPr>
          <w:rFonts w:ascii="宋体" w:hAnsi="宋体" w:cs="宋体"/>
          <w:szCs w:val="21"/>
        </w:rPr>
      </w:pPr>
      <w:r>
        <w:rPr>
          <w:rFonts w:ascii="宋体" w:hAnsi="宋体" w:cs="宋体" w:hint="eastAsia"/>
          <w:szCs w:val="21"/>
        </w:rPr>
        <w:t>有违法违规行为的原评审委员会成员不得参加重新组建的评审委员会。</w:t>
      </w:r>
    </w:p>
    <w:p>
      <w:pPr>
        <w:pStyle w:val="Heading2"/>
        <w:numPr>
          <w:ilvl w:val="0"/>
          <w:numId w:val="4"/>
        </w:numPr>
        <w:spacing w:before="120" w:beforeLines="50" w:after="120" w:afterLines="50"/>
        <w:ind w:left="562" w:hanging="562"/>
        <w:rPr>
          <w:sz w:val="28"/>
          <w:szCs w:val="28"/>
        </w:rPr>
      </w:pPr>
      <w:r>
        <w:rPr>
          <w:rFonts w:hint="eastAsia"/>
          <w:sz w:val="28"/>
          <w:szCs w:val="28"/>
        </w:rPr>
        <w:t>定标及公示</w:t>
      </w:r>
    </w:p>
    <w:p>
      <w:pPr>
        <w:rPr>
          <w:rFonts w:ascii="黑体" w:eastAsia="黑体" w:hAnsi="宋体"/>
        </w:rPr>
      </w:pPr>
      <w:r>
        <w:rPr>
          <w:rFonts w:ascii="黑体" w:eastAsia="黑体" w:hAnsi="宋体" w:hint="eastAsia"/>
        </w:rPr>
        <w:t>38．定标方法</w:t>
      </w:r>
    </w:p>
    <w:p>
      <w:pPr>
        <w:ind w:firstLine="470" w:firstLineChars="196"/>
        <w:rPr>
          <w:rFonts w:ascii="宋体" w:hAnsi="宋体"/>
          <w:szCs w:val="21"/>
        </w:rPr>
      </w:pPr>
      <w:bookmarkStart w:id="116" w:name="_Hlk73782795"/>
      <w:r>
        <w:rPr>
          <w:rFonts w:ascii="宋体" w:hAnsi="宋体" w:hint="eastAsia"/>
          <w:szCs w:val="21"/>
        </w:rPr>
        <w:t>38.1非评定分离项目定标方法</w:t>
      </w:r>
    </w:p>
    <w:p>
      <w:pPr>
        <w:ind w:firstLine="470" w:firstLineChars="196"/>
        <w:rPr>
          <w:rFonts w:ascii="宋体" w:hAnsi="宋体"/>
          <w:szCs w:val="21"/>
        </w:rPr>
      </w:pPr>
      <w:r>
        <w:rPr>
          <w:rFonts w:ascii="宋体" w:hAnsi="宋体" w:hint="eastAsia"/>
          <w:szCs w:val="21"/>
        </w:rPr>
        <w:t>38</w:t>
      </w:r>
      <w:r>
        <w:rPr>
          <w:rFonts w:ascii="宋体" w:hAnsi="宋体"/>
          <w:szCs w:val="21"/>
        </w:rPr>
        <w:t>.</w:t>
      </w:r>
      <w:r>
        <w:rPr>
          <w:rFonts w:ascii="宋体" w:hAnsi="宋体" w:hint="eastAsia"/>
          <w:szCs w:val="21"/>
        </w:rPr>
        <w:t>1.1评审委员会依据本项目招标文件所约定的评审方法进行评审和比较，向</w:t>
      </w:r>
      <w:r>
        <w:rPr>
          <w:rFonts w:ascii="宋体" w:eastAsia="宋体" w:hAnsi="宋体" w:hint="eastAsia"/>
          <w:szCs w:val="21"/>
        </w:rPr>
        <w:t>招标机构</w:t>
      </w:r>
      <w:r>
        <w:rPr>
          <w:rFonts w:ascii="宋体" w:hAnsi="宋体" w:hint="eastAsia"/>
          <w:szCs w:val="21"/>
        </w:rPr>
        <w:t>提交书面评审报告，并根据评审方法比较评价结果从优到劣进行排序，确定候选中标供应商。</w:t>
      </w:r>
    </w:p>
    <w:p>
      <w:pPr>
        <w:ind w:firstLine="470" w:firstLineChars="196"/>
        <w:rPr>
          <w:rFonts w:ascii="ˎ̥" w:hAnsi="ˎ̥"/>
        </w:rPr>
      </w:pPr>
      <w:r>
        <w:rPr>
          <w:rFonts w:ascii="宋体" w:hAnsi="宋体" w:hint="eastAsia"/>
          <w:szCs w:val="21"/>
        </w:rPr>
        <w:t>38</w:t>
      </w:r>
      <w:r>
        <w:rPr>
          <w:rFonts w:ascii="宋体" w:hAnsi="宋体"/>
          <w:szCs w:val="21"/>
        </w:rPr>
        <w:t>.</w:t>
      </w:r>
      <w:r>
        <w:rPr>
          <w:rFonts w:ascii="宋体" w:hAnsi="宋体" w:hint="eastAsia"/>
          <w:szCs w:val="21"/>
        </w:rPr>
        <w:t>1.2</w:t>
      </w:r>
      <w:r>
        <w:rPr>
          <w:rFonts w:ascii="ˎ̥" w:hAnsi="ˎ̥"/>
        </w:rPr>
        <w:t>采用最低价法的，评</w:t>
      </w:r>
      <w:r>
        <w:rPr>
          <w:rFonts w:ascii="ˎ̥" w:hAnsi="ˎ̥" w:hint="eastAsia"/>
        </w:rPr>
        <w:t>审</w:t>
      </w:r>
      <w:r>
        <w:rPr>
          <w:rFonts w:ascii="ˎ̥" w:hAnsi="ˎ̥"/>
        </w:rPr>
        <w:t>结果按投标报价由低到高顺序排列。投标报价相同的并列。投标文件满足招标文件全部实质性要求且投标报价最低的</w:t>
      </w:r>
      <w:r>
        <w:rPr>
          <w:rFonts w:ascii="ˎ̥" w:hAnsi="ˎ̥" w:hint="eastAsia"/>
        </w:rPr>
        <w:t>投标人为</w:t>
      </w:r>
      <w:bookmarkStart w:id="117" w:name="_Hlk73821177"/>
      <w:r>
        <w:rPr>
          <w:rFonts w:ascii="ˎ̥" w:hAnsi="ˎ̥" w:hint="eastAsia"/>
        </w:rPr>
        <w:t>中标供应商</w:t>
      </w:r>
      <w:r>
        <w:rPr>
          <w:rFonts w:ascii="ˎ̥" w:hAnsi="ˎ̥"/>
        </w:rPr>
        <w:t>（</w:t>
      </w:r>
      <w:r>
        <w:rPr>
          <w:rFonts w:ascii="ˎ̥" w:hAnsi="ˎ̥" w:hint="eastAsia"/>
        </w:rPr>
        <w:t>排名</w:t>
      </w:r>
      <w:r>
        <w:rPr>
          <w:rFonts w:ascii="ˎ̥" w:hAnsi="ˎ̥"/>
        </w:rPr>
        <w:t>第二</w:t>
      </w:r>
      <w:r>
        <w:rPr>
          <w:rFonts w:ascii="ˎ̥" w:hAnsi="ˎ̥" w:hint="eastAsia"/>
        </w:rPr>
        <w:t>的投标人为第一替补中标候选人、排名</w:t>
      </w:r>
      <w:r>
        <w:rPr>
          <w:rFonts w:ascii="ˎ̥" w:hAnsi="ˎ̥"/>
        </w:rPr>
        <w:t>第</w:t>
      </w:r>
      <w:r>
        <w:rPr>
          <w:rFonts w:ascii="ˎ̥" w:hAnsi="ˎ̥" w:hint="eastAsia"/>
        </w:rPr>
        <w:t>三的投标人为第二替补中标候选人</w:t>
      </w:r>
      <w:bookmarkEnd w:id="117"/>
      <w:r>
        <w:rPr>
          <w:rFonts w:ascii="ˎ̥" w:hAnsi="ˎ̥"/>
        </w:rPr>
        <w:t>）。</w:t>
      </w:r>
    </w:p>
    <w:p>
      <w:pPr>
        <w:ind w:firstLine="470" w:firstLineChars="196"/>
        <w:rPr>
          <w:rFonts w:ascii="ˎ̥" w:hAnsi="ˎ̥"/>
        </w:rPr>
      </w:pPr>
      <w:r>
        <w:rPr>
          <w:rFonts w:ascii="宋体" w:hAnsi="宋体" w:hint="eastAsia"/>
          <w:szCs w:val="21"/>
        </w:rPr>
        <w:t>38</w:t>
      </w:r>
      <w:r>
        <w:rPr>
          <w:rFonts w:ascii="宋体" w:hAnsi="宋体"/>
          <w:szCs w:val="21"/>
        </w:rPr>
        <w:t>.</w:t>
      </w:r>
      <w:r>
        <w:rPr>
          <w:rFonts w:ascii="宋体" w:hAnsi="宋体" w:hint="eastAsia"/>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ˎ̥" w:hAnsi="ˎ̥" w:hint="eastAsia"/>
        </w:rPr>
        <w:t>为中标供应商</w:t>
      </w:r>
      <w:r>
        <w:rPr>
          <w:rFonts w:ascii="ˎ̥" w:hAnsi="ˎ̥"/>
        </w:rPr>
        <w:t>（</w:t>
      </w:r>
      <w:r>
        <w:rPr>
          <w:rFonts w:ascii="ˎ̥" w:hAnsi="ˎ̥" w:hint="eastAsia"/>
        </w:rPr>
        <w:t>排名</w:t>
      </w:r>
      <w:r>
        <w:rPr>
          <w:rFonts w:ascii="ˎ̥" w:hAnsi="ˎ̥"/>
        </w:rPr>
        <w:t>第二</w:t>
      </w:r>
      <w:r>
        <w:rPr>
          <w:rFonts w:ascii="ˎ̥" w:hAnsi="ˎ̥" w:hint="eastAsia"/>
        </w:rPr>
        <w:t>的投标人为第一替补中标候选人、排名</w:t>
      </w:r>
      <w:r>
        <w:rPr>
          <w:rFonts w:ascii="ˎ̥" w:hAnsi="ˎ̥"/>
        </w:rPr>
        <w:t>第</w:t>
      </w:r>
      <w:r>
        <w:rPr>
          <w:rFonts w:ascii="ˎ̥" w:hAnsi="ˎ̥" w:hint="eastAsia"/>
        </w:rPr>
        <w:t>三的投标人为第二替补中标候选人</w:t>
      </w:r>
      <w:r>
        <w:rPr>
          <w:rFonts w:ascii="ˎ̥" w:hAnsi="ˎ̥"/>
        </w:rPr>
        <w:t>）。</w:t>
      </w:r>
      <w:r>
        <w:rPr>
          <w:rFonts w:ascii="ˎ̥" w:hAnsi="ˎ̥" w:hint="eastAsia"/>
        </w:rPr>
        <w:t>出现</w:t>
      </w:r>
      <w:r>
        <w:rPr>
          <w:rFonts w:ascii="ˎ̥" w:hAnsi="ˎ̥"/>
        </w:rPr>
        <w:t>得分且投标报价相同的并列</w:t>
      </w:r>
      <w:r>
        <w:rPr>
          <w:rFonts w:ascii="ˎ̥" w:hAnsi="ˎ̥" w:hint="eastAsia"/>
        </w:rPr>
        <w:t>情况时，采取随机抽取的方式确定，具体操作办法及流程由评审委员会确定。</w:t>
      </w:r>
    </w:p>
    <w:p>
      <w:pPr>
        <w:ind w:firstLine="470" w:firstLineChars="196"/>
        <w:rPr>
          <w:rFonts w:ascii="宋体" w:hAnsi="宋体"/>
          <w:szCs w:val="21"/>
        </w:rPr>
      </w:pPr>
      <w:r>
        <w:rPr>
          <w:rFonts w:ascii="宋体" w:hAnsi="宋体" w:hint="eastAsia"/>
          <w:szCs w:val="21"/>
        </w:rPr>
        <w:t>38.2评定分离项目定标方法</w:t>
      </w:r>
    </w:p>
    <w:p>
      <w:pPr>
        <w:ind w:firstLine="470" w:firstLineChars="196"/>
        <w:rPr>
          <w:rFonts w:ascii="宋体" w:hAnsi="宋体"/>
          <w:szCs w:val="21"/>
        </w:rPr>
      </w:pPr>
      <w:r>
        <w:rPr>
          <w:rFonts w:ascii="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pPr>
      <w:r>
        <w:rPr>
          <w:rFonts w:ascii="宋体" w:hAnsi="宋体"/>
          <w:szCs w:val="21"/>
        </w:rPr>
        <w:t xml:space="preserve">38.2.2 </w:t>
      </w:r>
      <w:bookmarkStart w:id="118" w:name="_Hlk71469733"/>
      <w:r>
        <w:t>适用评定分离的政府采购项目，采用综合评分法评</w:t>
      </w:r>
      <w:r>
        <w:rPr>
          <w:rFonts w:hint="eastAsia"/>
        </w:rPr>
        <w:t>审。</w:t>
      </w:r>
      <w:r>
        <w:rPr>
          <w:rFonts w:ascii="宋体" w:hAnsi="宋体" w:hint="eastAsia"/>
          <w:szCs w:val="21"/>
        </w:rPr>
        <w:t>评审委员会按照评审结果，推荐</w:t>
      </w:r>
      <w:r>
        <w:t>三个合格的候选中标供应商。</w:t>
      </w:r>
    </w:p>
    <w:p>
      <w:pPr>
        <w:ind w:firstLine="470" w:firstLineChars="196"/>
        <w:rPr>
          <w:rFonts w:ascii="宋体" w:hAnsi="宋体"/>
          <w:szCs w:val="21"/>
        </w:rPr>
      </w:pPr>
      <w:r>
        <w:rPr>
          <w:rFonts w:ascii="宋体" w:hAnsi="宋体" w:hint="eastAsia"/>
          <w:szCs w:val="21"/>
        </w:rPr>
        <w:t>38.2.3</w:t>
      </w:r>
      <w:bookmarkStart w:id="119" w:name="_Hlk71469688"/>
      <w:r>
        <w:t>适用评定分离的政府采购项目，</w:t>
      </w:r>
      <w:r>
        <w:rPr>
          <w:rFonts w:ascii="宋体" w:hAnsi="宋体" w:hint="eastAsia"/>
          <w:szCs w:val="21"/>
        </w:rPr>
        <w:t>按照自定法确定中标供应商：自定法是指采购人组织定标委员会，由定标委员会在三家候选中标供应商中确定中标供应商。</w:t>
      </w:r>
      <w:bookmarkEnd w:id="118"/>
      <w:bookmarkEnd w:id="119"/>
    </w:p>
    <w:p>
      <w:pPr>
        <w:ind w:firstLine="470" w:firstLineChars="196"/>
        <w:rPr>
          <w:rFonts w:ascii="宋体" w:hAnsi="宋体"/>
          <w:szCs w:val="21"/>
        </w:rPr>
      </w:pPr>
      <w:r>
        <w:rPr>
          <w:rFonts w:ascii="宋体" w:hAnsi="宋体"/>
          <w:szCs w:val="21"/>
        </w:rPr>
        <w:t>38.2.4</w:t>
      </w:r>
      <w:r>
        <w:rPr>
          <w:rFonts w:ascii="宋体" w:eastAsia="宋体" w:hAnsi="宋体" w:hint="eastAsia"/>
          <w:szCs w:val="21"/>
        </w:rPr>
        <w:t>招标机构</w:t>
      </w:r>
      <w:r>
        <w:t>应当自评审结束之日起两个工作日内将候选中标供应商名单及其投标文件、评审报告送交采购人</w:t>
      </w:r>
      <w:r>
        <w:rPr>
          <w:rFonts w:ascii="宋体" w:hAnsi="宋体" w:hint="eastAsia"/>
          <w:szCs w:val="21"/>
        </w:rPr>
        <w:t>。</w:t>
      </w:r>
      <w:r>
        <w:t>采购人应当安排专人对定标过程进行书面记录，形成定标报告，作为采购文件的组成部分存档，并及时将定标结果反馈</w:t>
      </w:r>
      <w:r>
        <w:rPr>
          <w:rFonts w:eastAsia="宋体" w:hint="eastAsia"/>
        </w:rPr>
        <w:t>招标机构</w:t>
      </w:r>
      <w:r>
        <w:rPr>
          <w:rFonts w:hint="eastAsia"/>
        </w:rPr>
        <w:t>。具体定标程序及相关要求以按照《</w:t>
      </w:r>
      <w:r>
        <w:t>深圳市财政局关于印发</w:t>
      </w:r>
      <w:r>
        <w:rPr>
          <w:rFonts w:ascii="宋体" w:hAnsi="宋体" w:hint="eastAsia"/>
        </w:rPr>
        <w:t>〈</w:t>
      </w:r>
      <w:r>
        <w:t>深圳市政府采购评标定标分离管理办法</w:t>
      </w:r>
      <w:r>
        <w:rPr>
          <w:rFonts w:ascii="宋体" w:hAnsi="宋体" w:hint="eastAsia"/>
        </w:rPr>
        <w:t>〉</w:t>
      </w:r>
      <w:r>
        <w:t>的通知</w:t>
      </w:r>
      <w:r>
        <w:rPr>
          <w:rFonts w:hint="eastAsia"/>
        </w:rPr>
        <w:t>》（深财规【2</w:t>
      </w:r>
      <w:r>
        <w:t>020</w:t>
      </w:r>
      <w:r>
        <w:rPr>
          <w:rFonts w:hint="eastAsia"/>
        </w:rPr>
        <w:t>】1号）执行。</w:t>
      </w:r>
    </w:p>
    <w:p>
      <w:pPr>
        <w:ind w:firstLine="470" w:firstLineChars="196"/>
        <w:rPr>
          <w:rFonts w:ascii="宋体" w:hAnsi="宋体"/>
          <w:szCs w:val="21"/>
        </w:rPr>
      </w:pPr>
      <w:r>
        <w:rPr>
          <w:rFonts w:ascii="宋体" w:hAnsi="宋体" w:hint="eastAsia"/>
          <w:szCs w:val="21"/>
        </w:rPr>
        <w:t>说明：采购人及投标供应商应按照上述方法提前做好相关准备。</w:t>
      </w:r>
    </w:p>
    <w:p>
      <w:pPr>
        <w:ind w:firstLine="470" w:firstLineChars="196"/>
        <w:rPr>
          <w:rFonts w:ascii="宋体" w:hAnsi="宋体"/>
          <w:szCs w:val="21"/>
        </w:rPr>
      </w:pPr>
      <w:r>
        <w:rPr>
          <w:rFonts w:ascii="宋体" w:hAnsi="宋体" w:hint="eastAsia"/>
          <w:szCs w:val="21"/>
        </w:rPr>
        <w:t>38.3专用条款另有规定的，按专用条款相关要求定标。</w:t>
      </w:r>
      <w:bookmarkEnd w:id="116"/>
    </w:p>
    <w:p>
      <w:pPr>
        <w:rPr>
          <w:rFonts w:ascii="黑体" w:eastAsia="黑体" w:hAnsi="宋体"/>
        </w:rPr>
      </w:pPr>
      <w:r>
        <w:rPr>
          <w:rFonts w:ascii="黑体" w:eastAsia="黑体" w:hAnsi="宋体" w:hint="eastAsia"/>
        </w:rPr>
        <w:t>39．编写评审报告</w:t>
      </w:r>
    </w:p>
    <w:p>
      <w:pPr>
        <w:ind w:firstLine="470" w:firstLineChars="196"/>
        <w:rPr>
          <w:rFonts w:ascii="宋体" w:hAnsi="宋体"/>
          <w:szCs w:val="21"/>
        </w:rPr>
      </w:pPr>
      <w:r>
        <w:rPr>
          <w:rFonts w:ascii="宋体" w:hAnsi="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rPr>
      </w:pPr>
      <w:r>
        <w:rPr>
          <w:rFonts w:ascii="黑体" w:eastAsia="黑体" w:hAnsi="宋体" w:hint="eastAsia"/>
        </w:rPr>
        <w:t>40．中标公告</w:t>
      </w:r>
    </w:p>
    <w:p>
      <w:pPr>
        <w:ind w:firstLine="470" w:firstLineChars="196"/>
        <w:rPr>
          <w:rFonts w:ascii="宋体" w:hAnsi="宋体"/>
          <w:szCs w:val="21"/>
        </w:rPr>
      </w:pPr>
      <w:r>
        <w:rPr>
          <w:rFonts w:ascii="宋体" w:hAnsi="宋体" w:hint="eastAsia"/>
          <w:szCs w:val="21"/>
        </w:rPr>
        <w:t>40.1</w:t>
      </w:r>
      <w:bookmarkStart w:id="120" w:name="_Hlk72438709"/>
      <w:r>
        <w:rPr>
          <w:rFonts w:ascii="宋体" w:hAnsi="宋体" w:hint="eastAsia"/>
          <w:szCs w:val="21"/>
        </w:rPr>
        <w:t>为体现“公开、公平、公正”的原则，评审结束后经采购人确认（确定）评审结果，</w:t>
      </w:r>
      <w:r>
        <w:rPr>
          <w:rFonts w:ascii="宋体" w:eastAsia="宋体" w:hAnsi="宋体" w:hint="eastAsia"/>
          <w:szCs w:val="21"/>
        </w:rPr>
        <w:t>招标机构</w:t>
      </w:r>
      <w:r>
        <w:rPr>
          <w:rFonts w:ascii="宋体" w:hAnsi="宋体" w:hint="eastAsia"/>
          <w:szCs w:val="21"/>
        </w:rPr>
        <w:t>将在“深圳政府采购智慧平台（http://zfcg.szggzy.com/）”上发布中标结果公告。</w:t>
      </w:r>
      <w:bookmarkEnd w:id="120"/>
      <w:bookmarkStart w:id="121" w:name="_Hlk72438751"/>
      <w:r>
        <w:rPr>
          <w:rFonts w:ascii="宋体" w:hAnsi="宋体" w:hint="eastAsia"/>
          <w:szCs w:val="21"/>
        </w:rPr>
        <w:t>供应商如对评审结果有异议，</w:t>
      </w:r>
      <w:r>
        <w:rPr>
          <w:rFonts w:ascii="宋体" w:hAnsi="宋体"/>
          <w:szCs w:val="21"/>
        </w:rPr>
        <w:t>可在发布公示日期起</w:t>
      </w:r>
      <w:r>
        <w:rPr>
          <w:rFonts w:ascii="宋体" w:hAnsi="宋体" w:hint="eastAsia"/>
          <w:szCs w:val="21"/>
        </w:rPr>
        <w:t>七</w:t>
      </w:r>
      <w:r>
        <w:rPr>
          <w:rFonts w:ascii="宋体" w:hAnsi="宋体"/>
          <w:szCs w:val="21"/>
        </w:rPr>
        <w:t>个工作日内向</w:t>
      </w:r>
      <w:r>
        <w:rPr>
          <w:rFonts w:ascii="宋体" w:eastAsia="宋体" w:hAnsi="宋体" w:hint="eastAsia"/>
          <w:szCs w:val="21"/>
        </w:rPr>
        <w:t>招标机构</w:t>
      </w:r>
      <w:r>
        <w:rPr>
          <w:rFonts w:ascii="宋体" w:hAnsi="宋体"/>
          <w:szCs w:val="21"/>
        </w:rPr>
        <w:t>提出。</w:t>
      </w:r>
      <w:r>
        <w:rPr>
          <w:rFonts w:ascii="宋体" w:hAnsi="宋体" w:hint="eastAsia"/>
          <w:szCs w:val="21"/>
        </w:rPr>
        <w:t>若在公示期内未提出质疑，则视为认同该评审结果。</w:t>
      </w:r>
    </w:p>
    <w:p>
      <w:pPr>
        <w:ind w:firstLine="470" w:firstLineChars="196"/>
        <w:rPr>
          <w:rFonts w:ascii="宋体" w:hAnsi="宋体"/>
          <w:szCs w:val="21"/>
        </w:rPr>
      </w:pPr>
      <w:bookmarkEnd w:id="121"/>
      <w:r>
        <w:rPr>
          <w:rFonts w:ascii="宋体" w:hAnsi="宋体" w:hint="eastAsia"/>
          <w:szCs w:val="21"/>
        </w:rPr>
        <w:t>40.2质疑、投诉供应商应保证质疑、投诉内容的真实性和可靠性，并承担相应的法律责任。</w:t>
      </w:r>
    </w:p>
    <w:p>
      <w:pPr>
        <w:rPr>
          <w:rFonts w:ascii="黑体" w:eastAsia="黑体" w:hAnsi="宋体"/>
        </w:rPr>
      </w:pPr>
      <w:r>
        <w:rPr>
          <w:rFonts w:ascii="黑体" w:eastAsia="黑体" w:hAnsi="宋体" w:hint="eastAsia"/>
        </w:rPr>
        <w:t>41．中标通知书、招标代理服务费</w:t>
      </w:r>
    </w:p>
    <w:p>
      <w:pPr>
        <w:ind w:firstLine="470" w:firstLineChars="196"/>
        <w:rPr>
          <w:rFonts w:ascii="宋体" w:hAnsi="宋体"/>
          <w:szCs w:val="21"/>
        </w:rPr>
      </w:pPr>
      <w:r>
        <w:rPr>
          <w:rFonts w:ascii="宋体" w:hAnsi="宋体" w:hint="eastAsia"/>
          <w:szCs w:val="21"/>
        </w:rPr>
        <w:t>41</w:t>
      </w:r>
      <w:r>
        <w:rPr>
          <w:rFonts w:ascii="宋体" w:hAnsi="宋体"/>
          <w:szCs w:val="21"/>
        </w:rPr>
        <w:t>.</w:t>
      </w:r>
      <w:r>
        <w:rPr>
          <w:rFonts w:ascii="宋体" w:hAnsi="宋体" w:hint="eastAsia"/>
          <w:szCs w:val="21"/>
        </w:rPr>
        <w:t>1中标公告公布以后,公示期内无人质疑投诉,中标人凭单位证明和本人身份证到友和保险经纪有限公司领取《中标通知书》。</w:t>
      </w:r>
    </w:p>
    <w:p>
      <w:pPr>
        <w:ind w:firstLine="470" w:firstLineChars="196"/>
        <w:rPr>
          <w:rFonts w:ascii="宋体" w:hAnsi="宋体"/>
          <w:szCs w:val="21"/>
        </w:rPr>
      </w:pPr>
      <w:r>
        <w:rPr>
          <w:rFonts w:ascii="宋体" w:hAnsi="宋体" w:hint="eastAsia"/>
          <w:szCs w:val="21"/>
        </w:rPr>
        <w:t>41</w:t>
      </w:r>
      <w:r>
        <w:rPr>
          <w:rFonts w:ascii="宋体" w:hAnsi="宋体"/>
          <w:szCs w:val="21"/>
        </w:rPr>
        <w:t>.2</w:t>
      </w:r>
      <w:r>
        <w:rPr>
          <w:rFonts w:ascii="宋体" w:hAnsi="宋体" w:hint="eastAsia"/>
          <w:szCs w:val="21"/>
        </w:rPr>
        <w:t>中标通知书是合同的重要组成部分。</w:t>
      </w:r>
    </w:p>
    <w:p>
      <w:pPr>
        <w:ind w:firstLine="470" w:firstLineChars="196"/>
        <w:rPr>
          <w:rFonts w:ascii="宋体" w:hAnsi="宋体"/>
          <w:szCs w:val="21"/>
        </w:rPr>
      </w:pPr>
      <w:bookmarkStart w:id="122" w:name="_Hlk71407340"/>
      <w:r>
        <w:rPr>
          <w:rFonts w:ascii="宋体" w:hAnsi="宋体" w:hint="eastAsia"/>
          <w:szCs w:val="21"/>
        </w:rPr>
        <w:t>41.3因质疑投诉或其它原因导致项目结果变更或采购终止的，</w:t>
      </w:r>
      <w:r>
        <w:rPr>
          <w:rFonts w:ascii="宋体" w:eastAsia="宋体" w:hAnsi="宋体" w:hint="eastAsia"/>
          <w:szCs w:val="21"/>
        </w:rPr>
        <w:t>招标机构</w:t>
      </w:r>
      <w:r>
        <w:rPr>
          <w:rFonts w:ascii="宋体" w:hAnsi="宋体" w:hint="eastAsia"/>
          <w:szCs w:val="21"/>
        </w:rPr>
        <w:t>有权吊销中标通知书。</w:t>
      </w:r>
    </w:p>
    <w:p>
      <w:pPr>
        <w:spacing w:line="0" w:lineRule="atLeast"/>
        <w:ind w:firstLine="470" w:firstLineChars="196"/>
        <w:rPr>
          <w:rFonts w:ascii="宋体" w:hAnsi="宋体"/>
          <w:szCs w:val="21"/>
        </w:rPr>
      </w:pPr>
      <w:r>
        <w:rPr>
          <w:rFonts w:ascii="黑体" w:eastAsia="黑体" w:hAnsi="宋体" w:hint="eastAsia"/>
        </w:rPr>
        <w:t>41.4.1</w:t>
      </w:r>
      <w:r>
        <w:rPr>
          <w:rFonts w:ascii="宋体" w:hAnsi="宋体" w:hint="eastAsia"/>
          <w:szCs w:val="21"/>
        </w:rPr>
        <w:t>代理费由中标人支付，代理费收费标准按《深圳市财政委员会关于规范深圳市社会采购代理机构管理有关事项的补充通知》（深财购〔</w:t>
      </w:r>
      <w:r>
        <w:rPr>
          <w:rFonts w:ascii="宋体" w:hAnsi="宋体"/>
          <w:szCs w:val="21"/>
        </w:rPr>
        <w:t>2018〕27号）</w:t>
      </w:r>
      <w:r>
        <w:rPr>
          <w:rFonts w:ascii="宋体" w:hAnsi="宋体" w:hint="eastAsia"/>
          <w:szCs w:val="21"/>
        </w:rPr>
        <w:t>执行，收费标准如下表所列。</w:t>
      </w:r>
      <w:r>
        <w:rPr>
          <w:rFonts w:ascii="宋体" w:hAnsi="宋体"/>
          <w:szCs w:val="21"/>
        </w:rPr>
        <w:t>招标代</w:t>
      </w:r>
      <w:r>
        <w:rPr>
          <w:rFonts w:ascii="宋体" w:hAnsi="宋体" w:hint="eastAsia"/>
          <w:szCs w:val="21"/>
        </w:rPr>
        <w:t>理服务费以中标金额为基数，按差额定率累进法计算，中标金额不足人民币叁拾万元整（¥300,000.00元）的，按人民币叁拾万元整（¥300,000.00元）计算。具体计取费率标准如下表所示：</w:t>
      </w:r>
    </w:p>
    <w:p>
      <w:pPr>
        <w:spacing w:line="0" w:lineRule="atLeast"/>
        <w:ind w:firstLine="470" w:firstLineChars="196"/>
        <w:rPr>
          <w:rFonts w:ascii="宋体" w:hAnsi="宋体"/>
          <w:szCs w:val="21"/>
        </w:rPr>
      </w:pPr>
    </w:p>
    <w:tbl>
      <w:tblPr>
        <w:tblStyle w:val="TableNormal"/>
        <w:tblW w:w="8185" w:type="dxa"/>
        <w:jc w:val="center"/>
        <w:tblLayout w:type="fixed"/>
        <w:tblCellMar>
          <w:top w:w="0" w:type="dxa"/>
          <w:left w:w="108" w:type="dxa"/>
          <w:bottom w:w="0" w:type="dxa"/>
          <w:right w:w="108" w:type="dxa"/>
        </w:tblCellMar>
      </w:tblPr>
      <w:tblGrid>
        <w:gridCol w:w="2535"/>
        <w:gridCol w:w="2021"/>
        <w:gridCol w:w="1894"/>
        <w:gridCol w:w="1735"/>
      </w:tblGrid>
      <w:tr>
        <w:tblPrEx>
          <w:tblW w:w="8185" w:type="dxa"/>
          <w:jc w:val="center"/>
          <w:tblLayout w:type="fixed"/>
          <w:tblCellMar>
            <w:top w:w="0" w:type="dxa"/>
            <w:left w:w="108" w:type="dxa"/>
            <w:bottom w:w="0" w:type="dxa"/>
            <w:right w:w="108" w:type="dxa"/>
          </w:tblCellMar>
        </w:tblPrEx>
        <w:trPr>
          <w:trHeight w:val="737"/>
          <w:jc w:val="center"/>
        </w:trPr>
        <w:tc>
          <w:tcPr>
            <w:tcW w:w="2535" w:type="dxa"/>
            <w:tcBorders>
              <w:top w:val="single" w:sz="4" w:space="0" w:color="auto"/>
              <w:left w:val="single" w:sz="4" w:space="0" w:color="auto"/>
              <w:bottom w:val="single" w:sz="4" w:space="0" w:color="auto"/>
              <w:right w:val="single" w:sz="4" w:space="0" w:color="auto"/>
              <w:tl2br w:val="single" w:sz="4" w:space="0" w:color="auto"/>
            </w:tcBorders>
            <w:vAlign w:val="center"/>
          </w:tcPr>
          <w:p>
            <w:pPr>
              <w:spacing w:line="300" w:lineRule="auto"/>
              <w:rPr>
                <w:rFonts w:ascii="宋体" w:hAnsi="宋体" w:cs="宋体"/>
                <w:szCs w:val="21"/>
              </w:rPr>
            </w:pPr>
            <w:r>
              <w:rPr>
                <w:rFonts w:ascii="宋体" w:hAnsi="宋体" w:cs="宋体" w:hint="eastAsia"/>
              </w:rPr>
              <w:t xml:space="preserve">              </w:t>
            </w:r>
            <w:r>
              <w:rPr>
                <w:rFonts w:ascii="宋体" w:hAnsi="宋体" w:cs="宋体" w:hint="eastAsia"/>
                <w:szCs w:val="21"/>
              </w:rPr>
              <w:t>类别</w:t>
            </w:r>
          </w:p>
          <w:p>
            <w:pPr>
              <w:spacing w:line="300" w:lineRule="auto"/>
              <w:rPr>
                <w:rFonts w:ascii="宋体" w:hAnsi="宋体" w:cs="宋体"/>
                <w:szCs w:val="21"/>
              </w:rPr>
            </w:pPr>
            <w:r>
              <w:rPr>
                <w:rFonts w:ascii="宋体" w:hAnsi="宋体" w:cs="宋体" w:hint="eastAsia"/>
                <w:szCs w:val="21"/>
              </w:rPr>
              <w:t>金额(万元)</w:t>
            </w:r>
          </w:p>
        </w:tc>
        <w:tc>
          <w:tcPr>
            <w:tcW w:w="202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黑体" w:eastAsia="黑体" w:hAnsi="宋体" w:cs="宋体"/>
                <w:b/>
                <w:szCs w:val="21"/>
              </w:rPr>
            </w:pPr>
            <w:r>
              <w:rPr>
                <w:rFonts w:ascii="黑体" w:eastAsia="黑体" w:hAnsi="宋体" w:cs="宋体" w:hint="eastAsia"/>
                <w:b/>
                <w:szCs w:val="21"/>
              </w:rPr>
              <w:t>工程招标</w:t>
            </w:r>
          </w:p>
        </w:tc>
        <w:tc>
          <w:tcPr>
            <w:tcW w:w="1894" w:type="dxa"/>
            <w:tcBorders>
              <w:top w:val="single" w:sz="4" w:space="0" w:color="auto"/>
              <w:left w:val="nil"/>
              <w:bottom w:val="single" w:sz="4" w:space="0" w:color="auto"/>
              <w:right w:val="single" w:sz="4" w:space="0" w:color="auto"/>
            </w:tcBorders>
            <w:vAlign w:val="center"/>
          </w:tcPr>
          <w:p>
            <w:pPr>
              <w:spacing w:line="300" w:lineRule="auto"/>
              <w:jc w:val="center"/>
              <w:rPr>
                <w:rFonts w:ascii="黑体" w:eastAsia="黑体" w:hAnsi="宋体" w:cs="宋体"/>
                <w:b/>
                <w:szCs w:val="21"/>
              </w:rPr>
            </w:pPr>
            <w:r>
              <w:rPr>
                <w:rFonts w:ascii="黑体" w:eastAsia="黑体" w:hAnsi="宋体" w:cs="宋体" w:hint="eastAsia"/>
                <w:b/>
                <w:szCs w:val="21"/>
              </w:rPr>
              <w:t>货物招标</w:t>
            </w:r>
          </w:p>
        </w:tc>
        <w:tc>
          <w:tcPr>
            <w:tcW w:w="1735" w:type="dxa"/>
            <w:tcBorders>
              <w:top w:val="single" w:sz="4" w:space="0" w:color="auto"/>
              <w:left w:val="nil"/>
              <w:bottom w:val="single" w:sz="4" w:space="0" w:color="auto"/>
              <w:right w:val="single" w:sz="4" w:space="0" w:color="auto"/>
            </w:tcBorders>
            <w:vAlign w:val="center"/>
          </w:tcPr>
          <w:p>
            <w:pPr>
              <w:spacing w:line="300" w:lineRule="auto"/>
              <w:jc w:val="center"/>
              <w:rPr>
                <w:rFonts w:ascii="黑体" w:eastAsia="黑体" w:hAnsi="宋体" w:cs="宋体"/>
                <w:b/>
                <w:szCs w:val="21"/>
              </w:rPr>
            </w:pPr>
            <w:r>
              <w:rPr>
                <w:rFonts w:ascii="黑体" w:eastAsia="黑体" w:hAnsi="宋体" w:cs="宋体" w:hint="eastAsia"/>
                <w:b/>
                <w:szCs w:val="21"/>
              </w:rPr>
              <w:t>服务招标</w:t>
            </w:r>
          </w:p>
        </w:tc>
      </w:tr>
      <w:tr>
        <w:tblPrEx>
          <w:tblW w:w="8185" w:type="dxa"/>
          <w:jc w:val="center"/>
          <w:tblLayout w:type="fixed"/>
          <w:tblCellMar>
            <w:top w:w="0" w:type="dxa"/>
            <w:left w:w="108" w:type="dxa"/>
            <w:bottom w:w="0" w:type="dxa"/>
            <w:right w:w="108" w:type="dxa"/>
          </w:tblCellMar>
        </w:tblPrEx>
        <w:trPr>
          <w:trHeight w:val="402"/>
          <w:jc w:val="center"/>
        </w:trPr>
        <w:tc>
          <w:tcPr>
            <w:tcW w:w="2535" w:type="dxa"/>
            <w:tcBorders>
              <w:top w:val="single" w:sz="4" w:space="0" w:color="auto"/>
              <w:left w:val="single" w:sz="8" w:space="0" w:color="auto"/>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100以下</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1.00%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hAnsi="宋体" w:cs="宋体"/>
                <w:b/>
                <w:szCs w:val="21"/>
              </w:rPr>
            </w:pPr>
            <w:r>
              <w:rPr>
                <w:rFonts w:ascii="宋体" w:hAnsi="宋体" w:cs="宋体" w:hint="eastAsia"/>
                <w:b/>
                <w:szCs w:val="21"/>
              </w:rPr>
              <w:t>1.50%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1.50%</w:t>
            </w:r>
          </w:p>
        </w:tc>
      </w:tr>
      <w:tr>
        <w:tblPrEx>
          <w:tblW w:w="8185" w:type="dxa"/>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100-500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0.70%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hAnsi="宋体" w:cs="宋体"/>
                <w:b/>
                <w:szCs w:val="21"/>
              </w:rPr>
            </w:pPr>
            <w:r>
              <w:rPr>
                <w:rFonts w:ascii="宋体" w:hAnsi="宋体" w:cs="宋体" w:hint="eastAsia"/>
                <w:b/>
                <w:szCs w:val="21"/>
              </w:rPr>
              <w:t>1.10%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0.80%</w:t>
            </w:r>
          </w:p>
        </w:tc>
      </w:tr>
      <w:tr>
        <w:tblPrEx>
          <w:tblW w:w="8185" w:type="dxa"/>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500-1000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0.55%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hAnsi="宋体" w:cs="宋体"/>
                <w:b/>
                <w:szCs w:val="21"/>
              </w:rPr>
            </w:pPr>
            <w:r>
              <w:rPr>
                <w:rFonts w:ascii="宋体" w:hAnsi="宋体" w:cs="宋体" w:hint="eastAsia"/>
                <w:b/>
                <w:szCs w:val="21"/>
              </w:rPr>
              <w:t>0.80%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0.45%</w:t>
            </w:r>
          </w:p>
        </w:tc>
      </w:tr>
      <w:tr>
        <w:tblPrEx>
          <w:tblW w:w="8185" w:type="dxa"/>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1000-5000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0.35%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hAnsi="宋体" w:cs="宋体"/>
                <w:b/>
                <w:szCs w:val="21"/>
              </w:rPr>
            </w:pPr>
            <w:r>
              <w:rPr>
                <w:rFonts w:ascii="宋体" w:hAnsi="宋体" w:cs="宋体" w:hint="eastAsia"/>
                <w:b/>
                <w:szCs w:val="21"/>
              </w:rPr>
              <w:t>0.50%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0.25%</w:t>
            </w:r>
          </w:p>
        </w:tc>
      </w:tr>
      <w:tr>
        <w:tblPrEx>
          <w:tblW w:w="8185" w:type="dxa"/>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5000-10000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0.20%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hAnsi="宋体" w:cs="宋体"/>
                <w:b/>
                <w:szCs w:val="21"/>
              </w:rPr>
            </w:pPr>
            <w:r>
              <w:rPr>
                <w:rFonts w:ascii="宋体" w:hAnsi="宋体" w:cs="宋体" w:hint="eastAsia"/>
                <w:b/>
                <w:szCs w:val="21"/>
              </w:rPr>
              <w:t>0.25%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0.10%</w:t>
            </w:r>
          </w:p>
        </w:tc>
      </w:tr>
      <w:tr>
        <w:tblPrEx>
          <w:tblW w:w="8185" w:type="dxa"/>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10000-100000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0.05%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hAnsi="宋体" w:cs="宋体"/>
                <w:b/>
                <w:szCs w:val="21"/>
              </w:rPr>
            </w:pPr>
            <w:r>
              <w:rPr>
                <w:rFonts w:ascii="宋体" w:hAnsi="宋体" w:cs="宋体" w:hint="eastAsia"/>
                <w:b/>
                <w:szCs w:val="21"/>
              </w:rPr>
              <w:t>0.05%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0.05%</w:t>
            </w:r>
          </w:p>
        </w:tc>
      </w:tr>
      <w:tr>
        <w:tblPrEx>
          <w:tblW w:w="8185" w:type="dxa"/>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1000000以上</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0.01%</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hAnsi="宋体" w:cs="宋体"/>
                <w:b/>
                <w:szCs w:val="21"/>
              </w:rPr>
            </w:pPr>
            <w:r>
              <w:rPr>
                <w:rFonts w:ascii="宋体" w:hAnsi="宋体" w:cs="宋体" w:hint="eastAsia"/>
                <w:b/>
                <w:szCs w:val="21"/>
              </w:rPr>
              <w:t>0.01%</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hAnsi="宋体" w:cs="宋体"/>
                <w:szCs w:val="21"/>
              </w:rPr>
            </w:pPr>
            <w:r>
              <w:rPr>
                <w:rFonts w:ascii="宋体" w:hAnsi="宋体" w:cs="宋体" w:hint="eastAsia"/>
                <w:szCs w:val="21"/>
              </w:rPr>
              <w:t>0.01%</w:t>
            </w:r>
          </w:p>
        </w:tc>
      </w:tr>
    </w:tbl>
    <w:p>
      <w:pPr>
        <w:spacing w:line="0" w:lineRule="atLeast"/>
        <w:ind w:firstLine="470" w:firstLineChars="196"/>
        <w:rPr>
          <w:rFonts w:ascii="宋体" w:hAnsi="宋体"/>
          <w:szCs w:val="21"/>
        </w:rPr>
      </w:pPr>
    </w:p>
    <w:p>
      <w:pPr>
        <w:spacing w:line="0" w:lineRule="atLeast"/>
        <w:ind w:firstLine="470" w:firstLineChars="196"/>
        <w:rPr>
          <w:rFonts w:ascii="宋体" w:hAnsi="宋体"/>
          <w:szCs w:val="21"/>
        </w:rPr>
      </w:pPr>
      <w:r>
        <w:rPr>
          <w:rFonts w:ascii="宋体" w:hAnsi="宋体" w:hint="eastAsia"/>
          <w:szCs w:val="21"/>
        </w:rPr>
        <w:t>注：</w:t>
      </w:r>
    </w:p>
    <w:p>
      <w:pPr>
        <w:spacing w:line="0" w:lineRule="atLeast"/>
        <w:ind w:firstLine="470" w:firstLineChars="196"/>
        <w:rPr>
          <w:rFonts w:ascii="宋体" w:hAnsi="宋体"/>
          <w:szCs w:val="21"/>
        </w:rPr>
      </w:pPr>
      <w:r>
        <w:rPr>
          <w:rFonts w:ascii="宋体" w:hAnsi="宋体" w:hint="eastAsia"/>
          <w:szCs w:val="21"/>
        </w:rPr>
        <w:t>（1）按本表费率计算的收费为招标代理服务的收费基准价格。</w:t>
      </w:r>
    </w:p>
    <w:p>
      <w:pPr>
        <w:spacing w:line="0" w:lineRule="atLeast"/>
        <w:ind w:firstLine="470" w:firstLineChars="196"/>
        <w:rPr>
          <w:rFonts w:ascii="宋体" w:hAnsi="宋体"/>
          <w:szCs w:val="21"/>
        </w:rPr>
      </w:pPr>
      <w:r>
        <w:rPr>
          <w:rFonts w:ascii="宋体" w:hAnsi="宋体" w:hint="eastAsia"/>
          <w:szCs w:val="21"/>
        </w:rPr>
        <w:t>（2）招标代理服务收费按差额定率累进法计算。</w:t>
      </w:r>
    </w:p>
    <w:p>
      <w:pPr>
        <w:spacing w:line="0" w:lineRule="atLeast"/>
        <w:ind w:firstLine="470" w:firstLineChars="196"/>
        <w:rPr>
          <w:rFonts w:ascii="宋体" w:hAnsi="宋体"/>
          <w:szCs w:val="21"/>
        </w:rPr>
      </w:pPr>
      <w:r>
        <w:rPr>
          <w:rFonts w:ascii="宋体" w:hAnsi="宋体" w:hint="eastAsia"/>
          <w:szCs w:val="21"/>
        </w:rPr>
        <w:t>4</w:t>
      </w:r>
      <w:r>
        <w:rPr>
          <w:rFonts w:ascii="宋体" w:eastAsia="宋体" w:hAnsi="宋体" w:hint="eastAsia"/>
          <w:szCs w:val="21"/>
        </w:rPr>
        <w:t>1</w:t>
      </w:r>
      <w:r>
        <w:rPr>
          <w:rFonts w:ascii="宋体" w:hAnsi="宋体" w:hint="eastAsia"/>
          <w:szCs w:val="21"/>
        </w:rPr>
        <w:t>.</w:t>
      </w:r>
      <w:r>
        <w:rPr>
          <w:rFonts w:ascii="宋体" w:eastAsia="宋体" w:hAnsi="宋体" w:hint="eastAsia"/>
          <w:szCs w:val="21"/>
        </w:rPr>
        <w:t>4.2</w:t>
      </w:r>
      <w:r>
        <w:rPr>
          <w:rFonts w:ascii="宋体" w:hAnsi="宋体" w:hint="eastAsia"/>
          <w:szCs w:val="21"/>
        </w:rPr>
        <w:t xml:space="preserve"> 中标人须在中标公告公示期结束后，领取《中标通知书》前，向招标代理机构缴纳招标代理服务费。</w:t>
      </w:r>
    </w:p>
    <w:p>
      <w:pPr>
        <w:spacing w:line="0" w:lineRule="atLeast"/>
        <w:ind w:firstLine="470" w:firstLineChars="196"/>
        <w:rPr>
          <w:rFonts w:ascii="宋体" w:hAnsi="宋体"/>
          <w:szCs w:val="21"/>
        </w:rPr>
      </w:pPr>
      <w:r>
        <w:rPr>
          <w:rFonts w:ascii="宋体" w:hAnsi="宋体" w:hint="eastAsia"/>
          <w:szCs w:val="21"/>
        </w:rPr>
        <w:t>4</w:t>
      </w:r>
      <w:r>
        <w:rPr>
          <w:rFonts w:ascii="宋体" w:eastAsia="宋体" w:hAnsi="宋体" w:hint="eastAsia"/>
          <w:szCs w:val="21"/>
        </w:rPr>
        <w:t>1</w:t>
      </w:r>
      <w:r>
        <w:rPr>
          <w:rFonts w:ascii="宋体" w:hAnsi="宋体" w:hint="eastAsia"/>
          <w:szCs w:val="21"/>
        </w:rPr>
        <w:t>.</w:t>
      </w:r>
      <w:r>
        <w:rPr>
          <w:rFonts w:ascii="宋体" w:eastAsia="宋体" w:hAnsi="宋体" w:hint="eastAsia"/>
          <w:szCs w:val="21"/>
        </w:rPr>
        <w:t>4.</w:t>
      </w:r>
      <w:r>
        <w:rPr>
          <w:rFonts w:ascii="宋体" w:hAnsi="宋体" w:hint="eastAsia"/>
          <w:szCs w:val="21"/>
        </w:rPr>
        <w:t>3 招标代理服务费以转账、现金形式交付。</w:t>
      </w:r>
    </w:p>
    <w:p>
      <w:pPr>
        <w:pStyle w:val="NormalIndent"/>
      </w:pPr>
    </w:p>
    <w:p>
      <w:pPr>
        <w:pStyle w:val="Heading2"/>
        <w:numPr>
          <w:ilvl w:val="0"/>
          <w:numId w:val="4"/>
        </w:numPr>
        <w:spacing w:before="120" w:beforeLines="50" w:after="120" w:afterLines="50"/>
        <w:ind w:left="562" w:hanging="562"/>
        <w:rPr>
          <w:sz w:val="28"/>
          <w:szCs w:val="28"/>
        </w:rPr>
      </w:pPr>
      <w:bookmarkEnd w:id="122"/>
      <w:r>
        <w:rPr>
          <w:rFonts w:hint="eastAsia"/>
          <w:sz w:val="28"/>
          <w:szCs w:val="28"/>
        </w:rPr>
        <w:t>公开招标失败的后续处理</w:t>
      </w:r>
    </w:p>
    <w:p>
      <w:pPr>
        <w:rPr>
          <w:rFonts w:ascii="黑体" w:eastAsia="黑体" w:hAnsi="宋体"/>
        </w:rPr>
      </w:pPr>
      <w:r>
        <w:rPr>
          <w:rFonts w:ascii="黑体" w:eastAsia="黑体" w:hAnsi="宋体" w:hint="eastAsia"/>
        </w:rPr>
        <w:t>42．公开招标失败的处理</w:t>
      </w:r>
    </w:p>
    <w:p>
      <w:pPr>
        <w:ind w:firstLine="470" w:firstLineChars="196"/>
        <w:rPr>
          <w:rFonts w:ascii="宋体" w:hAnsi="宋体"/>
        </w:rPr>
      </w:pPr>
      <w:r>
        <w:rPr>
          <w:rFonts w:ascii="宋体" w:hAnsi="宋体" w:hint="eastAsia"/>
          <w:szCs w:val="21"/>
        </w:rPr>
        <w:t>42.1本项目公开招标过程中若由于投标截止后</w:t>
      </w:r>
      <w:r>
        <w:rPr>
          <w:rFonts w:ascii="宋体" w:hAnsi="宋体" w:hint="eastAsia"/>
        </w:rPr>
        <w:t>实际递交</w:t>
      </w:r>
      <w:r>
        <w:rPr>
          <w:rFonts w:ascii="宋体" w:hAnsi="宋体"/>
        </w:rPr>
        <w:t>投标</w:t>
      </w:r>
      <w:r>
        <w:rPr>
          <w:rFonts w:ascii="宋体" w:hAnsi="宋体" w:hint="eastAsia"/>
        </w:rPr>
        <w:t>文件的供应商数量不足、经</w:t>
      </w:r>
      <w:r>
        <w:rPr>
          <w:rFonts w:ascii="宋体" w:hAnsi="宋体" w:hint="eastAsia"/>
          <w:szCs w:val="21"/>
        </w:rPr>
        <w:t>评审委员会</w:t>
      </w:r>
      <w:r>
        <w:rPr>
          <w:rFonts w:ascii="宋体" w:hAnsi="宋体" w:hint="eastAsia"/>
        </w:rPr>
        <w:t>评审对招标文件作实质响应的供应商不足等原因造成公开招标失败，可由</w:t>
      </w:r>
      <w:r>
        <w:rPr>
          <w:rFonts w:ascii="宋体" w:eastAsia="宋体" w:hAnsi="宋体" w:cs="宋体" w:hint="eastAsia"/>
        </w:rPr>
        <w:t>招标机构</w:t>
      </w:r>
      <w:r>
        <w:rPr>
          <w:rFonts w:ascii="宋体" w:hAnsi="宋体" w:hint="eastAsia"/>
        </w:rPr>
        <w:t>重新组织采购。</w:t>
      </w:r>
    </w:p>
    <w:p>
      <w:pPr>
        <w:ind w:firstLine="470" w:firstLineChars="196"/>
        <w:rPr>
          <w:rFonts w:ascii="宋体" w:hAnsi="宋体"/>
          <w:szCs w:val="21"/>
        </w:rPr>
      </w:pPr>
      <w:r>
        <w:rPr>
          <w:rFonts w:ascii="宋体" w:hAnsi="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hAnsi="宋体"/>
          <w:szCs w:val="21"/>
        </w:rPr>
      </w:pPr>
      <w:r>
        <w:rPr>
          <w:rFonts w:ascii="宋体" w:hAnsi="宋体" w:hint="eastAsia"/>
          <w:szCs w:val="21"/>
        </w:rPr>
        <w:t>42.3重新组织采购有以下两种组织形式：</w:t>
      </w:r>
    </w:p>
    <w:p>
      <w:pPr>
        <w:ind w:firstLine="470" w:firstLineChars="196"/>
        <w:rPr>
          <w:rFonts w:ascii="宋体" w:hAnsi="宋体"/>
        </w:rPr>
      </w:pPr>
      <w:r>
        <w:rPr>
          <w:rFonts w:ascii="宋体" w:hAnsi="宋体" w:hint="eastAsia"/>
        </w:rPr>
        <w:t>（1）由</w:t>
      </w:r>
      <w:r>
        <w:rPr>
          <w:rFonts w:ascii="宋体" w:eastAsia="宋体" w:hAnsi="宋体" w:hint="eastAsia"/>
        </w:rPr>
        <w:t>招标机构</w:t>
      </w:r>
      <w:r>
        <w:rPr>
          <w:rFonts w:ascii="宋体" w:hAnsi="宋体" w:hint="eastAsia"/>
        </w:rPr>
        <w:t>重新组织公开招标；</w:t>
      </w:r>
    </w:p>
    <w:p>
      <w:pPr>
        <w:ind w:firstLine="470" w:firstLineChars="196"/>
        <w:rPr>
          <w:rFonts w:ascii="宋体" w:hAnsi="宋体"/>
        </w:rPr>
      </w:pPr>
      <w:r>
        <w:rPr>
          <w:rFonts w:ascii="宋体" w:hAnsi="宋体" w:hint="eastAsia"/>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hAnsi="宋体"/>
        </w:rPr>
      </w:pPr>
      <w:r>
        <w:rPr>
          <w:rFonts w:ascii="宋体" w:hAnsi="宋体" w:hint="eastAsia"/>
        </w:rPr>
        <w:t>42.4公开招标失败的采购项目重新组织公开招标，由</w:t>
      </w:r>
      <w:r>
        <w:rPr>
          <w:rFonts w:ascii="宋体" w:eastAsia="宋体" w:hAnsi="宋体" w:hint="eastAsia"/>
        </w:rPr>
        <w:t>招标机构</w:t>
      </w:r>
      <w:r>
        <w:rPr>
          <w:rFonts w:ascii="宋体" w:hAnsi="宋体" w:hint="eastAsia"/>
        </w:rPr>
        <w:t>重新按公开招标流程组织采购活动。</w:t>
      </w:r>
    </w:p>
    <w:p>
      <w:pPr>
        <w:rPr>
          <w:rFonts w:ascii="宋体" w:hAnsi="宋体"/>
        </w:rPr>
      </w:pPr>
      <w:r>
        <w:rPr>
          <w:rFonts w:ascii="宋体" w:hAnsi="宋体" w:hint="eastAsia"/>
        </w:rPr>
        <w:t>42.5公开招标失败的采购项目经同级财政部门批准转为竞争性谈判或单一来源谈判方式采购的，按规定要求组织政府采购工作。</w:t>
      </w:r>
    </w:p>
    <w:p>
      <w:pPr>
        <w:pStyle w:val="Heading2"/>
        <w:numPr>
          <w:ilvl w:val="0"/>
          <w:numId w:val="4"/>
        </w:numPr>
        <w:spacing w:before="120" w:beforeLines="50" w:after="120" w:afterLines="50"/>
        <w:ind w:left="562" w:hanging="562"/>
        <w:rPr>
          <w:sz w:val="28"/>
          <w:szCs w:val="28"/>
        </w:rPr>
      </w:pPr>
      <w:bookmarkStart w:id="123" w:name="_Hlk72439043"/>
      <w:r>
        <w:rPr>
          <w:rFonts w:hint="eastAsia"/>
          <w:sz w:val="28"/>
          <w:szCs w:val="28"/>
        </w:rPr>
        <w:t>合同的授予与备案</w:t>
      </w:r>
      <w:bookmarkEnd w:id="123"/>
    </w:p>
    <w:p>
      <w:pPr>
        <w:rPr>
          <w:rFonts w:ascii="黑体" w:eastAsia="黑体" w:hAnsi="宋体"/>
        </w:rPr>
      </w:pPr>
      <w:bookmarkStart w:id="124" w:name="_Toc73518157"/>
      <w:bookmarkStart w:id="125" w:name="_Toc73517679"/>
      <w:bookmarkStart w:id="126" w:name="_Toc100052408"/>
      <w:bookmarkStart w:id="127" w:name="_Toc73521586"/>
      <w:bookmarkStart w:id="128" w:name="_Toc73521674"/>
      <w:bookmarkStart w:id="129" w:name="_Hlk72439088"/>
      <w:r>
        <w:rPr>
          <w:rFonts w:ascii="黑体" w:eastAsia="黑体" w:hAnsi="宋体" w:hint="eastAsia"/>
        </w:rPr>
        <w:t>43．合同授予标准</w:t>
      </w:r>
      <w:bookmarkEnd w:id="124"/>
      <w:bookmarkEnd w:id="125"/>
      <w:bookmarkEnd w:id="126"/>
      <w:bookmarkEnd w:id="127"/>
      <w:bookmarkEnd w:id="128"/>
    </w:p>
    <w:p>
      <w:pPr>
        <w:ind w:firstLine="470" w:firstLineChars="196"/>
        <w:rPr>
          <w:rFonts w:ascii="宋体" w:hAnsi="宋体"/>
          <w:szCs w:val="21"/>
        </w:rPr>
      </w:pPr>
      <w:r>
        <w:rPr>
          <w:rFonts w:ascii="宋体" w:hAnsi="宋体" w:hint="eastAsia"/>
          <w:szCs w:val="21"/>
        </w:rPr>
        <w:t>本项目的合同将授予经本招标文件规定评审确定的中标供应商。</w:t>
      </w:r>
    </w:p>
    <w:p>
      <w:pPr>
        <w:rPr>
          <w:rFonts w:ascii="黑体" w:eastAsia="黑体" w:hAnsi="宋体"/>
        </w:rPr>
      </w:pPr>
      <w:bookmarkStart w:id="130" w:name="_Toc73521675"/>
      <w:bookmarkStart w:id="131" w:name="_Toc73518158"/>
      <w:bookmarkStart w:id="132" w:name="_Toc73521587"/>
      <w:bookmarkStart w:id="133" w:name="_Toc100052409"/>
      <w:bookmarkStart w:id="134" w:name="_Toc73517680"/>
      <w:r>
        <w:rPr>
          <w:rFonts w:ascii="黑体" w:eastAsia="黑体" w:hAnsi="宋体" w:hint="eastAsia"/>
        </w:rPr>
        <w:t>44．</w:t>
      </w:r>
      <w:bookmarkEnd w:id="130"/>
      <w:bookmarkEnd w:id="131"/>
      <w:bookmarkEnd w:id="132"/>
      <w:bookmarkEnd w:id="133"/>
      <w:bookmarkEnd w:id="134"/>
      <w:r>
        <w:rPr>
          <w:rFonts w:ascii="黑体" w:eastAsia="黑体" w:hAnsi="宋体" w:hint="eastAsia"/>
        </w:rPr>
        <w:t>接受和拒绝任何或所有投标的权力</w:t>
      </w:r>
    </w:p>
    <w:p>
      <w:pPr>
        <w:ind w:firstLine="470" w:firstLineChars="196"/>
        <w:rPr>
          <w:rFonts w:ascii="宋体" w:hAnsi="宋体"/>
          <w:szCs w:val="21"/>
        </w:rPr>
      </w:pPr>
      <w:r>
        <w:rPr>
          <w:rFonts w:ascii="宋体" w:eastAsia="宋体" w:hAnsi="宋体" w:hint="eastAsia"/>
          <w:szCs w:val="21"/>
        </w:rPr>
        <w:t>招标机构</w:t>
      </w:r>
      <w:r>
        <w:rPr>
          <w:rFonts w:ascii="宋体" w:hAnsi="宋体" w:hint="eastAsia"/>
          <w:szCs w:val="21"/>
        </w:rPr>
        <w:t>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rPr>
      </w:pPr>
      <w:bookmarkStart w:id="135" w:name="_Toc73521589"/>
      <w:bookmarkStart w:id="136" w:name="_Toc73518160"/>
      <w:bookmarkStart w:id="137" w:name="_Toc100052410"/>
      <w:bookmarkStart w:id="138" w:name="_Toc73521677"/>
      <w:bookmarkStart w:id="139" w:name="_Toc73517682"/>
      <w:r>
        <w:rPr>
          <w:rFonts w:ascii="黑体" w:eastAsia="黑体" w:hAnsi="宋体" w:hint="eastAsia"/>
        </w:rPr>
        <w:t>45．合同的签订</w:t>
      </w:r>
      <w:bookmarkEnd w:id="135"/>
      <w:bookmarkEnd w:id="136"/>
      <w:bookmarkEnd w:id="137"/>
      <w:bookmarkEnd w:id="138"/>
      <w:bookmarkEnd w:id="139"/>
    </w:p>
    <w:p>
      <w:pPr>
        <w:ind w:firstLine="470" w:firstLineChars="196"/>
        <w:rPr>
          <w:rFonts w:ascii="宋体" w:hAnsi="宋体"/>
          <w:szCs w:val="21"/>
        </w:rPr>
      </w:pPr>
      <w:r>
        <w:rPr>
          <w:rFonts w:ascii="宋体" w:hAnsi="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hAnsi="宋体"/>
          <w:szCs w:val="21"/>
        </w:rPr>
      </w:pPr>
      <w:r>
        <w:rPr>
          <w:rFonts w:ascii="宋体" w:hAnsi="宋体" w:hint="eastAsia"/>
          <w:szCs w:val="21"/>
        </w:rPr>
        <w:t>45.2中标人如不按本通用条款第45</w:t>
      </w:r>
      <w:r>
        <w:rPr>
          <w:rFonts w:ascii="宋体" w:hAnsi="宋体"/>
          <w:szCs w:val="21"/>
        </w:rPr>
        <w:t>.1</w:t>
      </w:r>
      <w:r>
        <w:rPr>
          <w:rFonts w:ascii="宋体" w:hAnsi="宋体" w:hint="eastAsia"/>
          <w:szCs w:val="21"/>
        </w:rPr>
        <w:t>款的规定与采购人签订合同，</w:t>
      </w:r>
      <w:r>
        <w:rPr>
          <w:rFonts w:ascii="宋体" w:hAnsi="宋体" w:cs="宋体"/>
          <w:szCs w:val="21"/>
        </w:rPr>
        <w:t>情节严重的，由</w:t>
      </w:r>
      <w:r>
        <w:rPr>
          <w:rFonts w:ascii="宋体" w:hAnsi="宋体" w:cs="宋体" w:hint="eastAsia"/>
          <w:szCs w:val="21"/>
        </w:rPr>
        <w:t>同级财政</w:t>
      </w:r>
      <w:r>
        <w:rPr>
          <w:rFonts w:ascii="宋体" w:hAnsi="宋体" w:cs="宋体"/>
          <w:szCs w:val="21"/>
        </w:rPr>
        <w:t>部门记入供应商诚信档案，予以通报</w:t>
      </w:r>
      <w:r>
        <w:rPr>
          <w:rFonts w:ascii="宋体" w:hAnsi="宋体" w:hint="eastAsia"/>
          <w:szCs w:val="21"/>
        </w:rPr>
        <w:t>；</w:t>
      </w:r>
    </w:p>
    <w:p>
      <w:pPr>
        <w:ind w:firstLine="470" w:firstLineChars="196"/>
        <w:rPr>
          <w:rFonts w:ascii="宋体" w:hAnsi="宋体"/>
          <w:szCs w:val="21"/>
        </w:rPr>
      </w:pPr>
      <w:r>
        <w:rPr>
          <w:rFonts w:ascii="宋体" w:hAnsi="宋体" w:hint="eastAsia"/>
          <w:szCs w:val="21"/>
        </w:rPr>
        <w:t>45.3中标人应当按照合同约定履行义务，完成中标项目，不得将中标项目转让（转包）给他人。</w:t>
      </w:r>
    </w:p>
    <w:p>
      <w:pPr>
        <w:rPr>
          <w:rFonts w:ascii="黑体" w:eastAsia="黑体" w:hAnsi="宋体"/>
        </w:rPr>
      </w:pPr>
      <w:bookmarkStart w:id="140" w:name="_Toc73517683"/>
      <w:bookmarkStart w:id="141" w:name="_Toc100052411"/>
      <w:bookmarkStart w:id="142" w:name="_Toc73521678"/>
      <w:bookmarkStart w:id="143" w:name="_Toc73521590"/>
      <w:bookmarkStart w:id="144" w:name="_Toc73518161"/>
      <w:r>
        <w:rPr>
          <w:rFonts w:ascii="黑体" w:eastAsia="黑体" w:hAnsi="宋体" w:hint="eastAsia"/>
        </w:rPr>
        <w:t>46．履约担保</w:t>
      </w:r>
      <w:bookmarkEnd w:id="140"/>
      <w:bookmarkEnd w:id="141"/>
      <w:bookmarkEnd w:id="142"/>
      <w:bookmarkEnd w:id="143"/>
      <w:bookmarkEnd w:id="144"/>
    </w:p>
    <w:p>
      <w:pPr>
        <w:ind w:firstLine="470" w:firstLineChars="196"/>
        <w:rPr>
          <w:rFonts w:ascii="宋体" w:hAnsi="宋体"/>
          <w:szCs w:val="21"/>
        </w:rPr>
      </w:pPr>
      <w:r>
        <w:rPr>
          <w:rFonts w:ascii="宋体" w:hAnsi="宋体" w:hint="eastAsia"/>
          <w:szCs w:val="21"/>
        </w:rPr>
        <w:t>46.1在签订项目合同的同时，中标人应按“对通用条款的补充内容”中规定的金额向采购人提交履约担保；</w:t>
      </w:r>
    </w:p>
    <w:p>
      <w:pPr>
        <w:ind w:firstLine="470" w:firstLineChars="196"/>
        <w:rPr>
          <w:rFonts w:ascii="宋体" w:hAnsi="宋体"/>
          <w:szCs w:val="21"/>
        </w:rPr>
      </w:pPr>
      <w:r>
        <w:rPr>
          <w:rFonts w:ascii="宋体" w:hAnsi="宋体" w:hint="eastAsia"/>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pPr>
        <w:rPr>
          <w:rFonts w:ascii="黑体" w:eastAsia="黑体" w:hAnsi="宋体"/>
        </w:rPr>
      </w:pPr>
      <w:r>
        <w:rPr>
          <w:rFonts w:ascii="黑体" w:eastAsia="黑体" w:hAnsi="宋体" w:hint="eastAsia"/>
        </w:rPr>
        <w:t>47. 合同备案</w:t>
      </w:r>
    </w:p>
    <w:p>
      <w:pPr>
        <w:ind w:firstLine="470" w:firstLineChars="196"/>
        <w:rPr>
          <w:rFonts w:ascii="宋体" w:hAnsi="宋体"/>
          <w:szCs w:val="21"/>
        </w:rPr>
      </w:pPr>
      <w:r>
        <w:rPr>
          <w:rFonts w:ascii="宋体" w:hAnsi="宋体" w:hint="eastAsia"/>
          <w:szCs w:val="21"/>
        </w:rPr>
        <w:t>采购人与中标人应于合同签订之日起十日内，由采购人或委托中标人将采购合同副本抄送合同备案工作实施机构备案。</w:t>
      </w:r>
    </w:p>
    <w:p>
      <w:pPr>
        <w:rPr>
          <w:rFonts w:ascii="黑体" w:eastAsia="黑体" w:hAnsi="宋体"/>
        </w:rPr>
      </w:pPr>
      <w:r>
        <w:rPr>
          <w:rFonts w:ascii="黑体" w:eastAsia="黑体" w:hAnsi="宋体" w:hint="eastAsia"/>
        </w:rPr>
        <w:t>48. 合同变更</w:t>
      </w:r>
    </w:p>
    <w:p>
      <w:pPr>
        <w:ind w:firstLine="470" w:firstLineChars="196"/>
        <w:rPr>
          <w:rFonts w:ascii="宋体" w:hAnsi="宋体"/>
          <w:szCs w:val="21"/>
        </w:rPr>
      </w:pPr>
      <w:r>
        <w:rPr>
          <w:rFonts w:ascii="宋体" w:hAnsi="宋体" w:hint="eastAsia"/>
          <w:szCs w:val="21"/>
        </w:rPr>
        <w:t>合同变更事宜按《深圳市财政局 深圳市政府采购中心关于进一步加强市本级政府采购合同备案管理工作的通知》（深财购〔2019〕43号）相关规定执行。</w:t>
      </w:r>
    </w:p>
    <w:p>
      <w:pPr>
        <w:rPr>
          <w:rFonts w:ascii="黑体" w:eastAsia="黑体" w:hAnsi="宋体"/>
        </w:rPr>
      </w:pPr>
      <w:r>
        <w:rPr>
          <w:rFonts w:ascii="黑体" w:eastAsia="黑体" w:hAnsi="宋体" w:hint="eastAsia"/>
        </w:rPr>
        <w:t>49. 项目验收</w:t>
      </w:r>
    </w:p>
    <w:p>
      <w:pPr>
        <w:ind w:right="176" w:firstLine="420"/>
        <w:rPr>
          <w:rFonts w:ascii="宋体" w:hAnsi="宋体"/>
        </w:rPr>
      </w:pPr>
      <w:r>
        <w:rPr>
          <w:rFonts w:ascii="宋体" w:hAnsi="宋体" w:hint="eastAsia"/>
        </w:rPr>
        <w:t>49.1采购人应当按照招标文件和合同规定的标准和方法，及时组织验收。</w:t>
      </w:r>
    </w:p>
    <w:p>
      <w:pPr>
        <w:rPr>
          <w:rFonts w:ascii="黑体" w:eastAsia="黑体" w:hAnsi="宋体"/>
        </w:rPr>
      </w:pPr>
      <w:r>
        <w:rPr>
          <w:rFonts w:ascii="黑体" w:eastAsia="黑体" w:hAnsi="宋体" w:hint="eastAsia"/>
        </w:rPr>
        <w:t>50. 宣传</w:t>
      </w:r>
    </w:p>
    <w:p>
      <w:pPr>
        <w:ind w:left="240" w:firstLine="470" w:leftChars="100" w:firstLineChars="196"/>
        <w:rPr>
          <w:rFonts w:ascii="宋体" w:hAnsi="宋体"/>
        </w:rPr>
      </w:pPr>
      <w:r>
        <w:rPr>
          <w:rFonts w:ascii="宋体" w:hAnsi="宋体" w:hint="eastAsia"/>
        </w:rPr>
        <w:t>凡与政府采购活动有关的宣传或广告，若当中提及政府采购，</w:t>
      </w:r>
      <w:r>
        <w:rPr>
          <w:rFonts w:ascii="宋体" w:hAnsi="宋体"/>
        </w:rPr>
        <w:t>必须事先将具体对外宣传方案报</w:t>
      </w:r>
      <w:r>
        <w:rPr>
          <w:rFonts w:ascii="宋体" w:hAnsi="宋体" w:hint="eastAsia"/>
        </w:rPr>
        <w:t>同级财政部门</w:t>
      </w:r>
      <w:r>
        <w:rPr>
          <w:rFonts w:ascii="宋体" w:hAnsi="宋体"/>
        </w:rPr>
        <w:t>和</w:t>
      </w:r>
      <w:r>
        <w:rPr>
          <w:rFonts w:ascii="宋体" w:eastAsia="宋体" w:hAnsi="宋体" w:hint="eastAsia"/>
        </w:rPr>
        <w:t>招标机构</w:t>
      </w:r>
      <w:r>
        <w:rPr>
          <w:rFonts w:ascii="宋体" w:hAnsi="宋体"/>
        </w:rPr>
        <w:t>，并征得其同意。对外市场宣传包括但不限于以下形式：</w:t>
      </w:r>
    </w:p>
    <w:p>
      <w:pPr>
        <w:ind w:left="240" w:firstLine="470" w:leftChars="100" w:firstLineChars="196"/>
        <w:rPr>
          <w:rFonts w:ascii="宋体" w:hAnsi="宋体"/>
        </w:rPr>
      </w:pPr>
      <w:r>
        <w:rPr>
          <w:rFonts w:ascii="宋体" w:hAnsi="宋体"/>
        </w:rPr>
        <w:t>a.名片、宣传册、广告标语等；</w:t>
      </w:r>
    </w:p>
    <w:p>
      <w:pPr>
        <w:ind w:left="240" w:firstLine="470" w:leftChars="100" w:firstLineChars="196"/>
        <w:rPr>
          <w:rFonts w:ascii="宋体" w:hAnsi="宋体"/>
        </w:rPr>
      </w:pPr>
      <w:r>
        <w:rPr>
          <w:rFonts w:ascii="宋体" w:hAnsi="宋体"/>
        </w:rPr>
        <w:t>b.案例介绍、推广等；</w:t>
      </w:r>
    </w:p>
    <w:p>
      <w:pPr>
        <w:ind w:left="240" w:firstLine="470" w:leftChars="100" w:firstLineChars="196"/>
        <w:rPr>
          <w:rFonts w:ascii="宋体" w:hAnsi="宋体"/>
        </w:rPr>
      </w:pPr>
      <w:r>
        <w:rPr>
          <w:rFonts w:ascii="宋体" w:hAnsi="宋体" w:hint="eastAsia"/>
        </w:rPr>
        <w:t>c.工作</w:t>
      </w:r>
      <w:r>
        <w:rPr>
          <w:rFonts w:ascii="宋体" w:hAnsi="宋体"/>
        </w:rPr>
        <w:t>人员向其他消费群体宣传。</w:t>
      </w:r>
    </w:p>
    <w:p>
      <w:pPr>
        <w:rPr>
          <w:rFonts w:ascii="黑体" w:eastAsia="黑体" w:hAnsi="宋体"/>
        </w:rPr>
      </w:pPr>
      <w:r>
        <w:rPr>
          <w:rFonts w:ascii="黑体" w:eastAsia="黑体" w:hAnsi="宋体" w:hint="eastAsia"/>
        </w:rPr>
        <w:t>51. 供应商违法责任</w:t>
      </w:r>
    </w:p>
    <w:p>
      <w:pPr>
        <w:ind w:firstLine="470" w:firstLineChars="196"/>
        <w:rPr>
          <w:rFonts w:ascii="宋体" w:hAnsi="宋体"/>
          <w:szCs w:val="21"/>
        </w:rPr>
      </w:pPr>
      <w:r>
        <w:rPr>
          <w:rFonts w:ascii="宋体" w:hAnsi="宋体" w:hint="eastAsia"/>
          <w:szCs w:val="21"/>
        </w:rPr>
        <w:t>5</w:t>
      </w:r>
      <w:r>
        <w:rPr>
          <w:rFonts w:ascii="宋体" w:hAnsi="宋体"/>
          <w:szCs w:val="21"/>
        </w:rPr>
        <w:t>1.1</w:t>
      </w:r>
      <w:r>
        <w:rPr>
          <w:rFonts w:ascii="宋体" w:hAnsi="宋体"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hAnsi="宋体"/>
          <w:szCs w:val="21"/>
        </w:rPr>
      </w:pPr>
      <w:r>
        <w:rPr>
          <w:rFonts w:ascii="宋体" w:hAnsi="宋体" w:hint="eastAsia"/>
          <w:szCs w:val="21"/>
        </w:rPr>
        <w:t>（1）在采购活动中应当回避而未回避的；</w:t>
      </w:r>
    </w:p>
    <w:p>
      <w:pPr>
        <w:ind w:firstLine="470" w:firstLineChars="196"/>
        <w:rPr>
          <w:rFonts w:ascii="宋体" w:hAnsi="宋体"/>
          <w:szCs w:val="21"/>
        </w:rPr>
      </w:pPr>
      <w:r>
        <w:rPr>
          <w:rFonts w:ascii="宋体" w:hAnsi="宋体" w:hint="eastAsia"/>
          <w:szCs w:val="21"/>
        </w:rPr>
        <w:t>（2）未按本条例规定签订、履行采购合同，造成严重后果的；</w:t>
      </w:r>
    </w:p>
    <w:p>
      <w:pPr>
        <w:ind w:firstLine="470" w:firstLineChars="196"/>
        <w:rPr>
          <w:rFonts w:ascii="宋体" w:hAnsi="宋体"/>
          <w:szCs w:val="21"/>
        </w:rPr>
      </w:pPr>
      <w:r>
        <w:rPr>
          <w:rFonts w:ascii="宋体" w:hAnsi="宋体" w:hint="eastAsia"/>
          <w:szCs w:val="21"/>
        </w:rPr>
        <w:t>（3）隐瞒真实情况，提供虚假资料的；</w:t>
      </w:r>
    </w:p>
    <w:p>
      <w:pPr>
        <w:ind w:firstLine="470" w:firstLineChars="196"/>
        <w:rPr>
          <w:rFonts w:ascii="宋体" w:hAnsi="宋体"/>
          <w:szCs w:val="21"/>
        </w:rPr>
      </w:pPr>
      <w:r>
        <w:rPr>
          <w:rFonts w:ascii="宋体" w:hAnsi="宋体" w:hint="eastAsia"/>
          <w:szCs w:val="21"/>
        </w:rPr>
        <w:t>（4）以非法手段排斥其他供应商参与竞争的；</w:t>
      </w:r>
    </w:p>
    <w:p>
      <w:pPr>
        <w:ind w:firstLine="470" w:firstLineChars="196"/>
        <w:rPr>
          <w:rFonts w:ascii="宋体" w:hAnsi="宋体"/>
          <w:szCs w:val="21"/>
        </w:rPr>
      </w:pPr>
      <w:r>
        <w:rPr>
          <w:rFonts w:ascii="宋体" w:hAnsi="宋体" w:hint="eastAsia"/>
          <w:szCs w:val="21"/>
        </w:rPr>
        <w:t>（5）与其他采购参加人串通投标的；</w:t>
      </w:r>
    </w:p>
    <w:p>
      <w:pPr>
        <w:ind w:firstLine="470" w:firstLineChars="196"/>
        <w:rPr>
          <w:rFonts w:ascii="宋体" w:hAnsi="宋体"/>
          <w:szCs w:val="21"/>
        </w:rPr>
      </w:pPr>
      <w:r>
        <w:rPr>
          <w:rFonts w:ascii="宋体" w:hAnsi="宋体" w:hint="eastAsia"/>
          <w:szCs w:val="21"/>
        </w:rPr>
        <w:t>（6）恶意投诉的；</w:t>
      </w:r>
    </w:p>
    <w:p>
      <w:pPr>
        <w:ind w:firstLine="470" w:firstLineChars="196"/>
        <w:rPr>
          <w:rFonts w:ascii="宋体" w:hAnsi="宋体"/>
          <w:szCs w:val="21"/>
        </w:rPr>
      </w:pPr>
      <w:r>
        <w:rPr>
          <w:rFonts w:ascii="宋体" w:hAnsi="宋体" w:hint="eastAsia"/>
          <w:szCs w:val="21"/>
        </w:rPr>
        <w:t>（7）向采购项目相关人行贿或者提供其他不当利益的；</w:t>
      </w:r>
    </w:p>
    <w:p>
      <w:pPr>
        <w:ind w:firstLine="470" w:firstLineChars="196"/>
        <w:rPr>
          <w:rFonts w:ascii="宋体" w:hAnsi="宋体"/>
          <w:szCs w:val="21"/>
        </w:rPr>
      </w:pPr>
      <w:r>
        <w:rPr>
          <w:rFonts w:ascii="宋体" w:hAnsi="宋体" w:hint="eastAsia"/>
          <w:szCs w:val="21"/>
        </w:rPr>
        <w:t>（8）阻碍、抗拒主管部门监督检查的；</w:t>
      </w:r>
    </w:p>
    <w:p>
      <w:pPr>
        <w:ind w:firstLine="470" w:firstLineChars="196"/>
        <w:rPr>
          <w:rFonts w:ascii="宋体" w:hAnsi="宋体"/>
          <w:szCs w:val="21"/>
        </w:rPr>
      </w:pPr>
      <w:r>
        <w:rPr>
          <w:rFonts w:ascii="宋体" w:hAnsi="宋体" w:hint="eastAsia"/>
          <w:szCs w:val="21"/>
        </w:rPr>
        <w:t>（9）其他违反本条例规定的行为。</w:t>
      </w:r>
    </w:p>
    <w:p>
      <w:pPr>
        <w:ind w:firstLine="470" w:firstLineChars="196"/>
        <w:rPr>
          <w:rFonts w:ascii="宋体" w:hAnsi="宋体"/>
          <w:szCs w:val="21"/>
        </w:rPr>
      </w:pPr>
      <w:r>
        <w:rPr>
          <w:rFonts w:ascii="宋体" w:hAnsi="宋体" w:hint="eastAsia"/>
          <w:szCs w:val="21"/>
        </w:rPr>
        <w:t>5</w:t>
      </w:r>
      <w:r>
        <w:rPr>
          <w:rFonts w:ascii="宋体" w:hAnsi="宋体"/>
          <w:szCs w:val="21"/>
        </w:rPr>
        <w:t xml:space="preserve">1.2 </w:t>
      </w:r>
      <w:r>
        <w:rPr>
          <w:rFonts w:ascii="宋体" w:hAnsi="宋体"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145" w:name="_Hlk72440769"/>
      <w:r>
        <w:rPr>
          <w:rFonts w:ascii="宋体" w:hAnsi="宋体" w:hint="eastAsia"/>
          <w:szCs w:val="21"/>
        </w:rPr>
        <w:t>采购人或</w:t>
      </w:r>
      <w:bookmarkEnd w:id="145"/>
      <w:r>
        <w:rPr>
          <w:rFonts w:ascii="宋体" w:eastAsia="宋体" w:hAnsi="宋体" w:hint="eastAsia"/>
          <w:szCs w:val="21"/>
        </w:rPr>
        <w:t>招标机构</w:t>
      </w:r>
      <w:r>
        <w:rPr>
          <w:rFonts w:ascii="宋体" w:hAnsi="宋体" w:hint="eastAsia"/>
          <w:szCs w:val="21"/>
        </w:rPr>
        <w:t>可将有关情况报同级财政部门，由财政部门根据实际情况记入供应商诚信档案，予以通报：</w:t>
      </w:r>
    </w:p>
    <w:p>
      <w:pPr>
        <w:ind w:firstLine="470" w:firstLineChars="196"/>
        <w:rPr>
          <w:rFonts w:ascii="宋体" w:hAnsi="宋体"/>
          <w:szCs w:val="21"/>
        </w:rPr>
      </w:pPr>
      <w:r>
        <w:rPr>
          <w:rFonts w:ascii="宋体" w:hAnsi="宋体" w:hint="eastAsia"/>
          <w:szCs w:val="21"/>
        </w:rPr>
        <w:t>（1</w:t>
      </w:r>
      <w:r>
        <w:rPr>
          <w:rFonts w:ascii="宋体" w:hAnsi="宋体"/>
          <w:szCs w:val="21"/>
        </w:rPr>
        <w:t>）投标截止后，撤销投标的；</w:t>
      </w:r>
    </w:p>
    <w:p>
      <w:pPr>
        <w:ind w:firstLine="470" w:firstLineChars="196"/>
        <w:rPr>
          <w:rFonts w:ascii="宋体" w:hAnsi="宋体"/>
          <w:szCs w:val="21"/>
        </w:rPr>
      </w:pPr>
      <w:r>
        <w:rPr>
          <w:rFonts w:ascii="宋体" w:hAnsi="宋体"/>
          <w:szCs w:val="21"/>
        </w:rPr>
        <w:t>（</w:t>
      </w:r>
      <w:r>
        <w:rPr>
          <w:rFonts w:ascii="宋体" w:hAnsi="宋体" w:hint="eastAsia"/>
          <w:szCs w:val="21"/>
        </w:rPr>
        <w:t>2</w:t>
      </w:r>
      <w:r>
        <w:rPr>
          <w:rFonts w:ascii="宋体" w:hAnsi="宋体"/>
          <w:szCs w:val="21"/>
        </w:rPr>
        <w:t>）中标后无正当理由未在规定期限内签订合同的；</w:t>
      </w:r>
    </w:p>
    <w:p>
      <w:pPr>
        <w:ind w:firstLine="470" w:firstLineChars="196"/>
        <w:rPr>
          <w:rFonts w:ascii="宋体" w:hAnsi="宋体"/>
          <w:szCs w:val="21"/>
        </w:rPr>
      </w:pPr>
      <w:r>
        <w:rPr>
          <w:rFonts w:ascii="宋体" w:hAnsi="宋体"/>
          <w:szCs w:val="21"/>
        </w:rPr>
        <w:t>（</w:t>
      </w:r>
      <w:r>
        <w:rPr>
          <w:rFonts w:ascii="宋体" w:hAnsi="宋体" w:hint="eastAsia"/>
          <w:szCs w:val="21"/>
        </w:rPr>
        <w:t>3</w:t>
      </w:r>
      <w:r>
        <w:rPr>
          <w:rFonts w:ascii="宋体" w:hAnsi="宋体"/>
          <w:szCs w:val="21"/>
        </w:rPr>
        <w:t>）将中标项目转让给他人、或者在投标文件中未说明且未经采购人、采购招标机构同意，将中标项目分包给他人的；</w:t>
      </w:r>
    </w:p>
    <w:p>
      <w:pPr>
        <w:ind w:firstLine="470" w:firstLineChars="196"/>
        <w:rPr>
          <w:rFonts w:ascii="宋体" w:hAnsi="宋体"/>
          <w:szCs w:val="21"/>
        </w:rPr>
      </w:pPr>
      <w:r>
        <w:rPr>
          <w:rFonts w:ascii="宋体" w:hAnsi="宋体"/>
          <w:szCs w:val="21"/>
        </w:rPr>
        <w:t>（</w:t>
      </w:r>
      <w:r>
        <w:rPr>
          <w:rFonts w:ascii="宋体" w:hAnsi="宋体" w:hint="eastAsia"/>
          <w:szCs w:val="21"/>
        </w:rPr>
        <w:t>4</w:t>
      </w:r>
      <w:r>
        <w:rPr>
          <w:rFonts w:ascii="宋体" w:hAnsi="宋体"/>
          <w:szCs w:val="21"/>
        </w:rPr>
        <w:t>）拒绝履行合同义务的</w:t>
      </w:r>
      <w:r>
        <w:rPr>
          <w:rFonts w:ascii="宋体" w:hAnsi="宋体" w:hint="eastAsia"/>
          <w:szCs w:val="21"/>
        </w:rPr>
        <w:t>。</w:t>
      </w:r>
    </w:p>
    <w:p>
      <w:pPr>
        <w:pStyle w:val="NormalIndent"/>
        <w:ind w:firstLine="0"/>
      </w:pPr>
    </w:p>
    <w:p>
      <w:pPr>
        <w:pStyle w:val="Heading2"/>
        <w:numPr>
          <w:ilvl w:val="0"/>
          <w:numId w:val="4"/>
        </w:numPr>
        <w:spacing w:before="120" w:beforeLines="50" w:after="120" w:afterLines="50"/>
        <w:ind w:left="562" w:hanging="562"/>
        <w:rPr>
          <w:sz w:val="28"/>
          <w:szCs w:val="28"/>
        </w:rPr>
      </w:pPr>
      <w:bookmarkEnd w:id="129"/>
      <w:r>
        <w:rPr>
          <w:rFonts w:hint="eastAsia"/>
          <w:sz w:val="28"/>
          <w:szCs w:val="28"/>
        </w:rPr>
        <w:t>质疑处理</w:t>
      </w:r>
    </w:p>
    <w:p>
      <w:pPr>
        <w:rPr>
          <w:rFonts w:ascii="黑体" w:eastAsia="黑体" w:hAnsi="宋体"/>
        </w:rPr>
      </w:pPr>
      <w:bookmarkStart w:id="146" w:name="_Hlk72439706"/>
      <w:r>
        <w:rPr>
          <w:rFonts w:ascii="黑体" w:eastAsia="黑体" w:hAnsi="宋体" w:hint="eastAsia"/>
        </w:rPr>
        <w:t>52.质疑提出与答复</w:t>
      </w:r>
    </w:p>
    <w:p>
      <w:pPr>
        <w:rPr>
          <w:rFonts w:ascii="宋体" w:hAnsi="宋体"/>
          <w:szCs w:val="21"/>
        </w:rPr>
      </w:pPr>
      <w:r>
        <w:rPr>
          <w:rFonts w:ascii="宋体" w:hAnsi="宋体" w:hint="eastAsia"/>
          <w:szCs w:val="21"/>
        </w:rPr>
        <w:t xml:space="preserve">    52.1提出质疑</w:t>
      </w:r>
    </w:p>
    <w:p>
      <w:pPr>
        <w:rPr>
          <w:rFonts w:ascii="宋体" w:hAnsi="宋体"/>
          <w:szCs w:val="21"/>
        </w:rPr>
      </w:pPr>
      <w:r>
        <w:rPr>
          <w:rFonts w:ascii="宋体" w:hAnsi="宋体" w:hint="eastAsia"/>
          <w:szCs w:val="21"/>
        </w:rPr>
        <w:t xml:space="preserve">    参与政府采购活动的供应商认为自己的权益在采购活动中受到损害的，应当自知道或者应当知道其权益受到损害之日起七个工作日内向采购人、</w:t>
      </w:r>
      <w:r>
        <w:rPr>
          <w:rFonts w:ascii="宋体" w:eastAsia="宋体" w:hAnsi="宋体" w:hint="eastAsia"/>
          <w:szCs w:val="21"/>
        </w:rPr>
        <w:t>招标机构</w:t>
      </w:r>
      <w:r>
        <w:rPr>
          <w:rFonts w:ascii="宋体" w:hAnsi="宋体" w:hint="eastAsia"/>
          <w:szCs w:val="21"/>
        </w:rPr>
        <w:t>以书面形式提出质疑。</w:t>
      </w:r>
    </w:p>
    <w:p>
      <w:pPr>
        <w:rPr>
          <w:rFonts w:ascii="宋体" w:hAnsi="宋体"/>
          <w:szCs w:val="21"/>
        </w:rPr>
      </w:pPr>
      <w:r>
        <w:rPr>
          <w:rFonts w:ascii="宋体" w:hAnsi="宋体" w:hint="eastAsia"/>
          <w:szCs w:val="21"/>
        </w:rPr>
        <w:t xml:space="preserve">    52.2</w:t>
      </w:r>
      <w:r>
        <w:rPr>
          <w:rFonts w:ascii="宋体" w:hAnsi="宋体"/>
          <w:szCs w:val="21"/>
        </w:rPr>
        <w:t>法律依据</w:t>
      </w:r>
    </w:p>
    <w:p>
      <w:pPr>
        <w:rPr>
          <w:rFonts w:ascii="宋体" w:hAnsi="宋体"/>
          <w:szCs w:val="21"/>
        </w:rPr>
      </w:pPr>
      <w:r>
        <w:rPr>
          <w:rFonts w:ascii="宋体" w:hAnsi="宋体" w:hint="eastAsia"/>
          <w:szCs w:val="21"/>
        </w:rPr>
        <w:t xml:space="preserve">    《中华人民共和国政府采购法》、《中华人民共和国政府采购法实施条例》、</w:t>
      </w:r>
      <w:r>
        <w:rPr>
          <w:rFonts w:ascii="宋体" w:hAnsi="宋体"/>
          <w:szCs w:val="21"/>
        </w:rPr>
        <w:t>《</w:t>
      </w:r>
      <w:r>
        <w:rPr>
          <w:rFonts w:ascii="宋体" w:hAnsi="宋体" w:hint="eastAsia"/>
          <w:szCs w:val="21"/>
        </w:rPr>
        <w:t>深圳经济特区政府采购</w:t>
      </w:r>
      <w:r>
        <w:rPr>
          <w:rFonts w:ascii="宋体" w:hAnsi="宋体"/>
          <w:szCs w:val="21"/>
        </w:rPr>
        <w:t>条例</w:t>
      </w:r>
      <w:r>
        <w:rPr>
          <w:rFonts w:ascii="宋体" w:hAnsi="宋体" w:hint="eastAsia"/>
          <w:szCs w:val="21"/>
        </w:rPr>
        <w:t>》、《深圳经济特区政府采购条例实施细则》、《政府采购质疑和投诉办法》（财政部令第94号）和其他有关法律法规规定。</w:t>
      </w:r>
    </w:p>
    <w:p>
      <w:pPr>
        <w:rPr>
          <w:rFonts w:ascii="宋体" w:hAnsi="宋体"/>
          <w:szCs w:val="21"/>
        </w:rPr>
      </w:pPr>
      <w:r>
        <w:rPr>
          <w:rFonts w:ascii="宋体" w:hAnsi="宋体" w:hint="eastAsia"/>
          <w:szCs w:val="21"/>
        </w:rPr>
        <w:t>52.3质疑条件</w:t>
      </w:r>
    </w:p>
    <w:p>
      <w:pPr>
        <w:rPr>
          <w:rFonts w:ascii="宋体" w:hAnsi="宋体"/>
          <w:szCs w:val="21"/>
        </w:rPr>
      </w:pPr>
      <w:r>
        <w:rPr>
          <w:rFonts w:ascii="宋体" w:hAnsi="宋体" w:hint="eastAsia"/>
          <w:szCs w:val="21"/>
        </w:rPr>
        <w:t xml:space="preserve">    52.3.1提出质疑的供应商应当是参与所质疑项目采购活动的供应商；</w:t>
      </w:r>
      <w:bookmarkStart w:id="147" w:name="_Hlk75374941"/>
      <w:r>
        <w:rPr>
          <w:rFonts w:ascii="宋体" w:hAnsi="宋体" w:hint="eastAsia"/>
          <w:szCs w:val="21"/>
        </w:rPr>
        <w:t>以联合体形式参与的，质疑应当由组成联合体的所有成员共同提出</w:t>
      </w:r>
      <w:bookmarkEnd w:id="147"/>
      <w:r>
        <w:rPr>
          <w:rFonts w:ascii="宋体" w:hAnsi="宋体" w:hint="eastAsia"/>
          <w:szCs w:val="21"/>
        </w:rPr>
        <w:t>；</w:t>
      </w:r>
    </w:p>
    <w:p>
      <w:pPr>
        <w:rPr>
          <w:rFonts w:ascii="宋体" w:hAnsi="宋体"/>
          <w:szCs w:val="21"/>
        </w:rPr>
      </w:pPr>
      <w:r>
        <w:rPr>
          <w:rFonts w:ascii="宋体" w:hAnsi="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szCs w:val="21"/>
        </w:rPr>
      </w:pPr>
      <w:r>
        <w:rPr>
          <w:rFonts w:ascii="宋体" w:hAnsi="宋体" w:hint="eastAsia"/>
          <w:szCs w:val="21"/>
        </w:rPr>
        <w:t>52.3.3应提交书面质疑函，质疑函应当包括以下内容：</w:t>
      </w:r>
    </w:p>
    <w:p>
      <w:pPr>
        <w:ind w:firstLine="420"/>
        <w:rPr>
          <w:rFonts w:ascii="宋体" w:hAnsi="宋体"/>
          <w:szCs w:val="21"/>
        </w:rPr>
      </w:pPr>
      <w:r>
        <w:rPr>
          <w:rFonts w:ascii="宋体" w:hAnsi="宋体" w:hint="eastAsia"/>
          <w:szCs w:val="21"/>
        </w:rPr>
        <w:t>（1）供应商的名称（或者姓名）、地址、邮编、邮箱、联系人及联系电话；</w:t>
      </w:r>
    </w:p>
    <w:p>
      <w:pPr>
        <w:ind w:firstLine="480" w:firstLineChars="200"/>
        <w:rPr>
          <w:rFonts w:ascii="宋体" w:hAnsi="宋体"/>
          <w:szCs w:val="21"/>
        </w:rPr>
      </w:pPr>
      <w:r>
        <w:rPr>
          <w:rFonts w:ascii="宋体" w:hAnsi="宋体" w:hint="eastAsia"/>
          <w:szCs w:val="21"/>
        </w:rPr>
        <w:t>（2）质疑项目的名称、编号；</w:t>
      </w:r>
    </w:p>
    <w:p>
      <w:pPr>
        <w:ind w:firstLine="480" w:firstLineChars="200"/>
        <w:rPr>
          <w:rFonts w:ascii="宋体" w:hAnsi="宋体"/>
          <w:szCs w:val="21"/>
        </w:rPr>
      </w:pPr>
      <w:r>
        <w:rPr>
          <w:rFonts w:ascii="宋体" w:hAnsi="宋体" w:hint="eastAsia"/>
          <w:szCs w:val="21"/>
        </w:rPr>
        <w:t>（3）具体、明确的质疑对象、质疑事项和质疑请求；</w:t>
      </w:r>
    </w:p>
    <w:p>
      <w:pPr>
        <w:ind w:firstLine="480" w:firstLineChars="200"/>
        <w:rPr>
          <w:rFonts w:ascii="宋体" w:hAnsi="宋体"/>
          <w:szCs w:val="21"/>
        </w:rPr>
      </w:pPr>
      <w:r>
        <w:rPr>
          <w:rFonts w:ascii="宋体" w:hAnsi="宋体" w:hint="eastAsia"/>
          <w:szCs w:val="21"/>
        </w:rPr>
        <w:t>（4）因质疑事项而受损害的权益；</w:t>
      </w:r>
    </w:p>
    <w:p>
      <w:pPr>
        <w:ind w:firstLine="480" w:firstLineChars="200"/>
        <w:rPr>
          <w:rFonts w:ascii="宋体" w:hAnsi="宋体"/>
          <w:szCs w:val="21"/>
        </w:rPr>
      </w:pPr>
      <w:r>
        <w:rPr>
          <w:rFonts w:ascii="宋体" w:hAnsi="宋体" w:hint="eastAsia"/>
          <w:szCs w:val="21"/>
        </w:rPr>
        <w:t>（5）事实依据；</w:t>
      </w:r>
    </w:p>
    <w:p>
      <w:pPr>
        <w:ind w:firstLine="480" w:firstLineChars="200"/>
        <w:rPr>
          <w:rFonts w:ascii="宋体" w:hAnsi="宋体"/>
          <w:szCs w:val="21"/>
        </w:rPr>
      </w:pPr>
      <w:r>
        <w:rPr>
          <w:rFonts w:ascii="宋体" w:hAnsi="宋体" w:hint="eastAsia"/>
          <w:szCs w:val="21"/>
        </w:rPr>
        <w:t>（6）必要的法律依据；</w:t>
      </w:r>
    </w:p>
    <w:p>
      <w:pPr>
        <w:ind w:firstLine="480" w:firstLineChars="200"/>
        <w:rPr>
          <w:rFonts w:ascii="宋体" w:hAnsi="宋体"/>
          <w:szCs w:val="21"/>
        </w:rPr>
      </w:pPr>
      <w:r>
        <w:rPr>
          <w:rFonts w:ascii="宋体" w:hAnsi="宋体" w:hint="eastAsia"/>
          <w:szCs w:val="21"/>
        </w:rPr>
        <w:t>（7）提出质疑的日期。</w:t>
      </w:r>
    </w:p>
    <w:p>
      <w:pPr>
        <w:ind w:firstLine="480" w:firstLineChars="200"/>
        <w:rPr>
          <w:rFonts w:ascii="宋体" w:hAnsi="宋体"/>
          <w:szCs w:val="21"/>
        </w:rPr>
      </w:pPr>
      <w:r>
        <w:rPr>
          <w:rFonts w:ascii="宋体" w:hAnsi="宋体" w:hint="eastAsia"/>
          <w:szCs w:val="21"/>
        </w:rPr>
        <w:t>供应商为自然人的，应当由本人签字；供应商为法人或者其他组织的，应当由法定代表人（负责人），或者其授权代理人签字或者盖章，并加盖公章。</w:t>
      </w:r>
    </w:p>
    <w:p>
      <w:pPr>
        <w:ind w:firstLine="480" w:firstLineChars="200"/>
        <w:rPr>
          <w:rFonts w:ascii="宋体" w:hAnsi="宋体"/>
          <w:szCs w:val="21"/>
        </w:rPr>
      </w:pPr>
      <w:r>
        <w:rPr>
          <w:rFonts w:ascii="宋体" w:hAnsi="宋体" w:hint="eastAsia"/>
          <w:szCs w:val="21"/>
        </w:rPr>
        <w:t>52.4提交</w:t>
      </w:r>
      <w:r>
        <w:rPr>
          <w:rFonts w:ascii="宋体" w:hAnsi="宋体"/>
          <w:szCs w:val="21"/>
        </w:rPr>
        <w:t>材料</w:t>
      </w:r>
    </w:p>
    <w:p>
      <w:pPr>
        <w:ind w:firstLine="480" w:firstLineChars="200"/>
        <w:rPr>
          <w:rFonts w:ascii="宋体" w:hAnsi="宋体"/>
          <w:szCs w:val="21"/>
        </w:rPr>
      </w:pPr>
      <w:r>
        <w:rPr>
          <w:rFonts w:ascii="宋体" w:hAnsi="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hAnsi="宋体"/>
          <w:szCs w:val="21"/>
        </w:rPr>
      </w:pPr>
      <w:r>
        <w:rPr>
          <w:rFonts w:ascii="宋体" w:hAnsi="宋体" w:hint="eastAsia"/>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szCs w:val="21"/>
        </w:rPr>
      </w:pPr>
      <w:r>
        <w:rPr>
          <w:rFonts w:ascii="宋体" w:hAnsi="宋体" w:hint="eastAsia"/>
          <w:szCs w:val="21"/>
        </w:rPr>
        <w:t>52.5提交方式</w:t>
      </w:r>
    </w:p>
    <w:p>
      <w:pPr>
        <w:ind w:firstLine="420"/>
        <w:rPr>
          <w:rFonts w:ascii="宋体" w:hAnsi="宋体"/>
          <w:szCs w:val="21"/>
        </w:rPr>
      </w:pPr>
      <w:r>
        <w:rPr>
          <w:rFonts w:ascii="宋体" w:hAnsi="宋体" w:hint="eastAsia"/>
          <w:szCs w:val="21"/>
        </w:rPr>
        <w:t>5</w:t>
      </w:r>
      <w:r>
        <w:rPr>
          <w:rFonts w:ascii="宋体" w:hAnsi="宋体"/>
          <w:szCs w:val="21"/>
        </w:rPr>
        <w:t>2.5.1</w:t>
      </w:r>
      <w:r>
        <w:rPr>
          <w:rFonts w:ascii="宋体" w:hAnsi="宋体" w:hint="eastAsia"/>
          <w:szCs w:val="21"/>
        </w:rPr>
        <w:t>供应商登录“深圳政府采购智慧平台用户网上办事子系统（http://zfcg.szggzy.com/TPBidder/memberLogin）”，在“【我的项目】→【项目流程】→【质疑】”中提出质疑。</w:t>
      </w:r>
    </w:p>
    <w:p>
      <w:pPr>
        <w:ind w:firstLine="480" w:firstLineChars="200"/>
        <w:rPr>
          <w:rFonts w:ascii="宋体" w:hAnsi="宋体"/>
          <w:b/>
          <w:bCs/>
          <w:szCs w:val="21"/>
        </w:rPr>
      </w:pPr>
      <w:r>
        <w:rPr>
          <w:rFonts w:ascii="宋体" w:hAnsi="宋体" w:hint="eastAsia"/>
          <w:szCs w:val="21"/>
        </w:rPr>
        <w:t>5</w:t>
      </w:r>
      <w:r>
        <w:rPr>
          <w:rFonts w:ascii="宋体" w:hAnsi="宋体"/>
          <w:szCs w:val="21"/>
        </w:rPr>
        <w:t>2.5.2</w:t>
      </w:r>
      <w:r>
        <w:rPr>
          <w:rFonts w:ascii="宋体" w:hAnsi="宋体" w:hint="eastAsia"/>
          <w:szCs w:val="21"/>
        </w:rPr>
        <w:t>请质疑供应商根据深圳政府采购智慧平台（http://zfcg.szggzy.com/）所发布的质疑指引、质疑函模板填写质疑函并提交质疑材料。</w:t>
      </w:r>
      <w:r>
        <w:rPr>
          <w:rFonts w:ascii="宋体" w:hAnsi="宋体" w:hint="eastAsia"/>
          <w:b/>
          <w:bCs/>
          <w:szCs w:val="21"/>
        </w:rPr>
        <w:t>地址：友和保险经纪有限公司（深圳市福田区福强路3030号福田体育公园西北角友和招标代理服务中心（靠近北门），质疑咨询电话：0755-83881283。</w:t>
      </w:r>
    </w:p>
    <w:p>
      <w:pPr>
        <w:ind w:firstLine="480" w:firstLineChars="200"/>
        <w:rPr>
          <w:rFonts w:ascii="宋体" w:hAnsi="宋体"/>
          <w:szCs w:val="21"/>
        </w:rPr>
      </w:pPr>
      <w:r>
        <w:rPr>
          <w:rFonts w:ascii="宋体" w:hAnsi="宋体" w:hint="eastAsia"/>
          <w:szCs w:val="21"/>
        </w:rPr>
        <w:t>52.6收文办理</w:t>
      </w:r>
      <w:r>
        <w:rPr>
          <w:rFonts w:ascii="宋体" w:hAnsi="宋体"/>
          <w:szCs w:val="21"/>
        </w:rPr>
        <w:t>程序</w:t>
      </w:r>
    </w:p>
    <w:p>
      <w:pPr>
        <w:ind w:firstLine="480" w:firstLineChars="200"/>
        <w:rPr>
          <w:rFonts w:ascii="宋体" w:hAnsi="宋体"/>
          <w:szCs w:val="21"/>
        </w:rPr>
      </w:pPr>
      <w:r>
        <w:rPr>
          <w:rFonts w:ascii="宋体" w:hAnsi="宋体" w:hint="eastAsia"/>
          <w:szCs w:val="21"/>
        </w:rPr>
        <w:t>52.6.1供应商提交的质疑符合受理条件的，</w:t>
      </w:r>
      <w:r>
        <w:rPr>
          <w:rFonts w:ascii="宋体" w:eastAsia="宋体" w:hAnsi="宋体" w:hint="eastAsia"/>
          <w:szCs w:val="21"/>
        </w:rPr>
        <w:t>招标机构</w:t>
      </w:r>
      <w:r>
        <w:rPr>
          <w:rFonts w:ascii="宋体" w:hAnsi="宋体" w:hint="eastAsia"/>
          <w:szCs w:val="21"/>
        </w:rPr>
        <w:t>自收到质疑材料之日起即为受理，应当向供应商出具质疑函收文回执并可以要求其递交质疑的法定代表人（负责人）或者授权代理人签署质疑文书送达地址确认书。</w:t>
      </w:r>
    </w:p>
    <w:p>
      <w:pPr>
        <w:ind w:firstLine="480" w:firstLineChars="200"/>
        <w:rPr>
          <w:rFonts w:ascii="仿宋" w:eastAsia="仿宋" w:hAnsi="仿宋"/>
          <w:sz w:val="28"/>
          <w:szCs w:val="28"/>
        </w:rPr>
      </w:pPr>
      <w:r>
        <w:rPr>
          <w:rFonts w:ascii="宋体" w:hAnsi="宋体" w:hint="eastAsia"/>
          <w:szCs w:val="21"/>
        </w:rPr>
        <w:t>52.6.2供应商提交的质疑材料不符合质疑条件的，视情况处理：</w:t>
      </w:r>
    </w:p>
    <w:p>
      <w:pPr>
        <w:ind w:firstLine="480" w:firstLineChars="200"/>
        <w:rPr>
          <w:rFonts w:ascii="宋体" w:hAnsi="宋体"/>
          <w:szCs w:val="21"/>
        </w:rPr>
      </w:pPr>
      <w:r>
        <w:rPr>
          <w:rFonts w:ascii="宋体" w:hAnsi="宋体" w:hint="eastAsia"/>
          <w:szCs w:val="21"/>
        </w:rPr>
        <w:t>供应商提交的质疑材料不全或者未按要求签字或者盖章的，</w:t>
      </w:r>
      <w:r>
        <w:rPr>
          <w:rFonts w:ascii="宋体" w:eastAsia="宋体" w:hAnsi="宋体" w:hint="eastAsia"/>
          <w:szCs w:val="21"/>
        </w:rPr>
        <w:t>招标机构</w:t>
      </w:r>
      <w:r>
        <w:rPr>
          <w:rFonts w:ascii="宋体" w:hAnsi="宋体" w:hint="eastAsia"/>
          <w:szCs w:val="21"/>
        </w:rPr>
        <w:t>应当一次性告知供应商需补正的内容和补正期限。</w:t>
      </w:r>
    </w:p>
    <w:p>
      <w:pPr>
        <w:ind w:firstLine="480" w:firstLineChars="200"/>
        <w:rPr>
          <w:rFonts w:ascii="宋体" w:hAnsi="宋体"/>
          <w:szCs w:val="21"/>
        </w:rPr>
      </w:pPr>
      <w:r>
        <w:rPr>
          <w:rFonts w:ascii="宋体" w:hAnsi="宋体" w:hint="eastAsia"/>
          <w:szCs w:val="21"/>
        </w:rPr>
        <w:t>供应商提交的质疑存在下列情形之一的，不予受理：</w:t>
      </w:r>
    </w:p>
    <w:p>
      <w:pPr>
        <w:ind w:firstLine="480" w:firstLineChars="200"/>
        <w:rPr>
          <w:rFonts w:ascii="宋体" w:hAnsi="宋体"/>
          <w:szCs w:val="21"/>
        </w:rPr>
      </w:pPr>
      <w:r>
        <w:rPr>
          <w:rFonts w:ascii="宋体" w:hAnsi="宋体" w:hint="eastAsia"/>
          <w:szCs w:val="21"/>
        </w:rPr>
        <w:t>（1）质疑主体不满足要求的；</w:t>
      </w:r>
    </w:p>
    <w:p>
      <w:pPr>
        <w:ind w:firstLine="480" w:firstLineChars="200"/>
        <w:rPr>
          <w:rFonts w:ascii="宋体" w:hAnsi="宋体"/>
          <w:szCs w:val="21"/>
        </w:rPr>
      </w:pPr>
      <w:r>
        <w:rPr>
          <w:rFonts w:ascii="宋体" w:hAnsi="宋体" w:hint="eastAsia"/>
          <w:szCs w:val="21"/>
        </w:rPr>
        <w:t>（2）供应商自身权益未受到损害的；</w:t>
      </w:r>
    </w:p>
    <w:p>
      <w:pPr>
        <w:ind w:firstLine="480" w:firstLineChars="200"/>
        <w:rPr>
          <w:rFonts w:ascii="宋体" w:hAnsi="宋体"/>
          <w:szCs w:val="21"/>
        </w:rPr>
      </w:pPr>
      <w:r>
        <w:rPr>
          <w:rFonts w:ascii="宋体" w:hAnsi="宋体" w:hint="eastAsia"/>
          <w:szCs w:val="21"/>
        </w:rPr>
        <w:t>（3）供应商未在法定质疑期限内提出质疑的；</w:t>
      </w:r>
    </w:p>
    <w:p>
      <w:pPr>
        <w:ind w:firstLine="480" w:firstLineChars="200"/>
        <w:rPr>
          <w:rFonts w:ascii="宋体" w:hAnsi="宋体"/>
          <w:szCs w:val="21"/>
        </w:rPr>
      </w:pPr>
      <w:r>
        <w:rPr>
          <w:rFonts w:ascii="宋体" w:hAnsi="宋体" w:hint="eastAsia"/>
          <w:szCs w:val="21"/>
        </w:rPr>
        <w:t>（4）质疑材料不全或者未按要求签字或者盖章的情况下，要求补正后，逾期未补正或者补正后仍不符合规定的；</w:t>
      </w:r>
    </w:p>
    <w:p>
      <w:pPr>
        <w:ind w:firstLine="480" w:firstLineChars="200"/>
        <w:rPr>
          <w:rFonts w:ascii="宋体" w:hAnsi="宋体"/>
          <w:szCs w:val="21"/>
        </w:rPr>
      </w:pPr>
      <w:r>
        <w:rPr>
          <w:rFonts w:ascii="宋体" w:hAnsi="宋体" w:hint="eastAsia"/>
          <w:szCs w:val="21"/>
        </w:rPr>
        <w:t>（5）其他不符合受理条件情形的。</w:t>
      </w:r>
    </w:p>
    <w:p>
      <w:pPr>
        <w:ind w:firstLine="480" w:firstLineChars="200"/>
        <w:rPr>
          <w:rFonts w:ascii="宋体" w:hAnsi="宋体"/>
          <w:szCs w:val="21"/>
        </w:rPr>
      </w:pPr>
      <w:r>
        <w:rPr>
          <w:rFonts w:ascii="宋体" w:hAnsi="宋体" w:hint="eastAsia"/>
          <w:szCs w:val="21"/>
        </w:rPr>
        <w:t>质疑事项不予受理的，</w:t>
      </w:r>
      <w:r>
        <w:rPr>
          <w:rFonts w:ascii="宋体" w:eastAsia="宋体" w:hAnsi="宋体" w:hint="eastAsia"/>
          <w:szCs w:val="21"/>
        </w:rPr>
        <w:t>招标机构</w:t>
      </w:r>
      <w:r>
        <w:rPr>
          <w:rFonts w:ascii="宋体" w:hAnsi="宋体" w:hint="eastAsia"/>
          <w:szCs w:val="21"/>
        </w:rPr>
        <w:t>应当向供应商出具不符合质疑条件告知书。</w:t>
      </w:r>
    </w:p>
    <w:p>
      <w:pPr>
        <w:rPr>
          <w:rFonts w:ascii="宋体" w:hAnsi="宋体"/>
          <w:szCs w:val="21"/>
        </w:rPr>
      </w:pPr>
      <w:r>
        <w:rPr>
          <w:rFonts w:ascii="宋体" w:hAnsi="宋体" w:hint="eastAsia"/>
          <w:szCs w:val="21"/>
        </w:rPr>
        <w:t xml:space="preserve">  52.7质疑答复时限</w:t>
      </w:r>
    </w:p>
    <w:p>
      <w:pPr>
        <w:rPr>
          <w:rFonts w:ascii="宋体" w:hAnsi="宋体"/>
          <w:szCs w:val="21"/>
        </w:rPr>
      </w:pPr>
      <w:r>
        <w:rPr>
          <w:rFonts w:ascii="宋体" w:hAnsi="宋体" w:hint="eastAsia"/>
          <w:szCs w:val="21"/>
        </w:rPr>
        <w:t xml:space="preserve">    自收文之日起七个工作日内。</w:t>
      </w:r>
    </w:p>
    <w:p>
      <w:pPr>
        <w:rPr>
          <w:rFonts w:ascii="宋体" w:hAnsi="宋体"/>
          <w:szCs w:val="21"/>
        </w:rPr>
      </w:pPr>
      <w:r>
        <w:rPr>
          <w:rFonts w:ascii="宋体" w:hAnsi="宋体" w:hint="eastAsia"/>
          <w:szCs w:val="21"/>
        </w:rPr>
        <w:t xml:space="preserve">    52.8投诉</w:t>
      </w:r>
    </w:p>
    <w:p>
      <w:pPr>
        <w:rPr>
          <w:rFonts w:ascii="宋体" w:hAnsi="宋体"/>
          <w:szCs w:val="21"/>
        </w:rPr>
      </w:pPr>
      <w:r>
        <w:rPr>
          <w:rFonts w:ascii="宋体" w:hAnsi="宋体" w:hint="eastAsia"/>
          <w:szCs w:val="21"/>
        </w:rPr>
        <w:t xml:space="preserve">    对质疑答复不满意或者未在规定时间内答复的，提出质疑的供应商可以在答复期满后15个工作日内向同级财政部门投诉。</w:t>
      </w:r>
    </w:p>
    <w:p>
      <w:pPr>
        <w:rPr>
          <w:rFonts w:ascii="黑体" w:eastAsia="黑体" w:hAnsi="宋体"/>
        </w:rPr>
      </w:pPr>
      <w:r>
        <w:rPr>
          <w:rFonts w:ascii="黑体" w:eastAsia="黑体" w:hAnsi="宋体" w:hint="eastAsia"/>
        </w:rPr>
        <w:t>53. 质疑后续处理</w:t>
      </w:r>
    </w:p>
    <w:p>
      <w:pPr>
        <w:rPr>
          <w:rFonts w:ascii="宋体" w:hAnsi="宋体"/>
          <w:szCs w:val="21"/>
        </w:rPr>
      </w:pPr>
      <w:r>
        <w:rPr>
          <w:rFonts w:ascii="宋体" w:hAnsi="宋体" w:hint="eastAsia"/>
          <w:szCs w:val="21"/>
        </w:rPr>
        <w:t xml:space="preserve">    53.1供应商质疑不成立，或者成立但未对中标、成交结果构成影响的，继续开展采购活动。</w:t>
      </w:r>
    </w:p>
    <w:p>
      <w:pPr>
        <w:rPr>
          <w:rFonts w:ascii="宋体" w:hAnsi="宋体"/>
          <w:szCs w:val="21"/>
        </w:rPr>
      </w:pPr>
      <w:r>
        <w:rPr>
          <w:rFonts w:ascii="宋体" w:hAnsi="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pPr>
      <w:r>
        <w:t>---- END ----</w:t>
      </w:r>
      <w:bookmarkEnd w:id="146"/>
    </w:p>
    <w:p/>
    <w:p/>
    <w:p/>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 w:name="ModIcon">
    <w:altName w:val="Segoe Print"/>
    <w:panose1 w:val="00000000000000000000"/>
    <w:charset w:val="00"/>
    <w:family w:val="auto"/>
    <w:pitch w:val="default"/>
    <w:sig w:usb0="00000000" w:usb1="00000000" w:usb2="00000000" w:usb3="00000000" w:csb0="00000000" w:csb1="00000000"/>
  </w:font>
  <w:font w:name="ActionIcon">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4A4EDDAC"/>
    <w:lvl w:ilvl="0">
      <w:start w:val="2"/>
      <w:numFmt w:val="chineseCounting"/>
      <w:suff w:val="nothing"/>
      <w:lvlText w:val="%1、"/>
      <w:lvlJc w:val="left"/>
      <w:rPr>
        <w:rFonts w:hint="eastAsia"/>
      </w:rPr>
    </w:lvl>
  </w:abstractNum>
  <w:abstractNum w:abstractNumId="1">
    <w:nsid w:val="00000002"/>
    <w:multiLevelType w:val="singleLevel"/>
    <w:tmpl w:val="66078E48"/>
    <w:lvl w:ilvl="0">
      <w:start w:val="1"/>
      <w:numFmt w:val="decimal"/>
      <w:suff w:val="nothing"/>
      <w:lvlText w:val="%1、"/>
      <w:lvlJc w:val="left"/>
    </w:lvl>
  </w:abstractNum>
  <w:abstractNum w:abstractNumId="2">
    <w:nsid w:val="00000003"/>
    <w:multiLevelType w:val="singleLevel"/>
    <w:tmpl w:val="00000002"/>
    <w:lvl w:ilvl="0">
      <w:start w:val="3"/>
      <w:numFmt w:val="chineseCounting"/>
      <w:suff w:val="space"/>
      <w:lvlText w:val="第%1条"/>
      <w:lvlJc w:val="left"/>
      <w:rPr>
        <w:rFonts w:hint="eastAsia"/>
      </w:rPr>
    </w:lvl>
  </w:abstractNum>
  <w:abstractNum w:abstractNumId="3">
    <w:nsid w:val="00000004"/>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
    <w:qFormat/>
    <w:pPr>
      <w:adjustRightInd w:val="0"/>
      <w:jc w:val="center"/>
      <w:textAlignment w:val="baseline"/>
      <w:outlineLvl w:val="1"/>
    </w:pPr>
    <w:rPr>
      <w:szCs w:val="20"/>
    </w:rPr>
  </w:style>
  <w:style w:type="paragraph" w:styleId="Heading3">
    <w:name w:val="heading 3"/>
    <w:basedOn w:val="Heading4"/>
    <w:next w:val="Normal"/>
    <w:link w:val="3"/>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qFormat/>
    <w:pPr>
      <w:spacing w:beforeAutospacing="1" w:afterAutospacing="1"/>
    </w:pPr>
  </w:style>
  <w:style w:type="paragraph" w:customStyle="1" w:styleId="Default">
    <w:name w:val="Default"/>
    <w:qFormat/>
    <w:pPr>
      <w:widowControl w:val="0"/>
      <w:autoSpaceDE w:val="0"/>
      <w:autoSpaceDN w:val="0"/>
      <w:adjustRightInd w:val="0"/>
    </w:pPr>
    <w:rPr>
      <w:rFonts w:ascii="黑体" w:eastAsia="黑体" w:hAnsi="Times New Roman" w:cs="Times New Roman"/>
      <w:lang w:val="en-US" w:eastAsia="zh-CN" w:bidi="ar-SA"/>
    </w:rPr>
  </w:style>
  <w:style w:type="paragraph" w:styleId="NormalIndent">
    <w:name w:val="Normal Indent"/>
    <w:basedOn w:val="Normal"/>
    <w:next w:val="Normal"/>
    <w:link w:val="a"/>
    <w:qFormat/>
    <w:pPr>
      <w:ind w:firstLine="420"/>
    </w:pPr>
    <w:rPr>
      <w:szCs w:val="20"/>
    </w:rPr>
  </w:style>
  <w:style w:type="character" w:customStyle="1" w:styleId="a">
    <w:name w:val="正文缩进 字符"/>
    <w:link w:val="NormalIndent"/>
    <w:qFormat/>
    <w:rPr>
      <w:rFonts w:eastAsia="宋体"/>
      <w:kern w:val="2"/>
      <w:sz w:val="21"/>
      <w:lang w:val="en-US" w:eastAsia="zh-CN" w:bidi="ar-SA"/>
    </w:rPr>
  </w:style>
  <w:style w:type="paragraph" w:customStyle="1" w:styleId="a0">
    <w:name w:val="正文正"/>
    <w:basedOn w:val="Normal"/>
    <w:qFormat/>
    <w:pPr>
      <w:spacing w:line="560" w:lineRule="exact"/>
      <w:ind w:firstLine="561"/>
    </w:pPr>
    <w:rPr>
      <w:rFonts w:ascii="Calibri" w:hAnsi="Calibri"/>
      <w:sz w:val="28"/>
      <w:szCs w:val="24"/>
    </w:rPr>
  </w:style>
  <w:style w:type="character" w:customStyle="1" w:styleId="4">
    <w:name w:val="标题 4 字符"/>
    <w:link w:val="Heading4"/>
    <w:uiPriority w:val="9"/>
    <w:qFormat/>
    <w:rPr>
      <w:rFonts w:ascii="Arial" w:eastAsia="黑体" w:hAnsi="Arial"/>
      <w:b/>
      <w:bCs/>
      <w:kern w:val="2"/>
      <w:sz w:val="28"/>
      <w:szCs w:val="28"/>
      <w:lang w:val="en-US" w:eastAsia="zh-CN" w:bidi="ar-SA"/>
    </w:rPr>
  </w:style>
  <w:style w:type="character" w:customStyle="1" w:styleId="3">
    <w:name w:val="标题 3 字符"/>
    <w:link w:val="Heading3"/>
    <w:uiPriority w:val="9"/>
    <w:qFormat/>
    <w:rPr>
      <w:rFonts w:ascii="宋体" w:eastAsia="宋体" w:hAnsi="宋体"/>
      <w:b/>
      <w:bCs/>
      <w:kern w:val="2"/>
      <w:sz w:val="28"/>
      <w:szCs w:val="32"/>
      <w:lang w:val="en-US" w:eastAsia="zh-CN" w:bidi="ar-SA"/>
    </w:rPr>
  </w:style>
  <w:style w:type="character" w:customStyle="1" w:styleId="1">
    <w:name w:val="标题 1 字符"/>
    <w:link w:val="Heading1"/>
    <w:qFormat/>
    <w:rPr>
      <w:rFonts w:ascii="宋体" w:eastAsia="黑体" w:hAnsi="宋体"/>
      <w:b/>
      <w:bCs/>
      <w:kern w:val="44"/>
      <w:sz w:val="28"/>
      <w:szCs w:val="44"/>
      <w:lang w:val="en-US" w:eastAsia="zh-CN" w:bidi="ar-SA"/>
    </w:rPr>
  </w:style>
  <w:style w:type="character" w:customStyle="1" w:styleId="2">
    <w:name w:val="标题 2 字符"/>
    <w:link w:val="Heading2"/>
    <w:qFormat/>
    <w:rPr>
      <w:rFonts w:ascii="宋体" w:eastAsia="宋体" w:hAnsi="宋体"/>
      <w:b/>
      <w:bCs/>
      <w:sz w:val="24"/>
      <w:lang w:val="en-US" w:eastAsia="zh-CN" w:bidi="ar-SA"/>
    </w:rPr>
  </w:style>
  <w:style w:type="character" w:styleId="Hyperlink">
    <w:name w:val="Hyperlink"/>
    <w:uiPriority w:val="99"/>
    <w:qFormat/>
    <w:rPr>
      <w:color w:val="0000FF"/>
      <w:u w:val="single"/>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a1"/>
    <w:qFormat/>
  </w:style>
  <w:style w:type="character" w:customStyle="1" w:styleId="a1">
    <w:name w:val="批注文字 字符"/>
    <w:basedOn w:val="DefaultParagraphFont"/>
    <w:link w:val="CommentText"/>
    <w:qFormat/>
    <w:rPr>
      <w:rFonts w:eastAsia="Times New Roman"/>
      <w:sz w:val="24"/>
      <w:szCs w:val="24"/>
    </w:rPr>
  </w:style>
  <w:style w:type="character" w:styleId="CommentReference">
    <w:name w:val="annotation reference"/>
    <w:basedOn w:val="DefaultParagraphFont"/>
    <w:uiPriority w:val="99"/>
    <w:qFormat/>
    <w:rPr>
      <w:sz w:val="21"/>
      <w:szCs w:val="21"/>
    </w:rPr>
  </w:style>
  <w:style w:type="paragraph" w:styleId="ListParagraph">
    <w:name w:val="List Paragraph"/>
    <w:basedOn w:val="Normal"/>
    <w:qFormat/>
    <w:pPr>
      <w:ind w:firstLine="420" w:firstLineChars="200"/>
    </w:pPr>
    <w:rPr>
      <w:rFonts w:ascii="Calibri" w:hAnsi="Calibri"/>
      <w:szCs w:val="22"/>
    </w:rPr>
  </w:style>
  <w:style w:type="paragraph" w:customStyle="1" w:styleId="a2">
    <w:name w:val="表格文字"/>
    <w:basedOn w:val="Normal"/>
    <w:qFormat/>
    <w:pPr>
      <w:spacing w:before="25" w:after="25"/>
    </w:pPr>
    <w:rPr>
      <w:bCs/>
      <w:spacing w:val="10"/>
    </w:rPr>
  </w:style>
  <w:style w:type="character" w:customStyle="1" w:styleId="3Char">
    <w:name w:val="标题 3 Char"/>
    <w:qFormat/>
    <w:rPr>
      <w:rFonts w:ascii="黑体" w:eastAsia="黑体"/>
      <w:bCs/>
      <w:sz w:val="3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59</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