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spacing w:before="0" w:after="0"/>
        <w:jc w:val="left"/>
        <w:rPr>
          <w:rFonts w:hint="eastAsia"/>
        </w:rPr>
      </w:pPr>
      <w:bookmarkStart w:id="0" w:name="_Toc135293325"/>
      <w:r>
        <w:rPr>
          <w:rFonts w:hint="eastAsia"/>
        </w:rPr>
        <w:t>评标标准</w:t>
      </w:r>
      <w:bookmarkEnd w:id="0"/>
      <w:bookmarkStart w:id="3" w:name="_GoBack"/>
      <w:bookmarkEnd w:id="3"/>
    </w:p>
    <w:p>
      <w:pPr>
        <w:pStyle w:val="2"/>
        <w:numPr>
          <w:ilvl w:val="0"/>
          <w:numId w:val="0"/>
        </w:numPr>
        <w:spacing w:before="0" w:after="0"/>
        <w:jc w:val="left"/>
        <w:rPr>
          <w:rFonts w:asciiTheme="minorEastAsia" w:hAnsiTheme="minorEastAsia" w:eastAsiaTheme="minorEastAsia"/>
          <w:b/>
          <w:bCs/>
          <w:sz w:val="24"/>
          <w:szCs w:val="28"/>
        </w:rPr>
      </w:pPr>
      <w:r>
        <w:rPr>
          <w:rFonts w:hint="eastAsia"/>
          <w:snapToGrid w:val="0"/>
          <w:kern w:val="0"/>
          <w:sz w:val="24"/>
          <w:szCs w:val="28"/>
        </w:rPr>
        <w:t>评标委员会按照以下量化的评审因素，对各投标文件进行分析和比较：</w:t>
      </w:r>
    </w:p>
    <w:tbl>
      <w:tblPr>
        <w:tblStyle w:val="6"/>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58"/>
        <w:gridCol w:w="999"/>
        <w:gridCol w:w="675"/>
        <w:gridCol w:w="5152"/>
        <w:gridCol w:w="10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4391" w:type="pct"/>
            <w:gridSpan w:val="4"/>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仿宋"/>
                <w:b/>
                <w:szCs w:val="21"/>
                <w:lang w:val="zh-CN"/>
              </w:rPr>
            </w:pPr>
            <w:r>
              <w:rPr>
                <w:rFonts w:hint="eastAsia" w:ascii="宋体" w:hAnsi="宋体" w:cs="仿宋"/>
                <w:b/>
                <w:szCs w:val="21"/>
                <w:lang w:val="zh-CN"/>
              </w:rPr>
              <w:t>评分项及评分规则</w:t>
            </w:r>
          </w:p>
        </w:tc>
        <w:tc>
          <w:tcPr>
            <w:tcW w:w="608" w:type="pct"/>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仿宋"/>
                <w:b/>
                <w:szCs w:val="21"/>
                <w:lang w:val="zh-CN"/>
              </w:rPr>
            </w:pPr>
            <w:r>
              <w:rPr>
                <w:rFonts w:hint="eastAsia" w:ascii="宋体" w:hAnsi="宋体" w:cs="仿宋"/>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4391" w:type="pct"/>
            <w:gridSpan w:val="4"/>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仿宋"/>
                <w:b/>
                <w:szCs w:val="21"/>
                <w:lang w:val="zh-CN"/>
              </w:rPr>
            </w:pPr>
            <w:r>
              <w:rPr>
                <w:rFonts w:hint="eastAsia" w:ascii="宋体" w:hAnsi="宋体" w:cs="仿宋"/>
                <w:b/>
                <w:szCs w:val="21"/>
                <w:lang w:val="zh-CN"/>
              </w:rPr>
              <w:t>一、价格部分</w:t>
            </w:r>
          </w:p>
        </w:tc>
        <w:tc>
          <w:tcPr>
            <w:tcW w:w="608" w:type="pct"/>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仿宋"/>
                <w:b/>
                <w:szCs w:val="21"/>
              </w:rPr>
            </w:pPr>
            <w:r>
              <w:rPr>
                <w:rFonts w:hint="eastAsia" w:ascii="宋体" w:hAnsi="宋体" w:cs="仿宋"/>
                <w:b/>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4391" w:type="pct"/>
            <w:gridSpan w:val="4"/>
            <w:vAlign w:val="center"/>
          </w:tcPr>
          <w:p>
            <w:pPr>
              <w:keepNext w:val="0"/>
              <w:keepLines w:val="0"/>
              <w:pageBreakBefore w:val="0"/>
              <w:widowControl/>
              <w:kinsoku/>
              <w:wordWrap/>
              <w:overflowPunct/>
              <w:topLinePunct w:val="0"/>
              <w:bidi w:val="0"/>
              <w:spacing w:line="360" w:lineRule="auto"/>
              <w:jc w:val="left"/>
              <w:textAlignment w:val="auto"/>
              <w:rPr>
                <w:rFonts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pPr>
              <w:keepNext w:val="0"/>
              <w:keepLines w:val="0"/>
              <w:pageBreakBefore w:val="0"/>
              <w:widowControl/>
              <w:kinsoku/>
              <w:wordWrap/>
              <w:overflowPunct/>
              <w:topLinePunct w:val="0"/>
              <w:bidi w:val="0"/>
              <w:spacing w:line="360" w:lineRule="auto"/>
              <w:jc w:val="left"/>
              <w:textAlignment w:val="auto"/>
              <w:rPr>
                <w:rFonts w:ascii="宋体" w:hAnsi="宋体" w:cs="仿宋"/>
                <w:szCs w:val="21"/>
              </w:rPr>
            </w:pPr>
            <w:r>
              <w:rPr>
                <w:rFonts w:hint="eastAsia" w:ascii="宋体" w:hAnsi="宋体" w:cs="仿宋"/>
                <w:szCs w:val="21"/>
              </w:rPr>
              <w:t>投标报价得分=(评标基准价／投标报价)×权重</w:t>
            </w:r>
          </w:p>
          <w:p>
            <w:pPr>
              <w:keepNext w:val="0"/>
              <w:keepLines w:val="0"/>
              <w:pageBreakBefore w:val="0"/>
              <w:kinsoku/>
              <w:wordWrap/>
              <w:overflowPunct/>
              <w:topLinePunct w:val="0"/>
              <w:bidi w:val="0"/>
              <w:adjustRightInd w:val="0"/>
              <w:snapToGrid w:val="0"/>
              <w:spacing w:line="360" w:lineRule="auto"/>
              <w:textAlignment w:val="auto"/>
              <w:rPr>
                <w:rFonts w:ascii="宋体" w:hAnsi="宋体"/>
                <w:snapToGrid w:val="0"/>
                <w:kern w:val="0"/>
                <w:szCs w:val="21"/>
              </w:rPr>
            </w:pPr>
            <w:r>
              <w:rPr>
                <w:rFonts w:hint="eastAsia" w:ascii="宋体" w:hAnsi="宋体"/>
                <w:snapToGrid w:val="0"/>
                <w:kern w:val="0"/>
                <w:szCs w:val="21"/>
              </w:rPr>
              <w:t>备注：</w:t>
            </w:r>
          </w:p>
          <w:p>
            <w:pPr>
              <w:keepNext w:val="0"/>
              <w:keepLines w:val="0"/>
              <w:pageBreakBefore w:val="0"/>
              <w:kinsoku/>
              <w:wordWrap/>
              <w:overflowPunct/>
              <w:topLinePunct w:val="0"/>
              <w:bidi w:val="0"/>
              <w:adjustRightInd w:val="0"/>
              <w:snapToGrid w:val="0"/>
              <w:spacing w:line="360" w:lineRule="auto"/>
              <w:textAlignment w:val="auto"/>
              <w:rPr>
                <w:rFonts w:ascii="宋体" w:hAnsi="宋体"/>
                <w:bCs/>
                <w:snapToGrid w:val="0"/>
                <w:kern w:val="0"/>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rPr>
              <w:t>；</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bCs/>
                <w:snapToGrid w:val="0"/>
                <w:kern w:val="0"/>
              </w:rPr>
            </w:pPr>
            <w:r>
              <w:rPr>
                <w:rFonts w:hint="eastAsia" w:ascii="宋体" w:hAnsi="宋体"/>
                <w:snapToGrid w:val="0"/>
                <w:szCs w:val="21"/>
              </w:rPr>
              <w:t>2、投标报价得分四舍五入后，小数点后保留两位有效数</w:t>
            </w:r>
            <w:r>
              <w:rPr>
                <w:rFonts w:hint="eastAsia" w:cs="仿宋" w:asciiTheme="minorEastAsia" w:hAnsiTheme="minorEastAsia" w:eastAsiaTheme="minorEastAsia"/>
                <w:szCs w:val="21"/>
              </w:rPr>
              <w:t>。</w:t>
            </w:r>
          </w:p>
        </w:tc>
        <w:tc>
          <w:tcPr>
            <w:tcW w:w="608" w:type="pct"/>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仿宋"/>
                <w:szCs w:val="21"/>
              </w:rPr>
            </w:pPr>
            <w:r>
              <w:rPr>
                <w:rFonts w:hint="eastAsia" w:ascii="宋体" w:hAnsi="宋体" w:cs="仿宋"/>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4391" w:type="pct"/>
            <w:gridSpan w:val="4"/>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仿宋"/>
                <w:b/>
                <w:szCs w:val="21"/>
              </w:rPr>
            </w:pPr>
            <w:r>
              <w:rPr>
                <w:rFonts w:hint="eastAsia" w:ascii="宋体" w:hAnsi="宋体" w:cs="仿宋"/>
                <w:b/>
                <w:szCs w:val="21"/>
              </w:rPr>
              <w:t>二、技术部分</w:t>
            </w:r>
          </w:p>
        </w:tc>
        <w:tc>
          <w:tcPr>
            <w:tcW w:w="608" w:type="pct"/>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default" w:ascii="宋体" w:hAnsi="宋体" w:eastAsia="宋体" w:cs="仿宋"/>
                <w:b/>
                <w:szCs w:val="21"/>
                <w:lang w:val="en-US" w:eastAsia="zh-CN"/>
              </w:rPr>
            </w:pPr>
            <w:r>
              <w:rPr>
                <w:rFonts w:hint="eastAsia" w:ascii="宋体" w:hAnsi="宋体" w:cs="仿宋"/>
                <w:b/>
                <w:szCs w:val="21"/>
                <w:lang w:val="en-US" w:eastAsia="zh-CN"/>
              </w:rPr>
              <w:t>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386" w:type="pct"/>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仿宋"/>
                <w:szCs w:val="21"/>
              </w:rPr>
            </w:pPr>
            <w:r>
              <w:rPr>
                <w:rFonts w:hint="eastAsia" w:ascii="宋体" w:hAnsi="宋体" w:cs="仿宋"/>
                <w:szCs w:val="21"/>
              </w:rPr>
              <w:t>序号</w:t>
            </w:r>
          </w:p>
        </w:tc>
        <w:tc>
          <w:tcPr>
            <w:tcW w:w="586" w:type="pct"/>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仿宋"/>
                <w:szCs w:val="21"/>
              </w:rPr>
            </w:pPr>
            <w:r>
              <w:rPr>
                <w:rFonts w:hint="eastAsia" w:ascii="宋体" w:hAnsi="宋体" w:cs="仿宋"/>
                <w:szCs w:val="21"/>
              </w:rPr>
              <w:t>内容</w:t>
            </w:r>
          </w:p>
        </w:tc>
        <w:tc>
          <w:tcPr>
            <w:tcW w:w="396" w:type="pct"/>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仿宋"/>
                <w:szCs w:val="21"/>
              </w:rPr>
            </w:pPr>
            <w:r>
              <w:rPr>
                <w:rFonts w:hint="eastAsia" w:ascii="宋体" w:hAnsi="宋体" w:cs="仿宋"/>
                <w:szCs w:val="21"/>
              </w:rPr>
              <w:t>权重</w:t>
            </w:r>
          </w:p>
        </w:tc>
        <w:tc>
          <w:tcPr>
            <w:tcW w:w="3022" w:type="pct"/>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仿宋"/>
                <w:szCs w:val="21"/>
              </w:rPr>
            </w:pPr>
            <w:r>
              <w:rPr>
                <w:rFonts w:hint="eastAsia" w:ascii="宋体" w:hAnsi="宋体" w:cs="仿宋"/>
                <w:szCs w:val="21"/>
              </w:rPr>
              <w:t>评分规则</w:t>
            </w:r>
          </w:p>
        </w:tc>
        <w:tc>
          <w:tcPr>
            <w:tcW w:w="608" w:type="pct"/>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仿宋"/>
                <w:szCs w:val="21"/>
              </w:rPr>
            </w:pPr>
            <w:r>
              <w:rPr>
                <w:rFonts w:hint="eastAsia" w:ascii="宋体" w:hAnsi="宋体" w:cs="仿宋"/>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386" w:type="pct"/>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仿宋"/>
                <w:szCs w:val="21"/>
              </w:rPr>
            </w:pPr>
            <w:r>
              <w:rPr>
                <w:rFonts w:hint="eastAsia" w:ascii="宋体" w:hAnsi="宋体" w:cs="仿宋"/>
                <w:szCs w:val="21"/>
              </w:rPr>
              <w:t>1</w:t>
            </w:r>
          </w:p>
        </w:tc>
        <w:tc>
          <w:tcPr>
            <w:tcW w:w="586" w:type="pct"/>
            <w:vAlign w:val="center"/>
          </w:tcPr>
          <w:p>
            <w:pPr>
              <w:keepNext w:val="0"/>
              <w:keepLines w:val="0"/>
              <w:pageBreakBefore w:val="0"/>
              <w:widowControl/>
              <w:kinsoku/>
              <w:wordWrap/>
              <w:overflowPunct/>
              <w:topLinePunct w:val="0"/>
              <w:bidi w:val="0"/>
              <w:spacing w:line="360" w:lineRule="auto"/>
              <w:jc w:val="center"/>
              <w:textAlignment w:val="auto"/>
              <w:rPr>
                <w:rFonts w:ascii="宋体" w:hAnsi="宋体" w:cs="仿宋"/>
                <w:kern w:val="0"/>
                <w:szCs w:val="21"/>
              </w:rPr>
            </w:pPr>
            <w:r>
              <w:rPr>
                <w:rFonts w:hint="eastAsia" w:ascii="宋体" w:hAnsi="宋体" w:cs="宋体"/>
                <w:kern w:val="0"/>
                <w:szCs w:val="21"/>
              </w:rPr>
              <w:t>技术规格偏离情况</w:t>
            </w:r>
          </w:p>
        </w:tc>
        <w:tc>
          <w:tcPr>
            <w:tcW w:w="396" w:type="pct"/>
            <w:vAlign w:val="center"/>
          </w:tcPr>
          <w:p>
            <w:pPr>
              <w:keepNext w:val="0"/>
              <w:keepLines w:val="0"/>
              <w:pageBreakBefore w:val="0"/>
              <w:widowControl/>
              <w:kinsoku/>
              <w:wordWrap/>
              <w:overflowPunct/>
              <w:topLinePunct w:val="0"/>
              <w:bidi w:val="0"/>
              <w:spacing w:line="360" w:lineRule="auto"/>
              <w:jc w:val="center"/>
              <w:textAlignment w:val="auto"/>
              <w:rPr>
                <w:rFonts w:hint="default" w:ascii="宋体" w:hAnsi="宋体" w:eastAsia="宋体" w:cs="仿宋"/>
                <w:kern w:val="0"/>
                <w:szCs w:val="21"/>
                <w:lang w:val="en-US" w:eastAsia="zh-CN"/>
              </w:rPr>
            </w:pPr>
            <w:r>
              <w:rPr>
                <w:rFonts w:hint="eastAsia" w:ascii="宋体" w:hAnsi="宋体" w:cs="仿宋"/>
                <w:kern w:val="0"/>
                <w:szCs w:val="21"/>
                <w:lang w:val="en-US" w:eastAsia="zh-CN"/>
              </w:rPr>
              <w:t>43</w:t>
            </w:r>
          </w:p>
        </w:tc>
        <w:tc>
          <w:tcPr>
            <w:tcW w:w="3022" w:type="pct"/>
            <w:vAlign w:val="center"/>
          </w:tcPr>
          <w:p>
            <w:pPr>
              <w:keepNext w:val="0"/>
              <w:keepLines w:val="0"/>
              <w:pageBreakBefore w:val="0"/>
              <w:kinsoku/>
              <w:wordWrap/>
              <w:overflowPunct/>
              <w:topLinePunct w:val="0"/>
              <w:bidi w:val="0"/>
              <w:adjustRightInd w:val="0"/>
              <w:snapToGrid w:val="0"/>
              <w:spacing w:line="360" w:lineRule="auto"/>
              <w:textAlignment w:val="auto"/>
              <w:rPr>
                <w:rFonts w:ascii="宋体" w:hAnsi="宋体" w:cs="宋体"/>
                <w:b/>
                <w:bCs/>
                <w:szCs w:val="21"/>
              </w:rPr>
            </w:pPr>
            <w:r>
              <w:rPr>
                <w:rFonts w:hint="eastAsia" w:ascii="宋体" w:hAnsi="宋体" w:cs="宋体"/>
                <w:b/>
                <w:bCs/>
                <w:szCs w:val="21"/>
              </w:rPr>
              <w:t>（一）评审内容：</w:t>
            </w:r>
          </w:p>
          <w:p>
            <w:pPr>
              <w:keepNext w:val="0"/>
              <w:keepLines w:val="0"/>
              <w:pageBreakBefore w:val="0"/>
              <w:kinsoku/>
              <w:wordWrap/>
              <w:overflowPunct/>
              <w:topLinePunct w:val="0"/>
              <w:bidi w:val="0"/>
              <w:spacing w:line="360" w:lineRule="auto"/>
              <w:textAlignment w:val="auto"/>
              <w:rPr>
                <w:rFonts w:ascii="宋体" w:hAnsi="宋体" w:cs="宋体"/>
                <w:szCs w:val="21"/>
              </w:rPr>
            </w:pPr>
            <w:r>
              <w:rPr>
                <w:rFonts w:hint="eastAsia" w:ascii="宋体" w:hAnsi="宋体" w:cs="宋体"/>
                <w:szCs w:val="21"/>
              </w:rPr>
              <w:t>投标人应如实填写</w:t>
            </w:r>
            <w:r>
              <w:rPr>
                <w:rFonts w:hint="eastAsia" w:ascii="宋体" w:hAnsi="宋体" w:cs="宋体"/>
                <w:kern w:val="0"/>
                <w:szCs w:val="21"/>
              </w:rPr>
              <w:t>《</w:t>
            </w:r>
            <w:r>
              <w:rPr>
                <w:rFonts w:hint="eastAsia" w:ascii="宋体" w:hAnsi="宋体" w:cs="宋体"/>
                <w:kern w:val="0"/>
                <w:szCs w:val="21"/>
                <w:lang w:val="en-US" w:eastAsia="zh-CN"/>
              </w:rPr>
              <w:t>技术规格偏离表</w:t>
            </w:r>
            <w:r>
              <w:rPr>
                <w:rFonts w:hint="eastAsia" w:ascii="宋体" w:hAnsi="宋体" w:cs="宋体"/>
                <w:kern w:val="0"/>
                <w:szCs w:val="21"/>
              </w:rPr>
              <w:t>》</w:t>
            </w:r>
            <w:r>
              <w:rPr>
                <w:rFonts w:hint="eastAsia" w:ascii="宋体" w:hAnsi="宋体" w:cs="宋体"/>
                <w:szCs w:val="21"/>
              </w:rPr>
              <w:t>，评审委员会根据技术要求参数响应情况进行打分</w:t>
            </w:r>
            <w:r>
              <w:rPr>
                <w:rFonts w:hint="eastAsia" w:ascii="宋体" w:hAnsi="宋体" w:cs="宋体"/>
                <w:szCs w:val="21"/>
                <w:lang w:eastAsia="zh-CN"/>
              </w:rPr>
              <w:t>：</w:t>
            </w:r>
          </w:p>
          <w:p>
            <w:pPr>
              <w:keepNext w:val="0"/>
              <w:keepLines w:val="0"/>
              <w:pageBreakBefore w:val="0"/>
              <w:kinsoku/>
              <w:wordWrap/>
              <w:overflowPunct/>
              <w:topLinePunct w:val="0"/>
              <w:bidi w:val="0"/>
              <w:spacing w:line="360" w:lineRule="auto"/>
              <w:textAlignment w:val="auto"/>
              <w:rPr>
                <w:rFonts w:ascii="宋体" w:hAnsi="宋体" w:cs="宋体"/>
                <w:szCs w:val="21"/>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标注</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的技术参数指标及要求全部满足的得35</w:t>
            </w:r>
            <w:r>
              <w:rPr>
                <w:rFonts w:hint="eastAsia" w:ascii="宋体" w:hAnsi="宋体" w:cs="宋体"/>
                <w:szCs w:val="21"/>
              </w:rPr>
              <w:t>分，每负偏离一项扣</w:t>
            </w:r>
            <w:r>
              <w:rPr>
                <w:rFonts w:hint="eastAsia" w:ascii="宋体" w:hAnsi="宋体" w:cs="宋体"/>
                <w:szCs w:val="21"/>
                <w:lang w:val="en-US" w:eastAsia="zh-CN"/>
              </w:rPr>
              <w:t>3.5</w:t>
            </w:r>
            <w:r>
              <w:rPr>
                <w:rFonts w:hint="eastAsia" w:ascii="宋体" w:hAnsi="宋体" w:cs="宋体"/>
                <w:szCs w:val="21"/>
              </w:rPr>
              <w:t>分，负偏离5项</w:t>
            </w:r>
            <w:r>
              <w:rPr>
                <w:rFonts w:hint="eastAsia" w:ascii="宋体" w:hAnsi="宋体" w:cs="宋体"/>
                <w:szCs w:val="21"/>
                <w:lang w:val="en-US" w:eastAsia="zh-CN"/>
              </w:rPr>
              <w:t>或5项以上</w:t>
            </w:r>
            <w:r>
              <w:rPr>
                <w:rFonts w:hint="eastAsia" w:ascii="宋体" w:hAnsi="宋体" w:cs="宋体"/>
                <w:szCs w:val="21"/>
              </w:rPr>
              <w:t>，</w:t>
            </w:r>
            <w:r>
              <w:rPr>
                <w:rFonts w:hint="eastAsia" w:ascii="宋体" w:hAnsi="宋体" w:cs="宋体"/>
                <w:szCs w:val="21"/>
                <w:lang w:val="en-US" w:eastAsia="zh-CN"/>
              </w:rPr>
              <w:t>本</w:t>
            </w:r>
            <w:r>
              <w:rPr>
                <w:rFonts w:hint="eastAsia" w:ascii="宋体" w:hAnsi="宋体" w:cs="宋体"/>
                <w:szCs w:val="21"/>
              </w:rPr>
              <w:t>小项</w:t>
            </w:r>
            <w:r>
              <w:rPr>
                <w:rFonts w:hint="eastAsia" w:ascii="宋体" w:hAnsi="宋体" w:cs="宋体"/>
                <w:szCs w:val="21"/>
                <w:lang w:val="en-US" w:eastAsia="zh-CN"/>
              </w:rPr>
              <w:t>为0分</w:t>
            </w:r>
            <w:r>
              <w:rPr>
                <w:rFonts w:hint="eastAsia" w:ascii="宋体" w:hAnsi="宋体" w:cs="宋体"/>
                <w:szCs w:val="21"/>
              </w:rPr>
              <w:t>；</w:t>
            </w:r>
          </w:p>
          <w:p>
            <w:pPr>
              <w:keepNext w:val="0"/>
              <w:keepLines w:val="0"/>
              <w:pageBreakBefore w:val="0"/>
              <w:kinsoku/>
              <w:wordWrap/>
              <w:overflowPunct/>
              <w:topLinePunct w:val="0"/>
              <w:bidi w:val="0"/>
              <w:spacing w:line="360" w:lineRule="auto"/>
              <w:textAlignment w:val="auto"/>
              <w:rPr>
                <w:rFonts w:hint="eastAsia" w:ascii="宋体" w:hAnsi="宋体" w:eastAsia="宋体" w:cs="仿宋"/>
                <w:szCs w:val="21"/>
                <w:lang w:eastAsia="zh-CN"/>
              </w:rPr>
            </w:pPr>
            <w:r>
              <w:rPr>
                <w:rFonts w:hint="eastAsia" w:ascii="宋体" w:hAnsi="宋体" w:cs="宋体"/>
                <w:szCs w:val="21"/>
              </w:rPr>
              <w:t>2.未标注▲、★的普通技术参数指标及要求全部满足的得</w:t>
            </w:r>
            <w:r>
              <w:rPr>
                <w:rFonts w:hint="eastAsia" w:ascii="宋体" w:hAnsi="宋体" w:cs="宋体"/>
                <w:szCs w:val="21"/>
                <w:lang w:val="en-US" w:eastAsia="zh-CN"/>
              </w:rPr>
              <w:t>8</w:t>
            </w:r>
            <w:r>
              <w:rPr>
                <w:rFonts w:hint="eastAsia" w:ascii="宋体" w:hAnsi="宋体" w:cs="宋体"/>
                <w:szCs w:val="21"/>
              </w:rPr>
              <w:t>分，每偏离一项扣</w:t>
            </w:r>
            <w:r>
              <w:rPr>
                <w:rFonts w:hint="eastAsia" w:ascii="宋体" w:hAnsi="宋体" w:cs="宋体"/>
                <w:szCs w:val="21"/>
                <w:lang w:val="en-US" w:eastAsia="zh-CN"/>
              </w:rPr>
              <w:t>1</w:t>
            </w:r>
            <w:r>
              <w:rPr>
                <w:rFonts w:hint="eastAsia" w:ascii="宋体" w:hAnsi="宋体" w:cs="宋体"/>
                <w:szCs w:val="21"/>
              </w:rPr>
              <w:t>分，负偏离</w:t>
            </w:r>
            <w:r>
              <w:rPr>
                <w:rFonts w:hint="eastAsia" w:ascii="宋体" w:hAnsi="宋体" w:cs="宋体"/>
                <w:szCs w:val="21"/>
                <w:lang w:val="en-US" w:eastAsia="zh-CN"/>
              </w:rPr>
              <w:t>9</w:t>
            </w:r>
            <w:r>
              <w:rPr>
                <w:rFonts w:hint="eastAsia" w:ascii="宋体" w:hAnsi="宋体" w:cs="宋体"/>
                <w:szCs w:val="21"/>
              </w:rPr>
              <w:t>项</w:t>
            </w:r>
            <w:r>
              <w:rPr>
                <w:rFonts w:hint="eastAsia" w:ascii="宋体" w:hAnsi="宋体" w:cs="宋体"/>
                <w:szCs w:val="21"/>
                <w:lang w:val="en-US" w:eastAsia="zh-CN"/>
              </w:rPr>
              <w:t>或9项以上</w:t>
            </w:r>
            <w:r>
              <w:rPr>
                <w:rFonts w:hint="eastAsia" w:ascii="宋体" w:hAnsi="宋体" w:cs="宋体"/>
                <w:szCs w:val="21"/>
              </w:rPr>
              <w:t>，</w:t>
            </w:r>
            <w:r>
              <w:rPr>
                <w:rFonts w:hint="eastAsia" w:ascii="宋体" w:hAnsi="宋体" w:cs="宋体"/>
                <w:szCs w:val="21"/>
                <w:lang w:val="en-US" w:eastAsia="zh-CN"/>
              </w:rPr>
              <w:t>本</w:t>
            </w:r>
            <w:r>
              <w:rPr>
                <w:rFonts w:hint="eastAsia" w:ascii="宋体" w:hAnsi="宋体" w:cs="宋体"/>
                <w:szCs w:val="21"/>
              </w:rPr>
              <w:t>小项</w:t>
            </w:r>
            <w:r>
              <w:rPr>
                <w:rFonts w:hint="eastAsia" w:ascii="宋体" w:hAnsi="宋体" w:cs="宋体"/>
                <w:szCs w:val="21"/>
                <w:lang w:val="en-US" w:eastAsia="zh-CN"/>
              </w:rPr>
              <w:t>为0分</w:t>
            </w:r>
            <w:r>
              <w:rPr>
                <w:rFonts w:hint="eastAsia" w:ascii="宋体" w:hAnsi="宋体" w:cs="宋体"/>
                <w:szCs w:val="21"/>
                <w:lang w:eastAsia="zh-CN"/>
              </w:rPr>
              <w:t>。</w:t>
            </w:r>
          </w:p>
          <w:p>
            <w:pPr>
              <w:keepNext w:val="0"/>
              <w:keepLines w:val="0"/>
              <w:pageBreakBefore w:val="0"/>
              <w:kinsoku/>
              <w:wordWrap/>
              <w:overflowPunct/>
              <w:topLinePunct w:val="0"/>
              <w:bidi w:val="0"/>
              <w:spacing w:line="360" w:lineRule="auto"/>
              <w:jc w:val="left"/>
              <w:textAlignment w:val="auto"/>
              <w:rPr>
                <w:rFonts w:ascii="宋体" w:hAnsi="宋体" w:cs="仿宋"/>
                <w:szCs w:val="21"/>
              </w:rPr>
            </w:pPr>
            <w:r>
              <w:rPr>
                <w:rFonts w:hint="eastAsia" w:ascii="宋体" w:hAnsi="宋体" w:cs="仿宋"/>
                <w:szCs w:val="21"/>
              </w:rPr>
              <w:t>（二）评分依据：</w:t>
            </w:r>
          </w:p>
          <w:p>
            <w:pPr>
              <w:keepNext w:val="0"/>
              <w:keepLines w:val="0"/>
              <w:pageBreakBefore w:val="0"/>
              <w:kinsoku/>
              <w:wordWrap/>
              <w:overflowPunct/>
              <w:topLinePunct w:val="0"/>
              <w:bidi w:val="0"/>
              <w:spacing w:line="360" w:lineRule="auto"/>
              <w:jc w:val="left"/>
              <w:textAlignment w:val="auto"/>
              <w:rPr>
                <w:rFonts w:ascii="宋体" w:hAnsi="宋体" w:cs="仿宋"/>
                <w:szCs w:val="21"/>
              </w:rPr>
            </w:pPr>
            <w:r>
              <w:rPr>
                <w:rFonts w:hint="eastAsia" w:ascii="宋体" w:hAnsi="宋体" w:cs="仿宋"/>
                <w:szCs w:val="21"/>
              </w:rPr>
              <w:t>以投标文件《技术规格偏离表》为评分依据，投标人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对于不同货物的技术要求中的相同项不满足时按一项不满足进行扣分，不对某一项技术要求重复扣分。</w:t>
            </w:r>
          </w:p>
        </w:tc>
        <w:tc>
          <w:tcPr>
            <w:tcW w:w="608" w:type="pct"/>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仿宋"/>
                <w:szCs w:val="21"/>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48" w:hRule="atLeast"/>
          <w:jc w:val="center"/>
        </w:trPr>
        <w:tc>
          <w:tcPr>
            <w:tcW w:w="386" w:type="pct"/>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仿宋"/>
                <w:szCs w:val="21"/>
                <w:lang w:val="zh-CN"/>
              </w:rPr>
            </w:pPr>
            <w:r>
              <w:rPr>
                <w:rFonts w:hint="eastAsia" w:ascii="宋体" w:hAnsi="宋体" w:cs="仿宋"/>
                <w:szCs w:val="21"/>
              </w:rPr>
              <w:t>2</w:t>
            </w:r>
          </w:p>
        </w:tc>
        <w:tc>
          <w:tcPr>
            <w:tcW w:w="586" w:type="pct"/>
            <w:vAlign w:val="center"/>
          </w:tcPr>
          <w:p>
            <w:pPr>
              <w:keepNext w:val="0"/>
              <w:keepLines w:val="0"/>
              <w:pageBreakBefore w:val="0"/>
              <w:kinsoku/>
              <w:wordWrap/>
              <w:overflowPunct/>
              <w:topLinePunct w:val="0"/>
              <w:bidi w:val="0"/>
              <w:spacing w:line="360" w:lineRule="auto"/>
              <w:jc w:val="center"/>
              <w:textAlignment w:val="auto"/>
              <w:rPr>
                <w:rFonts w:ascii="宋体" w:hAnsi="宋体" w:cs="仿宋"/>
                <w:szCs w:val="21"/>
              </w:rPr>
            </w:pPr>
            <w:r>
              <w:rPr>
                <w:rFonts w:hint="eastAsia" w:ascii="宋体" w:hAnsi="宋体" w:cs="宋体"/>
                <w:kern w:val="0"/>
                <w:szCs w:val="21"/>
              </w:rPr>
              <w:t>技术保障措施</w:t>
            </w:r>
          </w:p>
        </w:tc>
        <w:tc>
          <w:tcPr>
            <w:tcW w:w="396" w:type="pct"/>
            <w:vAlign w:val="center"/>
          </w:tcPr>
          <w:p>
            <w:pPr>
              <w:keepNext w:val="0"/>
              <w:keepLines w:val="0"/>
              <w:pageBreakBefore w:val="0"/>
              <w:kinsoku/>
              <w:wordWrap/>
              <w:overflowPunct/>
              <w:topLinePunct w:val="0"/>
              <w:bidi w:val="0"/>
              <w:spacing w:line="360" w:lineRule="auto"/>
              <w:jc w:val="center"/>
              <w:textAlignment w:val="auto"/>
              <w:rPr>
                <w:rFonts w:hint="default" w:ascii="宋体" w:hAnsi="宋体" w:eastAsia="宋体" w:cs="仿宋"/>
                <w:szCs w:val="21"/>
                <w:lang w:val="en-US" w:eastAsia="zh-CN"/>
              </w:rPr>
            </w:pPr>
            <w:r>
              <w:rPr>
                <w:rFonts w:hint="eastAsia" w:ascii="宋体" w:hAnsi="宋体" w:cs="仿宋"/>
                <w:szCs w:val="21"/>
                <w:lang w:val="en-US" w:eastAsia="zh-CN"/>
              </w:rPr>
              <w:t>10</w:t>
            </w:r>
          </w:p>
        </w:tc>
        <w:tc>
          <w:tcPr>
            <w:tcW w:w="3022" w:type="pct"/>
            <w:vAlign w:val="center"/>
          </w:tcPr>
          <w:p>
            <w:pPr>
              <w:keepNext w:val="0"/>
              <w:keepLines w:val="0"/>
              <w:pageBreakBefore w:val="0"/>
              <w:kinsoku/>
              <w:wordWrap/>
              <w:overflowPunct/>
              <w:topLinePunct w:val="0"/>
              <w:bidi w:val="0"/>
              <w:spacing w:line="360" w:lineRule="auto"/>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（一）评审内容：</w:t>
            </w:r>
          </w:p>
          <w:p>
            <w:pPr>
              <w:keepNext w:val="0"/>
              <w:keepLines w:val="0"/>
              <w:pageBreakBefore w:val="0"/>
              <w:kinsoku/>
              <w:wordWrap/>
              <w:overflowPunct/>
              <w:topLinePunct w:val="0"/>
              <w:bidi w:val="0"/>
              <w:spacing w:line="360" w:lineRule="auto"/>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投标人结合本项目实际提供项目技术保障措施，应包括内容：</w:t>
            </w:r>
          </w:p>
          <w:p>
            <w:pPr>
              <w:keepNext w:val="0"/>
              <w:keepLines w:val="0"/>
              <w:pageBreakBefore w:val="0"/>
              <w:kinsoku/>
              <w:wordWrap/>
              <w:overflowPunct/>
              <w:topLinePunct w:val="0"/>
              <w:bidi w:val="0"/>
              <w:spacing w:line="360" w:lineRule="auto"/>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1.投标产品的质量可靠性和先进性说明；</w:t>
            </w:r>
          </w:p>
          <w:p>
            <w:pPr>
              <w:keepNext w:val="0"/>
              <w:keepLines w:val="0"/>
              <w:pageBreakBefore w:val="0"/>
              <w:kinsoku/>
              <w:wordWrap/>
              <w:overflowPunct/>
              <w:topLinePunct w:val="0"/>
              <w:bidi w:val="0"/>
              <w:spacing w:line="360" w:lineRule="auto"/>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2.供货和安装进度计划；</w:t>
            </w:r>
          </w:p>
          <w:p>
            <w:pPr>
              <w:keepNext w:val="0"/>
              <w:keepLines w:val="0"/>
              <w:pageBreakBefore w:val="0"/>
              <w:kinsoku/>
              <w:wordWrap/>
              <w:overflowPunct/>
              <w:topLinePunct w:val="0"/>
              <w:bidi w:val="0"/>
              <w:spacing w:line="360" w:lineRule="auto"/>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3.供货时间节点和步骤；</w:t>
            </w:r>
          </w:p>
          <w:p>
            <w:pPr>
              <w:keepNext w:val="0"/>
              <w:keepLines w:val="0"/>
              <w:pageBreakBefore w:val="0"/>
              <w:kinsoku/>
              <w:wordWrap/>
              <w:overflowPunct/>
              <w:topLinePunct w:val="0"/>
              <w:bidi w:val="0"/>
              <w:spacing w:line="360" w:lineRule="auto"/>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4.人员安排和分工；</w:t>
            </w:r>
          </w:p>
          <w:p>
            <w:pPr>
              <w:keepNext w:val="0"/>
              <w:keepLines w:val="0"/>
              <w:pageBreakBefore w:val="0"/>
              <w:kinsoku/>
              <w:wordWrap/>
              <w:overflowPunct/>
              <w:topLinePunct w:val="0"/>
              <w:bidi w:val="0"/>
              <w:spacing w:line="360" w:lineRule="auto"/>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5.突发情况应对措施。</w:t>
            </w:r>
          </w:p>
          <w:p>
            <w:pPr>
              <w:autoSpaceDE w:val="0"/>
              <w:autoSpaceDN w:val="0"/>
              <w:adjustRightInd w:val="0"/>
              <w:spacing w:line="360" w:lineRule="auto"/>
              <w:jc w:val="left"/>
              <w:rPr>
                <w:rFonts w:ascii="宋体" w:hAnsi="宋体"/>
                <w:kern w:val="0"/>
                <w:szCs w:val="21"/>
              </w:rPr>
            </w:pPr>
            <w:r>
              <w:rPr>
                <w:rFonts w:hint="eastAsia" w:ascii="宋体" w:hAnsi="宋体"/>
                <w:kern w:val="0"/>
                <w:szCs w:val="21"/>
              </w:rPr>
              <w:t>（二）评分标准：</w:t>
            </w:r>
          </w:p>
          <w:p>
            <w:pPr>
              <w:spacing w:line="360" w:lineRule="auto"/>
              <w:jc w:val="left"/>
              <w:rPr>
                <w:rFonts w:ascii="宋体" w:hAnsi="宋体" w:cs="仿宋"/>
                <w:szCs w:val="21"/>
              </w:rPr>
            </w:pPr>
            <w:r>
              <w:rPr>
                <w:rFonts w:hint="eastAsia" w:ascii="宋体" w:hAnsi="宋体" w:cs="仿宋"/>
                <w:szCs w:val="21"/>
              </w:rPr>
              <w:t>方案包含以上</w:t>
            </w:r>
            <w:r>
              <w:rPr>
                <w:rFonts w:hint="eastAsia" w:ascii="宋体" w:hAnsi="宋体" w:cs="仿宋"/>
                <w:szCs w:val="21"/>
                <w:lang w:val="en-US" w:eastAsia="zh-CN"/>
              </w:rPr>
              <w:t>五</w:t>
            </w:r>
            <w:r>
              <w:rPr>
                <w:rFonts w:hint="eastAsia" w:ascii="宋体" w:hAnsi="宋体" w:cs="仿宋"/>
                <w:szCs w:val="21"/>
              </w:rPr>
              <w:t>项内容得3分；包含以上</w:t>
            </w:r>
            <w:r>
              <w:rPr>
                <w:rFonts w:hint="eastAsia" w:ascii="宋体" w:hAnsi="宋体" w:cs="仿宋"/>
                <w:szCs w:val="21"/>
                <w:lang w:val="en-US" w:eastAsia="zh-CN"/>
              </w:rPr>
              <w:t>四</w:t>
            </w:r>
            <w:r>
              <w:rPr>
                <w:rFonts w:hint="eastAsia" w:ascii="宋体" w:hAnsi="宋体" w:cs="仿宋"/>
                <w:szCs w:val="21"/>
              </w:rPr>
              <w:t>项内容得2分；包含以上</w:t>
            </w:r>
            <w:r>
              <w:rPr>
                <w:rFonts w:hint="eastAsia" w:ascii="宋体" w:hAnsi="宋体" w:cs="仿宋"/>
                <w:szCs w:val="21"/>
                <w:lang w:val="en-US" w:eastAsia="zh-CN"/>
              </w:rPr>
              <w:t>三</w:t>
            </w:r>
            <w:r>
              <w:rPr>
                <w:rFonts w:hint="eastAsia" w:ascii="宋体" w:hAnsi="宋体" w:cs="仿宋"/>
                <w:szCs w:val="21"/>
              </w:rPr>
              <w:t>项内容得1分；其他情况不得分。</w:t>
            </w:r>
          </w:p>
          <w:p>
            <w:pPr>
              <w:spacing w:line="360" w:lineRule="auto"/>
              <w:jc w:val="left"/>
              <w:rPr>
                <w:rFonts w:ascii="宋体" w:hAnsi="宋体" w:cs="仿宋"/>
                <w:szCs w:val="21"/>
              </w:rPr>
            </w:pPr>
            <w:r>
              <w:rPr>
                <w:rFonts w:hint="eastAsia" w:ascii="宋体" w:hAnsi="宋体" w:cs="仿宋"/>
                <w:szCs w:val="21"/>
              </w:rPr>
              <w:t>在此基础上，根据方案响应情况进一步评审：</w:t>
            </w:r>
          </w:p>
          <w:p>
            <w:pPr>
              <w:spacing w:line="360" w:lineRule="auto"/>
              <w:jc w:val="left"/>
              <w:rPr>
                <w:rFonts w:ascii="宋体" w:hAnsi="宋体" w:cs="仿宋"/>
                <w:szCs w:val="21"/>
              </w:rPr>
            </w:pPr>
            <w:r>
              <w:rPr>
                <w:rFonts w:hint="eastAsia" w:ascii="宋体" w:hAnsi="宋体" w:cs="仿宋"/>
                <w:szCs w:val="21"/>
              </w:rPr>
              <w:t>1.方案内容全面、具体，可行性高，加7分；</w:t>
            </w:r>
          </w:p>
          <w:p>
            <w:pPr>
              <w:spacing w:line="360" w:lineRule="auto"/>
              <w:jc w:val="left"/>
              <w:rPr>
                <w:rFonts w:ascii="宋体" w:hAnsi="宋体" w:cs="仿宋"/>
                <w:szCs w:val="21"/>
              </w:rPr>
            </w:pPr>
            <w:r>
              <w:rPr>
                <w:rFonts w:hint="eastAsia" w:ascii="宋体" w:hAnsi="宋体" w:cs="仿宋"/>
                <w:szCs w:val="21"/>
              </w:rPr>
              <w:t>2.方案内容较全面，可行性较高，加4分；</w:t>
            </w:r>
          </w:p>
          <w:p>
            <w:pPr>
              <w:spacing w:line="360" w:lineRule="auto"/>
              <w:jc w:val="left"/>
              <w:rPr>
                <w:rFonts w:ascii="宋体" w:hAnsi="宋体" w:cs="仿宋"/>
                <w:szCs w:val="21"/>
              </w:rPr>
            </w:pPr>
            <w:r>
              <w:rPr>
                <w:rFonts w:hint="eastAsia" w:ascii="宋体" w:hAnsi="宋体" w:cs="仿宋"/>
                <w:szCs w:val="21"/>
              </w:rPr>
              <w:t>3.方案全面性、可行性一般，加1分；</w:t>
            </w:r>
          </w:p>
          <w:p>
            <w:pPr>
              <w:keepNext w:val="0"/>
              <w:keepLines w:val="0"/>
              <w:pageBreakBefore w:val="0"/>
              <w:kinsoku/>
              <w:wordWrap/>
              <w:overflowPunct/>
              <w:topLinePunct w:val="0"/>
              <w:bidi w:val="0"/>
              <w:spacing w:line="360" w:lineRule="auto"/>
              <w:textAlignment w:val="auto"/>
              <w:rPr>
                <w:rFonts w:ascii="宋体" w:hAnsi="宋体" w:cs="仿宋"/>
                <w:szCs w:val="21"/>
              </w:rPr>
            </w:pPr>
            <w:r>
              <w:rPr>
                <w:rFonts w:hint="eastAsia" w:ascii="宋体" w:hAnsi="宋体" w:cs="仿宋"/>
                <w:szCs w:val="21"/>
              </w:rPr>
              <w:t>4.方案不全，可行性低，不加分。</w:t>
            </w:r>
          </w:p>
        </w:tc>
        <w:tc>
          <w:tcPr>
            <w:tcW w:w="608" w:type="pct"/>
            <w:vAlign w:val="center"/>
          </w:tcPr>
          <w:p>
            <w:pPr>
              <w:keepNext w:val="0"/>
              <w:keepLines w:val="0"/>
              <w:pageBreakBefore w:val="0"/>
              <w:kinsoku/>
              <w:wordWrap/>
              <w:overflowPunct/>
              <w:topLinePunct w:val="0"/>
              <w:bidi w:val="0"/>
              <w:spacing w:line="360" w:lineRule="auto"/>
              <w:jc w:val="center"/>
              <w:textAlignment w:val="auto"/>
              <w:rPr>
                <w:rFonts w:ascii="宋体" w:hAnsi="宋体" w:cs="仿宋"/>
                <w:szCs w:val="21"/>
                <w:lang w:val="zh-CN"/>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89" w:hRule="atLeast"/>
          <w:jc w:val="center"/>
        </w:trPr>
        <w:tc>
          <w:tcPr>
            <w:tcW w:w="386" w:type="pct"/>
            <w:vAlign w:val="center"/>
          </w:tcPr>
          <w:p>
            <w:pPr>
              <w:keepNext w:val="0"/>
              <w:keepLines w:val="0"/>
              <w:pageBreakBefore w:val="0"/>
              <w:widowControl/>
              <w:kinsoku/>
              <w:wordWrap/>
              <w:overflowPunct/>
              <w:topLinePunct w:val="0"/>
              <w:bidi w:val="0"/>
              <w:snapToGrid w:val="0"/>
              <w:spacing w:line="360" w:lineRule="auto"/>
              <w:jc w:val="center"/>
              <w:textAlignment w:val="auto"/>
              <w:rPr>
                <w:rFonts w:ascii="宋体" w:hAnsi="宋体"/>
                <w:kern w:val="0"/>
                <w:szCs w:val="21"/>
              </w:rPr>
            </w:pPr>
            <w:r>
              <w:rPr>
                <w:rFonts w:hint="eastAsia" w:ascii="宋体" w:hAnsi="宋体"/>
                <w:kern w:val="0"/>
                <w:szCs w:val="21"/>
              </w:rPr>
              <w:t>3</w:t>
            </w:r>
          </w:p>
        </w:tc>
        <w:tc>
          <w:tcPr>
            <w:tcW w:w="586" w:type="pct"/>
            <w:vAlign w:val="center"/>
          </w:tcPr>
          <w:p>
            <w:pPr>
              <w:keepNext w:val="0"/>
              <w:keepLines w:val="0"/>
              <w:pageBreakBefore w:val="0"/>
              <w:widowControl/>
              <w:kinsoku/>
              <w:wordWrap/>
              <w:overflowPunct/>
              <w:topLinePunct w:val="0"/>
              <w:bidi w:val="0"/>
              <w:spacing w:line="360" w:lineRule="auto"/>
              <w:jc w:val="center"/>
              <w:textAlignment w:val="auto"/>
              <w:rPr>
                <w:rFonts w:ascii="宋体" w:hAnsi="宋体" w:cs="宋体"/>
                <w:szCs w:val="21"/>
              </w:rPr>
            </w:pPr>
            <w:r>
              <w:rPr>
                <w:rFonts w:hint="eastAsia"/>
              </w:rPr>
              <w:t>售后服务方案</w:t>
            </w:r>
          </w:p>
        </w:tc>
        <w:tc>
          <w:tcPr>
            <w:tcW w:w="396" w:type="pct"/>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3022" w:type="pct"/>
            <w:vAlign w:val="center"/>
          </w:tcPr>
          <w:p>
            <w:pPr>
              <w:keepNext w:val="0"/>
              <w:keepLines w:val="0"/>
              <w:pageBreakBefore w:val="0"/>
              <w:kinsoku/>
              <w:wordWrap/>
              <w:overflowPunct/>
              <w:topLinePunct w:val="0"/>
              <w:bidi w:val="0"/>
              <w:adjustRightInd w:val="0"/>
              <w:snapToGrid w:val="0"/>
              <w:spacing w:line="360" w:lineRule="auto"/>
              <w:textAlignment w:val="auto"/>
              <w:rPr>
                <w:rFonts w:ascii="宋体" w:hAnsi="宋体" w:cs="宋体"/>
                <w:szCs w:val="21"/>
              </w:rPr>
            </w:pPr>
            <w:r>
              <w:rPr>
                <w:rFonts w:hint="eastAsia" w:ascii="宋体" w:hAnsi="宋体" w:cs="宋体"/>
                <w:b w:val="0"/>
                <w:bCs w:val="0"/>
                <w:szCs w:val="21"/>
              </w:rPr>
              <w:t>（一）评审内容：</w:t>
            </w:r>
          </w:p>
          <w:p>
            <w:pPr>
              <w:pStyle w:val="4"/>
              <w:keepNext w:val="0"/>
              <w:keepLines w:val="0"/>
              <w:pageBreakBefore w:val="0"/>
              <w:kinsoku/>
              <w:wordWrap/>
              <w:overflowPunct/>
              <w:topLinePunct w:val="0"/>
              <w:bidi w:val="0"/>
              <w:spacing w:line="360" w:lineRule="auto"/>
              <w:ind w:firstLine="0" w:firstLineChars="0"/>
              <w:textAlignment w:val="auto"/>
              <w:rPr>
                <w:rFonts w:ascii="宋体" w:hAnsi="宋体" w:cs="宋体"/>
              </w:rPr>
            </w:pPr>
            <w:r>
              <w:rPr>
                <w:rFonts w:hint="eastAsia" w:ascii="宋体" w:hAnsi="宋体" w:cs="宋体"/>
              </w:rPr>
              <w:t>投标人需提供售后服务方案，包括但不限于：</w:t>
            </w:r>
          </w:p>
          <w:p>
            <w:pPr>
              <w:pStyle w:val="4"/>
              <w:keepNext w:val="0"/>
              <w:keepLines w:val="0"/>
              <w:pageBreakBefore w:val="0"/>
              <w:kinsoku/>
              <w:wordWrap/>
              <w:overflowPunct/>
              <w:topLinePunct w:val="0"/>
              <w:bidi w:val="0"/>
              <w:spacing w:line="360" w:lineRule="auto"/>
              <w:ind w:firstLine="0" w:firstLineChars="0"/>
              <w:textAlignment w:val="auto"/>
              <w:rPr>
                <w:rFonts w:ascii="宋体" w:hAnsi="宋体" w:cs="宋体"/>
              </w:rPr>
            </w:pPr>
            <w:r>
              <w:rPr>
                <w:rFonts w:hint="eastAsia" w:ascii="宋体" w:hAnsi="宋体" w:cs="宋体"/>
              </w:rPr>
              <w:t>1.售后服务机构及维护人员配置；</w:t>
            </w:r>
          </w:p>
          <w:p>
            <w:pPr>
              <w:pStyle w:val="4"/>
              <w:keepNext w:val="0"/>
              <w:keepLines w:val="0"/>
              <w:pageBreakBefore w:val="0"/>
              <w:kinsoku/>
              <w:wordWrap/>
              <w:overflowPunct/>
              <w:topLinePunct w:val="0"/>
              <w:bidi w:val="0"/>
              <w:spacing w:line="360" w:lineRule="auto"/>
              <w:ind w:firstLine="0" w:firstLineChars="0"/>
              <w:textAlignment w:val="auto"/>
              <w:rPr>
                <w:rFonts w:ascii="宋体" w:hAnsi="宋体" w:cs="宋体"/>
              </w:rPr>
            </w:pPr>
            <w:r>
              <w:rPr>
                <w:rFonts w:hint="eastAsia" w:ascii="宋体" w:hAnsi="宋体" w:cs="宋体"/>
              </w:rPr>
              <w:t>2.保修期内的保修方案；</w:t>
            </w:r>
          </w:p>
          <w:p>
            <w:pPr>
              <w:pStyle w:val="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lang w:eastAsia="zh-CN"/>
              </w:rPr>
            </w:pPr>
            <w:r>
              <w:rPr>
                <w:rFonts w:hint="eastAsia" w:ascii="宋体" w:hAnsi="宋体" w:cs="宋体"/>
              </w:rPr>
              <w:t>3.保修期外的维保方案（须提供配件价格、耗材价格、优惠政策等）</w:t>
            </w:r>
            <w:r>
              <w:rPr>
                <w:rFonts w:hint="eastAsia" w:ascii="宋体" w:hAnsi="宋体" w:cs="宋体"/>
                <w:lang w:eastAsia="zh-CN"/>
              </w:rPr>
              <w:t>。</w:t>
            </w:r>
          </w:p>
          <w:p>
            <w:pPr>
              <w:autoSpaceDE w:val="0"/>
              <w:autoSpaceDN w:val="0"/>
              <w:adjustRightInd w:val="0"/>
              <w:spacing w:line="360" w:lineRule="auto"/>
              <w:jc w:val="left"/>
              <w:rPr>
                <w:rFonts w:ascii="宋体" w:hAnsi="宋体"/>
                <w:kern w:val="0"/>
                <w:szCs w:val="21"/>
              </w:rPr>
            </w:pPr>
            <w:r>
              <w:rPr>
                <w:rFonts w:hint="eastAsia" w:ascii="宋体" w:hAnsi="宋体"/>
                <w:kern w:val="0"/>
                <w:szCs w:val="21"/>
              </w:rPr>
              <w:t>（二）评分标准：</w:t>
            </w:r>
          </w:p>
          <w:p>
            <w:pPr>
              <w:spacing w:line="360" w:lineRule="auto"/>
              <w:jc w:val="left"/>
              <w:rPr>
                <w:rFonts w:ascii="宋体" w:hAnsi="宋体" w:cs="仿宋"/>
                <w:szCs w:val="21"/>
              </w:rPr>
            </w:pPr>
            <w:r>
              <w:rPr>
                <w:rFonts w:hint="eastAsia" w:ascii="宋体" w:hAnsi="宋体" w:cs="仿宋"/>
                <w:szCs w:val="21"/>
              </w:rPr>
              <w:t>方案包含以上</w:t>
            </w:r>
            <w:r>
              <w:rPr>
                <w:rFonts w:hint="eastAsia" w:ascii="宋体" w:hAnsi="宋体" w:cs="仿宋"/>
                <w:szCs w:val="21"/>
                <w:lang w:val="en-US" w:eastAsia="zh-CN"/>
              </w:rPr>
              <w:t>三</w:t>
            </w:r>
            <w:r>
              <w:rPr>
                <w:rFonts w:hint="eastAsia" w:ascii="宋体" w:hAnsi="宋体" w:cs="仿宋"/>
                <w:szCs w:val="21"/>
              </w:rPr>
              <w:t>项内容得</w:t>
            </w:r>
            <w:r>
              <w:rPr>
                <w:rFonts w:hint="eastAsia" w:ascii="宋体" w:hAnsi="宋体" w:cs="仿宋"/>
                <w:szCs w:val="21"/>
                <w:lang w:val="en-US" w:eastAsia="zh-CN"/>
              </w:rPr>
              <w:t>2</w:t>
            </w:r>
            <w:r>
              <w:rPr>
                <w:rFonts w:hint="eastAsia" w:ascii="宋体" w:hAnsi="宋体" w:cs="仿宋"/>
                <w:szCs w:val="21"/>
              </w:rPr>
              <w:t>分；包含以上</w:t>
            </w:r>
            <w:r>
              <w:rPr>
                <w:rFonts w:hint="eastAsia" w:ascii="宋体" w:hAnsi="宋体" w:cs="仿宋"/>
                <w:szCs w:val="21"/>
                <w:lang w:val="en-US" w:eastAsia="zh-CN"/>
              </w:rPr>
              <w:t>两项</w:t>
            </w:r>
            <w:r>
              <w:rPr>
                <w:rFonts w:hint="eastAsia" w:ascii="宋体" w:hAnsi="宋体" w:cs="仿宋"/>
                <w:szCs w:val="21"/>
              </w:rPr>
              <w:t>项内容得</w:t>
            </w:r>
            <w:r>
              <w:rPr>
                <w:rFonts w:hint="eastAsia" w:ascii="宋体" w:hAnsi="宋体" w:cs="仿宋"/>
                <w:szCs w:val="21"/>
                <w:lang w:val="en-US" w:eastAsia="zh-CN"/>
              </w:rPr>
              <w:t>1</w:t>
            </w:r>
            <w:r>
              <w:rPr>
                <w:rFonts w:hint="eastAsia" w:ascii="宋体" w:hAnsi="宋体" w:cs="仿宋"/>
                <w:szCs w:val="21"/>
              </w:rPr>
              <w:t>分；其他情况不得分。</w:t>
            </w:r>
          </w:p>
          <w:p>
            <w:pPr>
              <w:spacing w:line="360" w:lineRule="auto"/>
              <w:jc w:val="left"/>
              <w:rPr>
                <w:rFonts w:ascii="宋体" w:hAnsi="宋体" w:cs="仿宋"/>
                <w:szCs w:val="21"/>
              </w:rPr>
            </w:pPr>
            <w:r>
              <w:rPr>
                <w:rFonts w:hint="eastAsia" w:ascii="宋体" w:hAnsi="宋体" w:cs="仿宋"/>
                <w:szCs w:val="21"/>
              </w:rPr>
              <w:t>在此基础上，根据方案响应情况进一步评审：</w:t>
            </w:r>
          </w:p>
          <w:p>
            <w:pPr>
              <w:spacing w:line="360" w:lineRule="auto"/>
              <w:jc w:val="left"/>
              <w:rPr>
                <w:rFonts w:ascii="宋体" w:hAnsi="宋体" w:cs="仿宋"/>
                <w:szCs w:val="21"/>
              </w:rPr>
            </w:pPr>
            <w:r>
              <w:rPr>
                <w:rFonts w:hint="eastAsia" w:ascii="宋体" w:hAnsi="宋体" w:cs="仿宋"/>
                <w:szCs w:val="21"/>
              </w:rPr>
              <w:t>1.方案内容全面、具体，可行性高，加</w:t>
            </w:r>
            <w:r>
              <w:rPr>
                <w:rFonts w:hint="eastAsia" w:ascii="宋体" w:hAnsi="宋体" w:cs="仿宋"/>
                <w:szCs w:val="21"/>
                <w:lang w:val="en-US" w:eastAsia="zh-CN"/>
              </w:rPr>
              <w:t>3</w:t>
            </w:r>
            <w:r>
              <w:rPr>
                <w:rFonts w:hint="eastAsia" w:ascii="宋体" w:hAnsi="宋体" w:cs="仿宋"/>
                <w:szCs w:val="21"/>
              </w:rPr>
              <w:t>分；</w:t>
            </w:r>
          </w:p>
          <w:p>
            <w:pPr>
              <w:spacing w:line="360" w:lineRule="auto"/>
              <w:jc w:val="left"/>
              <w:rPr>
                <w:rFonts w:ascii="宋体" w:hAnsi="宋体" w:cs="仿宋"/>
                <w:szCs w:val="21"/>
              </w:rPr>
            </w:pPr>
            <w:r>
              <w:rPr>
                <w:rFonts w:hint="eastAsia" w:ascii="宋体" w:hAnsi="宋体" w:cs="仿宋"/>
                <w:szCs w:val="21"/>
              </w:rPr>
              <w:t>2.方案内容较全面，可行性较高，加</w:t>
            </w:r>
            <w:r>
              <w:rPr>
                <w:rFonts w:hint="eastAsia" w:ascii="宋体" w:hAnsi="宋体" w:cs="仿宋"/>
                <w:szCs w:val="21"/>
                <w:lang w:val="en-US" w:eastAsia="zh-CN"/>
              </w:rPr>
              <w:t>2</w:t>
            </w:r>
            <w:r>
              <w:rPr>
                <w:rFonts w:hint="eastAsia" w:ascii="宋体" w:hAnsi="宋体" w:cs="仿宋"/>
                <w:szCs w:val="21"/>
              </w:rPr>
              <w:t>分；</w:t>
            </w:r>
          </w:p>
          <w:p>
            <w:pPr>
              <w:spacing w:line="360" w:lineRule="auto"/>
              <w:jc w:val="left"/>
              <w:rPr>
                <w:rFonts w:ascii="宋体" w:hAnsi="宋体" w:cs="仿宋"/>
                <w:szCs w:val="21"/>
              </w:rPr>
            </w:pPr>
            <w:r>
              <w:rPr>
                <w:rFonts w:hint="eastAsia" w:ascii="宋体" w:hAnsi="宋体" w:cs="仿宋"/>
                <w:szCs w:val="21"/>
              </w:rPr>
              <w:t>3.方案全面性、可行性一般，加1分；</w:t>
            </w:r>
          </w:p>
          <w:p>
            <w:pPr>
              <w:keepNext w:val="0"/>
              <w:keepLines w:val="0"/>
              <w:pageBreakBefore w:val="0"/>
              <w:kinsoku/>
              <w:wordWrap/>
              <w:overflowPunct/>
              <w:topLinePunct w:val="0"/>
              <w:bidi w:val="0"/>
              <w:spacing w:line="360" w:lineRule="auto"/>
              <w:textAlignment w:val="auto"/>
              <w:rPr>
                <w:rFonts w:ascii="宋体" w:hAnsi="宋体"/>
                <w:szCs w:val="21"/>
              </w:rPr>
            </w:pPr>
            <w:r>
              <w:rPr>
                <w:rFonts w:hint="eastAsia" w:ascii="宋体" w:hAnsi="宋体" w:cs="仿宋"/>
                <w:szCs w:val="21"/>
              </w:rPr>
              <w:t>4.方案不全，可行性低，不加分。</w:t>
            </w:r>
          </w:p>
        </w:tc>
        <w:tc>
          <w:tcPr>
            <w:tcW w:w="608" w:type="pct"/>
            <w:vAlign w:val="center"/>
          </w:tcPr>
          <w:p>
            <w:pPr>
              <w:keepNext w:val="0"/>
              <w:keepLines w:val="0"/>
              <w:pageBreakBefore w:val="0"/>
              <w:kinsoku/>
              <w:wordWrap/>
              <w:overflowPunct/>
              <w:topLinePunct w:val="0"/>
              <w:bidi w:val="0"/>
              <w:spacing w:line="360" w:lineRule="auto"/>
              <w:jc w:val="center"/>
              <w:textAlignment w:val="auto"/>
              <w:rPr>
                <w:rFonts w:ascii="宋体" w:hAnsi="宋体" w:cs="仿宋"/>
                <w:szCs w:val="21"/>
                <w:lang w:val="zh-CN"/>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4391" w:type="pct"/>
            <w:gridSpan w:val="4"/>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仿宋"/>
                <w:b/>
                <w:szCs w:val="21"/>
              </w:rPr>
            </w:pPr>
            <w:r>
              <w:rPr>
                <w:rFonts w:hint="eastAsia" w:ascii="宋体" w:hAnsi="宋体" w:cs="仿宋"/>
                <w:b/>
                <w:szCs w:val="21"/>
                <w:lang w:val="zh-CN"/>
              </w:rPr>
              <w:t>三、商务部分</w:t>
            </w:r>
          </w:p>
        </w:tc>
        <w:tc>
          <w:tcPr>
            <w:tcW w:w="608" w:type="pct"/>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default" w:ascii="宋体" w:hAnsi="宋体" w:eastAsia="宋体" w:cs="仿宋"/>
                <w:b/>
                <w:szCs w:val="21"/>
                <w:lang w:val="en-US" w:eastAsia="zh-CN"/>
              </w:rPr>
            </w:pPr>
            <w:r>
              <w:rPr>
                <w:rFonts w:hint="eastAsia" w:ascii="宋体" w:hAnsi="宋体" w:cs="仿宋"/>
                <w:b/>
                <w:szCs w:val="21"/>
                <w:lang w:val="en-US" w:eastAsia="zh-CN"/>
              </w:rP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386" w:type="pct"/>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仿宋"/>
                <w:szCs w:val="21"/>
              </w:rPr>
            </w:pPr>
            <w:r>
              <w:rPr>
                <w:rFonts w:hint="eastAsia" w:ascii="宋体" w:hAnsi="宋体" w:cs="仿宋"/>
                <w:szCs w:val="21"/>
                <w:lang w:val="zh-CN"/>
              </w:rPr>
              <w:t>序号</w:t>
            </w:r>
          </w:p>
        </w:tc>
        <w:tc>
          <w:tcPr>
            <w:tcW w:w="586" w:type="pct"/>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仿宋"/>
                <w:szCs w:val="21"/>
              </w:rPr>
            </w:pPr>
            <w:r>
              <w:rPr>
                <w:rFonts w:hint="eastAsia" w:ascii="宋体" w:hAnsi="宋体" w:cs="仿宋"/>
                <w:szCs w:val="21"/>
                <w:lang w:val="zh-CN"/>
              </w:rPr>
              <w:t>内容</w:t>
            </w:r>
          </w:p>
        </w:tc>
        <w:tc>
          <w:tcPr>
            <w:tcW w:w="396" w:type="pct"/>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仿宋"/>
                <w:szCs w:val="21"/>
              </w:rPr>
            </w:pPr>
            <w:r>
              <w:rPr>
                <w:rFonts w:hint="eastAsia" w:ascii="宋体" w:hAnsi="宋体" w:cs="仿宋"/>
                <w:szCs w:val="21"/>
                <w:lang w:val="zh-CN"/>
              </w:rPr>
              <w:t>权重</w:t>
            </w:r>
          </w:p>
        </w:tc>
        <w:tc>
          <w:tcPr>
            <w:tcW w:w="3022" w:type="pct"/>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仿宋"/>
                <w:szCs w:val="21"/>
              </w:rPr>
            </w:pPr>
            <w:r>
              <w:rPr>
                <w:rFonts w:hint="eastAsia" w:ascii="宋体" w:hAnsi="宋体" w:cs="仿宋"/>
                <w:szCs w:val="21"/>
                <w:lang w:val="zh-CN"/>
              </w:rPr>
              <w:t>评分规则</w:t>
            </w:r>
          </w:p>
        </w:tc>
        <w:tc>
          <w:tcPr>
            <w:tcW w:w="608" w:type="pct"/>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仿宋"/>
                <w:szCs w:val="21"/>
              </w:rPr>
            </w:pPr>
            <w:r>
              <w:rPr>
                <w:rFonts w:hint="eastAsia" w:ascii="宋体" w:hAnsi="宋体" w:cs="仿宋"/>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8" w:hRule="atLeast"/>
          <w:jc w:val="center"/>
        </w:trPr>
        <w:tc>
          <w:tcPr>
            <w:tcW w:w="386" w:type="pct"/>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仿宋"/>
                <w:szCs w:val="21"/>
                <w:lang w:val="zh-CN"/>
              </w:rPr>
            </w:pPr>
            <w:r>
              <w:rPr>
                <w:rFonts w:hint="eastAsia" w:ascii="宋体" w:hAnsi="宋体" w:cs="仿宋"/>
                <w:szCs w:val="21"/>
                <w:lang w:val="zh-CN"/>
              </w:rPr>
              <w:t>1</w:t>
            </w:r>
          </w:p>
        </w:tc>
        <w:tc>
          <w:tcPr>
            <w:tcW w:w="586" w:type="pct"/>
            <w:vAlign w:val="center"/>
          </w:tcPr>
          <w:p>
            <w:pPr>
              <w:keepNext w:val="0"/>
              <w:keepLines w:val="0"/>
              <w:pageBreakBefore w:val="0"/>
              <w:widowControl/>
              <w:kinsoku/>
              <w:wordWrap/>
              <w:overflowPunct/>
              <w:topLinePunct w:val="0"/>
              <w:bidi w:val="0"/>
              <w:spacing w:line="360" w:lineRule="auto"/>
              <w:jc w:val="center"/>
              <w:textAlignment w:val="auto"/>
              <w:rPr>
                <w:rFonts w:ascii="宋体" w:hAnsi="宋体" w:cs="仿宋"/>
                <w:kern w:val="0"/>
                <w:szCs w:val="21"/>
              </w:rPr>
            </w:pPr>
            <w:r>
              <w:rPr>
                <w:rFonts w:hint="eastAsia" w:ascii="宋体" w:hAnsi="宋体" w:cs="宋体"/>
                <w:kern w:val="0"/>
                <w:szCs w:val="21"/>
              </w:rPr>
              <w:t>免费保修期内售后服务条款偏离情况</w:t>
            </w:r>
          </w:p>
        </w:tc>
        <w:tc>
          <w:tcPr>
            <w:tcW w:w="396" w:type="pct"/>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仿宋"/>
                <w:kern w:val="0"/>
                <w:szCs w:val="21"/>
                <w:lang w:eastAsia="zh-CN"/>
              </w:rPr>
            </w:pPr>
            <w:r>
              <w:rPr>
                <w:rFonts w:hint="eastAsia" w:ascii="宋体" w:hAnsi="宋体" w:cs="仿宋"/>
                <w:kern w:val="0"/>
                <w:szCs w:val="21"/>
                <w:lang w:val="en-US" w:eastAsia="zh-CN"/>
              </w:rPr>
              <w:t>3</w:t>
            </w:r>
          </w:p>
        </w:tc>
        <w:tc>
          <w:tcPr>
            <w:tcW w:w="3022" w:type="pct"/>
            <w:vAlign w:val="center"/>
          </w:tcPr>
          <w:p>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cs="仿宋"/>
                <w:szCs w:val="21"/>
                <w:lang w:val="zh-CN"/>
              </w:rPr>
            </w:pPr>
            <w:r>
              <w:rPr>
                <w:rFonts w:hint="eastAsia" w:ascii="宋体" w:hAnsi="宋体" w:cs="仿宋"/>
                <w:szCs w:val="21"/>
                <w:lang w:val="zh-CN"/>
              </w:rPr>
              <w:t>投标人应如实填写《商务条款偏离表》，评审委员会根据其中免费保修期内售后服务条款响应情况进行评审：</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cs="仿宋"/>
                <w:szCs w:val="21"/>
                <w:lang w:val="zh-CN"/>
              </w:rPr>
            </w:pPr>
            <w:r>
              <w:rPr>
                <w:rFonts w:hint="eastAsia" w:ascii="宋体" w:hAnsi="宋体" w:cs="仿宋"/>
                <w:szCs w:val="21"/>
                <w:lang w:val="zh-CN"/>
              </w:rPr>
              <w:t>（1）免费保修期在满足招标要求的基础上，每增加一年得1分，最高得</w:t>
            </w:r>
            <w:r>
              <w:rPr>
                <w:rFonts w:hint="eastAsia" w:ascii="宋体" w:hAnsi="宋体" w:cs="仿宋"/>
                <w:szCs w:val="21"/>
                <w:lang w:val="en-US" w:eastAsia="zh-CN"/>
              </w:rPr>
              <w:t>1</w:t>
            </w:r>
            <w:r>
              <w:rPr>
                <w:rFonts w:hint="eastAsia" w:ascii="宋体" w:hAnsi="宋体" w:cs="仿宋"/>
                <w:szCs w:val="21"/>
                <w:lang w:val="zh-CN"/>
              </w:rPr>
              <w:t>分。</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cs="仿宋"/>
                <w:szCs w:val="21"/>
                <w:lang w:val="zh-CN"/>
              </w:rPr>
            </w:pPr>
            <w:r>
              <w:rPr>
                <w:rFonts w:hint="eastAsia" w:ascii="宋体" w:hAnsi="宋体" w:cs="仿宋"/>
                <w:szCs w:val="21"/>
                <w:lang w:val="zh-CN"/>
              </w:rPr>
              <w:t>（2）其它要求全部满足的得</w:t>
            </w:r>
            <w:r>
              <w:rPr>
                <w:rFonts w:hint="eastAsia" w:ascii="宋体" w:hAnsi="宋体" w:cs="仿宋"/>
                <w:szCs w:val="21"/>
                <w:lang w:val="en-US" w:eastAsia="zh-CN"/>
              </w:rPr>
              <w:t>2</w:t>
            </w:r>
            <w:r>
              <w:rPr>
                <w:rFonts w:hint="eastAsia" w:ascii="宋体" w:hAnsi="宋体" w:cs="仿宋"/>
                <w:szCs w:val="21"/>
                <w:lang w:val="zh-CN"/>
              </w:rPr>
              <w:t>分，否则不得分。</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cs="仿宋"/>
                <w:szCs w:val="21"/>
                <w:lang w:val="zh-CN"/>
              </w:rPr>
            </w:pPr>
            <w:r>
              <w:rPr>
                <w:rFonts w:hint="eastAsia" w:ascii="宋体" w:hAnsi="宋体" w:cs="仿宋"/>
                <w:szCs w:val="21"/>
                <w:lang w:val="zh-CN"/>
              </w:rPr>
              <w:t>以上累计满分为</w:t>
            </w:r>
            <w:r>
              <w:rPr>
                <w:rFonts w:hint="eastAsia" w:ascii="宋体" w:hAnsi="宋体" w:cs="仿宋"/>
                <w:szCs w:val="21"/>
                <w:lang w:val="en-US" w:eastAsia="zh-CN"/>
              </w:rPr>
              <w:t>3</w:t>
            </w:r>
            <w:r>
              <w:rPr>
                <w:rFonts w:hint="eastAsia" w:ascii="宋体" w:hAnsi="宋体" w:cs="仿宋"/>
                <w:szCs w:val="21"/>
                <w:lang w:val="zh-CN"/>
              </w:rPr>
              <w:t>分。</w:t>
            </w:r>
          </w:p>
        </w:tc>
        <w:tc>
          <w:tcPr>
            <w:tcW w:w="608" w:type="pct"/>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仿宋"/>
                <w:szCs w:val="21"/>
                <w:lang w:val="zh-CN"/>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5" w:hRule="atLeast"/>
          <w:jc w:val="center"/>
        </w:trPr>
        <w:tc>
          <w:tcPr>
            <w:tcW w:w="386" w:type="pct"/>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仿宋"/>
                <w:szCs w:val="21"/>
                <w:lang w:val="zh-CN"/>
              </w:rPr>
            </w:pPr>
            <w:r>
              <w:rPr>
                <w:rFonts w:hint="eastAsia" w:ascii="宋体" w:hAnsi="宋体" w:cs="仿宋"/>
                <w:szCs w:val="21"/>
                <w:lang w:val="zh-CN"/>
              </w:rPr>
              <w:t>2</w:t>
            </w:r>
          </w:p>
        </w:tc>
        <w:tc>
          <w:tcPr>
            <w:tcW w:w="586" w:type="pct"/>
            <w:vAlign w:val="center"/>
          </w:tcPr>
          <w:p>
            <w:pPr>
              <w:keepNext w:val="0"/>
              <w:keepLines w:val="0"/>
              <w:pageBreakBefore w:val="0"/>
              <w:widowControl/>
              <w:kinsoku/>
              <w:wordWrap/>
              <w:overflowPunct/>
              <w:topLinePunct w:val="0"/>
              <w:bidi w:val="0"/>
              <w:spacing w:line="360" w:lineRule="auto"/>
              <w:jc w:val="center"/>
              <w:textAlignment w:val="auto"/>
              <w:rPr>
                <w:rFonts w:ascii="宋体" w:hAnsi="宋体" w:cs="宋体"/>
                <w:kern w:val="0"/>
                <w:szCs w:val="21"/>
              </w:rPr>
            </w:pPr>
            <w:r>
              <w:rPr>
                <w:rFonts w:ascii="宋体" w:hAnsi="宋体" w:cs="宋体"/>
                <w:kern w:val="0"/>
                <w:szCs w:val="21"/>
              </w:rPr>
              <w:t>免费保修期外售后服务条款偏离情况</w:t>
            </w:r>
          </w:p>
        </w:tc>
        <w:tc>
          <w:tcPr>
            <w:tcW w:w="396" w:type="pct"/>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仿宋"/>
                <w:szCs w:val="21"/>
                <w:lang w:eastAsia="zh-CN"/>
              </w:rPr>
            </w:pPr>
            <w:r>
              <w:rPr>
                <w:rFonts w:hint="eastAsia" w:ascii="宋体" w:hAnsi="宋体" w:cs="宋体"/>
                <w:kern w:val="0"/>
                <w:szCs w:val="21"/>
                <w:lang w:val="en-US" w:eastAsia="zh-CN"/>
              </w:rPr>
              <w:t>2</w:t>
            </w:r>
          </w:p>
        </w:tc>
        <w:tc>
          <w:tcPr>
            <w:tcW w:w="3022" w:type="pct"/>
            <w:vAlign w:val="center"/>
          </w:tcPr>
          <w:p>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cs="宋体"/>
                <w:kern w:val="0"/>
                <w:szCs w:val="21"/>
              </w:rPr>
            </w:pPr>
            <w:r>
              <w:rPr>
                <w:rFonts w:hint="eastAsia" w:ascii="宋体" w:hAnsi="宋体" w:cs="宋体"/>
                <w:kern w:val="0"/>
                <w:szCs w:val="21"/>
              </w:rPr>
              <w:t>投标人应如实填写《商务条款偏离表》，评审委员会根据其中免费保修期外售后服务条款响应情况进行评审：</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cs="宋体"/>
                <w:kern w:val="0"/>
                <w:szCs w:val="21"/>
              </w:rPr>
            </w:pPr>
            <w:r>
              <w:rPr>
                <w:rFonts w:hint="eastAsia" w:ascii="宋体" w:hAnsi="宋体" w:cs="宋体"/>
                <w:kern w:val="0"/>
                <w:szCs w:val="21"/>
              </w:rPr>
              <w:t>全部满足要求的得</w:t>
            </w:r>
            <w:r>
              <w:rPr>
                <w:rFonts w:hint="eastAsia" w:ascii="宋体" w:hAnsi="宋体" w:cs="宋体"/>
                <w:kern w:val="0"/>
                <w:szCs w:val="21"/>
                <w:lang w:val="en-US" w:eastAsia="zh-CN"/>
              </w:rPr>
              <w:t>2</w:t>
            </w:r>
            <w:r>
              <w:rPr>
                <w:rFonts w:hint="eastAsia" w:ascii="宋体" w:hAnsi="宋体" w:cs="宋体"/>
                <w:kern w:val="0"/>
                <w:szCs w:val="21"/>
              </w:rPr>
              <w:t>分，每1小项负偏离扣1分，最低得0分。</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cs="宋体"/>
                <w:kern w:val="0"/>
                <w:szCs w:val="21"/>
              </w:rPr>
            </w:pPr>
            <w:r>
              <w:rPr>
                <w:rFonts w:hint="eastAsia" w:ascii="宋体" w:hAnsi="宋体" w:cs="宋体"/>
                <w:kern w:val="0"/>
                <w:szCs w:val="21"/>
                <w:lang w:val="zh-CN"/>
              </w:rPr>
              <w:t>商务要求中包含细项条款的，按细项条款响应情况逐项评分。</w:t>
            </w:r>
          </w:p>
        </w:tc>
        <w:tc>
          <w:tcPr>
            <w:tcW w:w="608" w:type="pct"/>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仿宋"/>
                <w:szCs w:val="21"/>
                <w:lang w:val="zh-CN"/>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386" w:type="pct"/>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仿宋"/>
                <w:szCs w:val="21"/>
                <w:lang w:val="zh-CN"/>
              </w:rPr>
            </w:pPr>
            <w:r>
              <w:rPr>
                <w:rFonts w:hint="eastAsia" w:ascii="宋体" w:hAnsi="宋体" w:cs="仿宋"/>
                <w:szCs w:val="21"/>
              </w:rPr>
              <w:t>3</w:t>
            </w:r>
          </w:p>
        </w:tc>
        <w:tc>
          <w:tcPr>
            <w:tcW w:w="586" w:type="pct"/>
            <w:vAlign w:val="center"/>
          </w:tcPr>
          <w:p>
            <w:pPr>
              <w:keepNext w:val="0"/>
              <w:keepLines w:val="0"/>
              <w:pageBreakBefore w:val="0"/>
              <w:kinsoku/>
              <w:wordWrap/>
              <w:overflowPunct/>
              <w:topLinePunct w:val="0"/>
              <w:bidi w:val="0"/>
              <w:spacing w:line="360" w:lineRule="auto"/>
              <w:jc w:val="center"/>
              <w:textAlignment w:val="auto"/>
              <w:rPr>
                <w:rFonts w:ascii="宋体" w:hAnsi="宋体" w:cs="仿宋"/>
                <w:szCs w:val="21"/>
              </w:rPr>
            </w:pPr>
            <w:r>
              <w:rPr>
                <w:rFonts w:ascii="宋体" w:hAnsi="宋体" w:cs="宋体"/>
                <w:kern w:val="0"/>
                <w:szCs w:val="21"/>
              </w:rPr>
              <w:t>其他商务条款偏离情况</w:t>
            </w:r>
          </w:p>
        </w:tc>
        <w:tc>
          <w:tcPr>
            <w:tcW w:w="396" w:type="pct"/>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仿宋"/>
                <w:szCs w:val="21"/>
                <w:lang w:eastAsia="zh-CN"/>
              </w:rPr>
            </w:pPr>
            <w:r>
              <w:rPr>
                <w:rFonts w:hint="eastAsia" w:ascii="宋体" w:hAnsi="宋体" w:cs="宋体"/>
                <w:kern w:val="0"/>
                <w:szCs w:val="21"/>
                <w:lang w:val="en-US" w:eastAsia="zh-CN"/>
              </w:rPr>
              <w:t>2</w:t>
            </w:r>
          </w:p>
        </w:tc>
        <w:tc>
          <w:tcPr>
            <w:tcW w:w="3022" w:type="pct"/>
            <w:vAlign w:val="center"/>
          </w:tcPr>
          <w:p>
            <w:pPr>
              <w:keepNext w:val="0"/>
              <w:keepLines w:val="0"/>
              <w:pageBreakBefore w:val="0"/>
              <w:widowControl/>
              <w:kinsoku/>
              <w:wordWrap/>
              <w:overflowPunct/>
              <w:topLinePunct w:val="0"/>
              <w:bidi w:val="0"/>
              <w:spacing w:line="360" w:lineRule="auto"/>
              <w:textAlignment w:val="auto"/>
              <w:rPr>
                <w:rFonts w:ascii="宋体" w:hAnsi="宋体" w:cs="仿宋"/>
                <w:szCs w:val="21"/>
                <w:lang w:val="zh-CN"/>
              </w:rPr>
            </w:pPr>
            <w:r>
              <w:rPr>
                <w:rFonts w:hint="eastAsia" w:ascii="宋体" w:hAnsi="宋体" w:cs="仿宋"/>
                <w:szCs w:val="21"/>
                <w:lang w:val="zh-CN"/>
              </w:rPr>
              <w:t>投标人应如实填写《商务条款偏离表》，评审委员会根据其中其他商务条款响应情况进行评审：</w:t>
            </w:r>
          </w:p>
          <w:p>
            <w:pPr>
              <w:keepNext w:val="0"/>
              <w:keepLines w:val="0"/>
              <w:pageBreakBefore w:val="0"/>
              <w:widowControl/>
              <w:kinsoku/>
              <w:wordWrap/>
              <w:overflowPunct/>
              <w:topLinePunct w:val="0"/>
              <w:bidi w:val="0"/>
              <w:spacing w:line="360" w:lineRule="auto"/>
              <w:textAlignment w:val="auto"/>
              <w:rPr>
                <w:rFonts w:ascii="宋体" w:hAnsi="宋体" w:cs="仿宋"/>
                <w:szCs w:val="21"/>
                <w:lang w:val="zh-CN"/>
              </w:rPr>
            </w:pPr>
            <w:r>
              <w:rPr>
                <w:rFonts w:hint="eastAsia" w:ascii="宋体" w:hAnsi="宋体" w:cs="仿宋"/>
                <w:szCs w:val="21"/>
                <w:lang w:val="zh-CN"/>
              </w:rPr>
              <w:t>全部满足要求的得</w:t>
            </w:r>
            <w:r>
              <w:rPr>
                <w:rFonts w:hint="eastAsia" w:ascii="宋体" w:hAnsi="宋体" w:cs="仿宋"/>
                <w:szCs w:val="21"/>
                <w:lang w:val="en-US" w:eastAsia="zh-CN"/>
              </w:rPr>
              <w:t>2</w:t>
            </w:r>
            <w:r>
              <w:rPr>
                <w:rFonts w:hint="eastAsia" w:ascii="宋体" w:hAnsi="宋体" w:cs="仿宋"/>
                <w:szCs w:val="21"/>
                <w:lang w:val="zh-CN"/>
              </w:rPr>
              <w:t>分，每1小项负偏离扣1分，最低得0分。</w:t>
            </w:r>
          </w:p>
          <w:p>
            <w:pPr>
              <w:keepNext w:val="0"/>
              <w:keepLines w:val="0"/>
              <w:pageBreakBefore w:val="0"/>
              <w:widowControl/>
              <w:kinsoku/>
              <w:wordWrap/>
              <w:overflowPunct/>
              <w:topLinePunct w:val="0"/>
              <w:bidi w:val="0"/>
              <w:spacing w:line="360" w:lineRule="auto"/>
              <w:textAlignment w:val="auto"/>
              <w:rPr>
                <w:rFonts w:ascii="宋体" w:hAnsi="宋体" w:cs="仿宋"/>
                <w:szCs w:val="21"/>
              </w:rPr>
            </w:pPr>
            <w:r>
              <w:rPr>
                <w:rFonts w:hint="eastAsia" w:ascii="宋体" w:hAnsi="宋体" w:cs="仿宋"/>
                <w:szCs w:val="21"/>
                <w:lang w:val="zh-CN"/>
              </w:rPr>
              <w:t>商务要求中包含细项条款的，按细项条款响应情况逐项评分。</w:t>
            </w:r>
          </w:p>
        </w:tc>
        <w:tc>
          <w:tcPr>
            <w:tcW w:w="608" w:type="pct"/>
            <w:vAlign w:val="center"/>
          </w:tcPr>
          <w:p>
            <w:pPr>
              <w:keepNext w:val="0"/>
              <w:keepLines w:val="0"/>
              <w:pageBreakBefore w:val="0"/>
              <w:kinsoku/>
              <w:wordWrap/>
              <w:overflowPunct/>
              <w:topLinePunct w:val="0"/>
              <w:bidi w:val="0"/>
              <w:spacing w:line="360" w:lineRule="auto"/>
              <w:jc w:val="center"/>
              <w:textAlignment w:val="auto"/>
              <w:rPr>
                <w:rFonts w:ascii="宋体" w:hAnsi="宋体" w:cs="仿宋"/>
                <w:szCs w:val="21"/>
                <w:lang w:val="zh-CN"/>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386" w:type="pct"/>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ascii="宋体" w:hAnsi="宋体" w:cs="仿宋"/>
                <w:szCs w:val="21"/>
                <w:lang w:val="zh-CN"/>
              </w:rPr>
            </w:pPr>
            <w:r>
              <w:rPr>
                <w:rFonts w:hint="eastAsia" w:ascii="宋体" w:hAnsi="宋体" w:cs="仿宋"/>
                <w:szCs w:val="21"/>
              </w:rPr>
              <w:t>4</w:t>
            </w:r>
          </w:p>
        </w:tc>
        <w:tc>
          <w:tcPr>
            <w:tcW w:w="586" w:type="pct"/>
            <w:vAlign w:val="center"/>
          </w:tcPr>
          <w:p>
            <w:pPr>
              <w:keepNext w:val="0"/>
              <w:keepLines w:val="0"/>
              <w:pageBreakBefore w:val="0"/>
              <w:kinsoku/>
              <w:wordWrap/>
              <w:overflowPunct/>
              <w:topLinePunct w:val="0"/>
              <w:bidi w:val="0"/>
              <w:spacing w:line="360" w:lineRule="auto"/>
              <w:jc w:val="center"/>
              <w:textAlignment w:val="auto"/>
              <w:rPr>
                <w:rFonts w:ascii="宋体" w:hAnsi="宋体" w:cs="仿宋"/>
                <w:szCs w:val="21"/>
              </w:rPr>
            </w:pPr>
            <w:r>
              <w:rPr>
                <w:rFonts w:hint="eastAsia" w:ascii="宋体" w:hAnsi="宋体" w:cs="仿宋"/>
                <w:szCs w:val="21"/>
              </w:rPr>
              <w:t>诚信评审</w:t>
            </w:r>
          </w:p>
        </w:tc>
        <w:tc>
          <w:tcPr>
            <w:tcW w:w="396" w:type="pct"/>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仿宋"/>
                <w:szCs w:val="21"/>
                <w:lang w:eastAsia="zh-CN"/>
              </w:rPr>
            </w:pPr>
            <w:r>
              <w:rPr>
                <w:rFonts w:hint="eastAsia" w:ascii="宋体" w:hAnsi="宋体" w:cs="仿宋"/>
                <w:szCs w:val="21"/>
                <w:lang w:val="en-US" w:eastAsia="zh-CN"/>
              </w:rPr>
              <w:t>5</w:t>
            </w:r>
          </w:p>
        </w:tc>
        <w:tc>
          <w:tcPr>
            <w:tcW w:w="3022" w:type="pct"/>
            <w:vAlign w:val="center"/>
          </w:tcPr>
          <w:p>
            <w:pPr>
              <w:pStyle w:val="8"/>
              <w:keepNext w:val="0"/>
              <w:keepLines w:val="0"/>
              <w:pageBreakBefore w:val="0"/>
              <w:kinsoku/>
              <w:wordWrap/>
              <w:overflowPunct/>
              <w:topLinePunct w:val="0"/>
              <w:bidi w:val="0"/>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分。</w:t>
            </w:r>
          </w:p>
          <w:p>
            <w:pPr>
              <w:keepNext w:val="0"/>
              <w:keepLines w:val="0"/>
              <w:pageBreakBefore w:val="0"/>
              <w:tabs>
                <w:tab w:val="left" w:pos="175"/>
              </w:tabs>
              <w:kinsoku/>
              <w:wordWrap/>
              <w:overflowPunct/>
              <w:topLinePunct w:val="0"/>
              <w:bidi w:val="0"/>
              <w:spacing w:line="360" w:lineRule="auto"/>
              <w:jc w:val="left"/>
              <w:textAlignment w:val="auto"/>
              <w:rPr>
                <w:rFonts w:ascii="宋体" w:hAnsi="宋体" w:cs="仿宋"/>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608" w:type="pct"/>
            <w:vAlign w:val="center"/>
          </w:tcPr>
          <w:p>
            <w:pPr>
              <w:keepNext w:val="0"/>
              <w:keepLines w:val="0"/>
              <w:pageBreakBefore w:val="0"/>
              <w:kinsoku/>
              <w:wordWrap/>
              <w:overflowPunct/>
              <w:topLinePunct w:val="0"/>
              <w:bidi w:val="0"/>
              <w:spacing w:line="360" w:lineRule="auto"/>
              <w:jc w:val="center"/>
              <w:textAlignment w:val="auto"/>
              <w:rPr>
                <w:rFonts w:ascii="宋体" w:hAnsi="宋体" w:cs="仿宋"/>
                <w:szCs w:val="21"/>
                <w:lang w:val="zh-CN"/>
              </w:rPr>
            </w:pPr>
            <w:r>
              <w:rPr>
                <w:rFonts w:hint="eastAsia" w:ascii="宋体" w:hAnsi="宋体" w:cs="仿宋"/>
                <w:szCs w:val="21"/>
              </w:rPr>
              <w:t>评委打分</w:t>
            </w:r>
          </w:p>
        </w:tc>
      </w:tr>
    </w:tbl>
    <w:p>
      <w:pPr>
        <w:pStyle w:val="2"/>
        <w:spacing w:before="0" w:after="0"/>
        <w:jc w:val="left"/>
        <w:rPr>
          <w:rFonts w:asciiTheme="minorEastAsia" w:hAnsiTheme="minorEastAsia"/>
          <w:bCs w:val="0"/>
          <w:sz w:val="21"/>
          <w:szCs w:val="21"/>
        </w:rPr>
      </w:pPr>
      <w:r>
        <w:rPr>
          <w:rFonts w:hint="eastAsia" w:asciiTheme="minorEastAsia" w:hAnsiTheme="minorEastAsia"/>
          <w:bCs w:val="0"/>
          <w:sz w:val="21"/>
          <w:szCs w:val="21"/>
        </w:rPr>
        <w:t>备注：</w:t>
      </w:r>
    </w:p>
    <w:p>
      <w:pPr>
        <w:pStyle w:val="3"/>
        <w:spacing w:before="0" w:after="0"/>
      </w:pPr>
      <w:bookmarkStart w:id="1" w:name="_Toc135293327"/>
      <w:r>
        <w:rPr>
          <w:rFonts w:hint="eastAsia"/>
        </w:rPr>
        <w:t>1、资质证书有效期</w:t>
      </w:r>
      <w:bookmarkEnd w:id="1"/>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3"/>
        <w:spacing w:before="0" w:after="0"/>
        <w:rPr>
          <w:rFonts w:asciiTheme="minorEastAsia" w:hAnsiTheme="minorEastAsia" w:eastAsiaTheme="minorEastAsia"/>
        </w:rPr>
      </w:pPr>
      <w:bookmarkStart w:id="2" w:name="_Toc135293328"/>
      <w:r>
        <w:rPr>
          <w:rFonts w:hint="eastAsia" w:asciiTheme="minorEastAsia" w:hAnsiTheme="minorEastAsia" w:eastAsiaTheme="minorEastAsia"/>
        </w:rPr>
        <w:t>2、政府采购扶持政策</w:t>
      </w:r>
      <w:bookmarkEnd w:id="2"/>
    </w:p>
    <w:p>
      <w:pPr>
        <w:spacing w:line="360" w:lineRule="auto"/>
        <w:ind w:firstLine="424" w:firstLineChars="202"/>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pPr>
        <w:widowControl/>
        <w:spacing w:after="156" w:afterLines="50" w:line="360" w:lineRule="auto"/>
        <w:ind w:firstLine="424" w:firstLineChars="202"/>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pPr>
        <w:adjustRightInd w:val="0"/>
        <w:snapToGrid w:val="0"/>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。对于同时属于小微企业、监狱企业或残疾人福利性单位的，不重复进行投标报价扣除。</w:t>
      </w:r>
    </w:p>
    <w:p>
      <w:pPr>
        <w:adjustRightInd w:val="0"/>
        <w:snapToGrid w:val="0"/>
        <w:spacing w:line="360" w:lineRule="auto"/>
        <w:ind w:firstLine="426" w:firstLineChars="202"/>
        <w:rPr>
          <w:rFonts w:asciiTheme="minorEastAsia" w:hAnsiTheme="minorEastAsia" w:eastAsiaTheme="minorEastAsia"/>
          <w:szCs w:val="21"/>
        </w:rPr>
      </w:pPr>
      <w:r>
        <w:rPr>
          <w:rFonts w:hint="eastAsia" w:ascii="宋体" w:hAnsi="宋体"/>
          <w:b/>
          <w:szCs w:val="21"/>
          <w:highlight w:val="yellow"/>
        </w:rPr>
        <w:t>本项目所属行业为</w:t>
      </w:r>
      <w:r>
        <w:rPr>
          <w:rFonts w:hint="eastAsia" w:ascii="宋体" w:hAnsi="宋体"/>
          <w:b/>
          <w:szCs w:val="21"/>
          <w:highlight w:val="yellow"/>
          <w:u w:val="single"/>
        </w:rPr>
        <w:t xml:space="preserve">  工业  </w:t>
      </w:r>
      <w:r>
        <w:rPr>
          <w:rFonts w:hint="eastAsia" w:ascii="宋体" w:hAnsi="宋体"/>
          <w:b/>
          <w:szCs w:val="21"/>
          <w:highlight w:val="yellow"/>
        </w:rPr>
        <w:t>。</w:t>
      </w:r>
      <w:r>
        <w:rPr>
          <w:rFonts w:hint="eastAsia" w:ascii="宋体" w:hAnsi="宋体"/>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adjustRightInd w:val="0"/>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p>
    <w:p>
      <w:pPr>
        <w:spacing w:line="360" w:lineRule="auto"/>
        <w:ind w:firstLine="424" w:firstLineChars="202"/>
        <w:jc w:val="left"/>
        <w:rPr>
          <w:rFonts w:asciiTheme="minorEastAsia" w:hAnsiTheme="minorEastAsia" w:eastAsiaTheme="minorEastAsia"/>
        </w:rPr>
      </w:pPr>
      <w:r>
        <w:rPr>
          <w:rFonts w:hint="eastAsia" w:asciiTheme="minorEastAsia" w:hAnsiTheme="minorEastAsia" w:eastAsiaTheme="minorEastAsia"/>
        </w:rPr>
        <w:t>联合体各方均为小型、微型企业、监狱企业和</w:t>
      </w:r>
      <w:r>
        <w:rPr>
          <w:rFonts w:hint="eastAsia" w:ascii="宋体" w:hAnsi="宋体"/>
        </w:rPr>
        <w:t>残疾人福利性单位</w:t>
      </w:r>
      <w:r>
        <w:rPr>
          <w:rFonts w:hint="eastAsia" w:asciiTheme="minorEastAsia" w:hAnsiTheme="minorEastAsia" w:eastAsiaTheme="minorEastAsia"/>
        </w:rPr>
        <w:t>的，联合体视同为小型、微型企业、监狱企业和</w:t>
      </w:r>
      <w:r>
        <w:rPr>
          <w:rFonts w:hint="eastAsia" w:ascii="宋体" w:hAnsi="宋体"/>
        </w:rPr>
        <w:t>残疾人福利性单位</w:t>
      </w:r>
      <w:r>
        <w:rPr>
          <w:rFonts w:hint="eastAsia" w:asciiTheme="minorEastAsia" w:hAnsiTheme="minorEastAsia" w:eastAsiaTheme="minorEastAsia"/>
        </w:rPr>
        <w:t>，均享受</w:t>
      </w:r>
      <w:r>
        <w:rPr>
          <w:rFonts w:hint="eastAsia" w:asciiTheme="minorEastAsia" w:hAnsiTheme="minorEastAsia" w:eastAsiaTheme="minorEastAsia"/>
          <w:b/>
          <w:bCs/>
        </w:rPr>
        <w:t>本章政府采购扶持政策第一款</w:t>
      </w:r>
      <w:r>
        <w:rPr>
          <w:rFonts w:hint="eastAsia" w:asciiTheme="minorEastAsia" w:hAnsiTheme="minorEastAsia" w:eastAsiaTheme="minorEastAsia"/>
        </w:rPr>
        <w:t>的优惠政策。</w:t>
      </w:r>
    </w:p>
    <w:p>
      <w:pPr>
        <w:spacing w:line="360" w:lineRule="auto"/>
        <w:ind w:firstLine="424" w:firstLineChars="202"/>
        <w:jc w:val="left"/>
        <w:rPr>
          <w:rFonts w:asciiTheme="minorEastAsia" w:hAnsiTheme="minorEastAsia" w:eastAsiaTheme="minorEastAsia"/>
        </w:rPr>
      </w:pPr>
      <w:r>
        <w:rPr>
          <w:rFonts w:hint="eastAsia" w:asciiTheme="minorEastAsia" w:hAnsiTheme="minorEastAsia" w:eastAsiaTheme="minorEastAsia"/>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（4）投标产品属于《关于调整优化节能产品环境标志产品政府采购执行机制的通知》（财库〔2019〕9号）、《关于印发环境标志产品政府采购品目清单的通知》（财库〔2019〕18号）和《关于印发节能产品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对符合条件的获证产品（强制采购产品除外）</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r>
        <w:rPr>
          <w:rFonts w:hint="eastAsia" w:asciiTheme="minorEastAsia" w:hAnsiTheme="minorEastAsia" w:eastAsiaTheme="minorEastAsia"/>
          <w:szCs w:val="21"/>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02DE70"/>
    <w:multiLevelType w:val="singleLevel"/>
    <w:tmpl w:val="0D02DE7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M2Y2MTYwMDMxNDU2MTZiYjY1MzkzNDdkYmNhZGUifQ=="/>
  </w:docVars>
  <w:rsids>
    <w:rsidRoot w:val="278E5D21"/>
    <w:rsid w:val="033349F2"/>
    <w:rsid w:val="278E5D21"/>
    <w:rsid w:val="54121367"/>
    <w:rsid w:val="752D5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qFormat/>
    <w:uiPriority w:val="0"/>
    <w:pPr>
      <w:keepNext/>
      <w:keepLines/>
      <w:spacing w:before="260" w:after="260" w:line="416" w:lineRule="auto"/>
      <w:jc w:val="left"/>
      <w:outlineLvl w:val="2"/>
    </w:pPr>
    <w:rPr>
      <w:b/>
      <w:bCs/>
      <w:sz w:val="24"/>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annotation text"/>
    <w:basedOn w:val="1"/>
    <w:qFormat/>
    <w:uiPriority w:val="0"/>
    <w:pPr>
      <w:jc w:val="left"/>
    </w:pPr>
  </w:style>
  <w:style w:type="paragraph" w:customStyle="1" w:styleId="8">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2023-11-14T04:28:00Z</dcterms:created>
  <dc:creator>中正招标杨工</dc:creator>
  <cp:lastModifiedBy>中正招标杨工</cp:lastModifiedBy>
  <dcterms:modified xsi:type="dcterms:W3CDTF">2023-11-14T07:30:16Z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3B558CCFED064BE995CE246560BE69A3_11</vt:lpwstr>
  </property>
</Properties>
</file>