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7"/>
        <w:spacing w:before="454" w:after="454"/>
        <w:ind w:left="454" w:right="454"/>
        <w:jc w:val="center"/>
        <w:outlineLvl w:val="0"/>
        <w:rPr>
          <w:sz w:val="40"/>
          <w:szCs w:val="40"/>
        </w:rPr>
      </w:pPr>
      <w:r>
        <w:rPr>
          <w:sz w:val="40"/>
          <w:szCs w:val="40"/>
        </w:rPr>
        <w:t>深圳市眼科医院全成本核算系统项目</w:t>
      </w:r>
    </w:p>
    <w:p>
      <w:pPr>
        <w:pStyle w:val="37"/>
        <w:jc w:val="center"/>
        <w:outlineLvl w:val="1"/>
        <w:rPr>
          <w:rFonts w:ascii="黑体" w:hAnsi="黑体" w:eastAsia="黑体"/>
          <w:sz w:val="40"/>
          <w:szCs w:val="40"/>
        </w:rPr>
      </w:pPr>
      <w:r>
        <w:rPr>
          <w:rFonts w:hint="eastAsia" w:ascii="黑体" w:hAnsi="黑体" w:eastAsia="黑体"/>
          <w:sz w:val="40"/>
          <w:szCs w:val="40"/>
        </w:rPr>
        <w:t>招标文件信息</w:t>
      </w:r>
    </w:p>
    <w:tbl>
      <w:tblPr>
        <w:tblStyle w:val="42"/>
        <w:tblW w:w="7938" w:type="dxa"/>
        <w:jc w:val="center"/>
        <w:tblCellSpacing w:w="0" w:type="dxa"/>
        <w:tblLayout w:type="autofit"/>
        <w:tblCellMar>
          <w:top w:w="45" w:type="dxa"/>
          <w:left w:w="45" w:type="dxa"/>
          <w:bottom w:w="45" w:type="dxa"/>
          <w:right w:w="45" w:type="dxa"/>
        </w:tblCellMar>
      </w:tblPr>
      <w:tblGrid>
        <w:gridCol w:w="2722"/>
        <w:gridCol w:w="5216"/>
      </w:tblGrid>
      <w:tr>
        <w:tblPrEx>
          <w:tblCellMar>
            <w:top w:w="45" w:type="dxa"/>
            <w:left w:w="45" w:type="dxa"/>
            <w:bottom w:w="45" w:type="dxa"/>
            <w:right w:w="45" w:type="dxa"/>
          </w:tblCellMar>
        </w:tblPrEx>
        <w:trPr>
          <w:trHeight w:val="737" w:hRule="atLeast"/>
          <w:tblCellSpacing w:w="0" w:type="dxa"/>
          <w:jc w:val="center"/>
        </w:trPr>
        <w:tc>
          <w:tcPr>
            <w:tcW w:w="2722" w:type="dxa"/>
            <w:vAlign w:val="center"/>
          </w:tcPr>
          <w:p>
            <w:pPr>
              <w:jc w:val="right"/>
              <w:rPr>
                <w:rFonts w:ascii="宋体" w:hAnsi="宋体" w:cs="宋体"/>
                <w:sz w:val="30"/>
                <w:szCs w:val="30"/>
              </w:rPr>
            </w:pPr>
            <w:r>
              <w:rPr>
                <w:sz w:val="30"/>
                <w:szCs w:val="30"/>
              </w:rPr>
              <w:t>项目编号：</w:t>
            </w:r>
          </w:p>
        </w:tc>
        <w:tc>
          <w:tcPr>
            <w:tcW w:w="0" w:type="auto"/>
            <w:vAlign w:val="center"/>
          </w:tcPr>
          <w:p>
            <w:pPr>
              <w:rPr>
                <w:rFonts w:ascii="宋体" w:hAnsi="宋体" w:cs="宋体"/>
                <w:sz w:val="30"/>
                <w:szCs w:val="30"/>
              </w:rPr>
            </w:pPr>
            <w:r>
              <w:rPr>
                <w:sz w:val="30"/>
                <w:szCs w:val="30"/>
              </w:rPr>
              <w:t>SZCG2021200859</w:t>
            </w:r>
          </w:p>
        </w:tc>
      </w:tr>
      <w:tr>
        <w:tblPrEx>
          <w:tblCellMar>
            <w:top w:w="45" w:type="dxa"/>
            <w:left w:w="45" w:type="dxa"/>
            <w:bottom w:w="45" w:type="dxa"/>
            <w:right w:w="45" w:type="dxa"/>
          </w:tblCellMar>
        </w:tblPrEx>
        <w:trPr>
          <w:trHeight w:val="737" w:hRule="atLeast"/>
          <w:tblCellSpacing w:w="0" w:type="dxa"/>
          <w:jc w:val="center"/>
        </w:trPr>
        <w:tc>
          <w:tcPr>
            <w:tcW w:w="0" w:type="auto"/>
            <w:vAlign w:val="center"/>
          </w:tcPr>
          <w:p>
            <w:pPr>
              <w:jc w:val="right"/>
              <w:rPr>
                <w:rFonts w:ascii="宋体" w:hAnsi="宋体" w:cs="宋体"/>
                <w:sz w:val="30"/>
                <w:szCs w:val="30"/>
              </w:rPr>
            </w:pPr>
            <w:r>
              <w:rPr>
                <w:sz w:val="30"/>
                <w:szCs w:val="30"/>
              </w:rPr>
              <w:t>项目名称：</w:t>
            </w:r>
          </w:p>
        </w:tc>
        <w:tc>
          <w:tcPr>
            <w:tcW w:w="0" w:type="auto"/>
            <w:vAlign w:val="center"/>
          </w:tcPr>
          <w:p>
            <w:pPr>
              <w:rPr>
                <w:rFonts w:ascii="宋体" w:hAnsi="宋体" w:cs="宋体"/>
                <w:sz w:val="30"/>
                <w:szCs w:val="30"/>
              </w:rPr>
            </w:pPr>
            <w:r>
              <w:rPr>
                <w:sz w:val="30"/>
                <w:szCs w:val="30"/>
              </w:rPr>
              <w:t>深圳市眼科医院全成本核算系统项目</w:t>
            </w:r>
          </w:p>
        </w:tc>
      </w:tr>
      <w:tr>
        <w:tblPrEx>
          <w:tblCellMar>
            <w:top w:w="45" w:type="dxa"/>
            <w:left w:w="45" w:type="dxa"/>
            <w:bottom w:w="45" w:type="dxa"/>
            <w:right w:w="45" w:type="dxa"/>
          </w:tblCellMar>
        </w:tblPrEx>
        <w:trPr>
          <w:trHeight w:val="737" w:hRule="atLeast"/>
          <w:tblCellSpacing w:w="0" w:type="dxa"/>
          <w:jc w:val="center"/>
        </w:trPr>
        <w:tc>
          <w:tcPr>
            <w:tcW w:w="0" w:type="auto"/>
            <w:vAlign w:val="center"/>
          </w:tcPr>
          <w:p>
            <w:pPr>
              <w:jc w:val="right"/>
              <w:rPr>
                <w:rFonts w:ascii="宋体" w:hAnsi="宋体" w:cs="宋体"/>
                <w:sz w:val="30"/>
                <w:szCs w:val="30"/>
              </w:rPr>
            </w:pPr>
            <w:r>
              <w:rPr>
                <w:sz w:val="30"/>
                <w:szCs w:val="30"/>
              </w:rPr>
              <w:t>包 号：</w:t>
            </w:r>
          </w:p>
        </w:tc>
        <w:tc>
          <w:tcPr>
            <w:tcW w:w="0" w:type="auto"/>
            <w:vAlign w:val="center"/>
          </w:tcPr>
          <w:p>
            <w:pPr>
              <w:rPr>
                <w:rFonts w:ascii="宋体" w:hAnsi="宋体" w:cs="宋体"/>
                <w:sz w:val="30"/>
                <w:szCs w:val="30"/>
              </w:rPr>
            </w:pPr>
            <w:r>
              <w:rPr>
                <w:sz w:val="30"/>
                <w:szCs w:val="30"/>
              </w:rPr>
              <w:t>A</w:t>
            </w:r>
          </w:p>
        </w:tc>
      </w:tr>
      <w:tr>
        <w:tblPrEx>
          <w:tblCellMar>
            <w:top w:w="45" w:type="dxa"/>
            <w:left w:w="45" w:type="dxa"/>
            <w:bottom w:w="45" w:type="dxa"/>
            <w:right w:w="45" w:type="dxa"/>
          </w:tblCellMar>
        </w:tblPrEx>
        <w:trPr>
          <w:trHeight w:val="737" w:hRule="atLeast"/>
          <w:tblCellSpacing w:w="0" w:type="dxa"/>
          <w:jc w:val="center"/>
        </w:trPr>
        <w:tc>
          <w:tcPr>
            <w:tcW w:w="0" w:type="auto"/>
            <w:vAlign w:val="center"/>
          </w:tcPr>
          <w:p>
            <w:pPr>
              <w:jc w:val="right"/>
              <w:rPr>
                <w:rFonts w:ascii="宋体" w:hAnsi="宋体" w:cs="宋体"/>
                <w:sz w:val="30"/>
                <w:szCs w:val="30"/>
              </w:rPr>
            </w:pPr>
            <w:r>
              <w:rPr>
                <w:sz w:val="30"/>
                <w:szCs w:val="30"/>
              </w:rPr>
              <w:t>项目类型：</w:t>
            </w:r>
          </w:p>
        </w:tc>
        <w:tc>
          <w:tcPr>
            <w:tcW w:w="0" w:type="auto"/>
            <w:vAlign w:val="center"/>
          </w:tcPr>
          <w:p>
            <w:pPr>
              <w:rPr>
                <w:rFonts w:ascii="宋体" w:hAnsi="宋体" w:cs="宋体"/>
                <w:sz w:val="30"/>
                <w:szCs w:val="30"/>
              </w:rPr>
            </w:pPr>
            <w:r>
              <w:rPr>
                <w:sz w:val="30"/>
                <w:szCs w:val="30"/>
              </w:rPr>
              <w:t>服务类</w:t>
            </w:r>
          </w:p>
        </w:tc>
      </w:tr>
      <w:tr>
        <w:tblPrEx>
          <w:tblCellMar>
            <w:top w:w="45" w:type="dxa"/>
            <w:left w:w="45" w:type="dxa"/>
            <w:bottom w:w="45" w:type="dxa"/>
            <w:right w:w="45" w:type="dxa"/>
          </w:tblCellMar>
        </w:tblPrEx>
        <w:trPr>
          <w:trHeight w:val="737" w:hRule="atLeast"/>
          <w:tblCellSpacing w:w="0" w:type="dxa"/>
          <w:jc w:val="center"/>
        </w:trPr>
        <w:tc>
          <w:tcPr>
            <w:tcW w:w="0" w:type="auto"/>
            <w:vAlign w:val="center"/>
          </w:tcPr>
          <w:p>
            <w:pPr>
              <w:jc w:val="right"/>
              <w:rPr>
                <w:rFonts w:ascii="宋体" w:hAnsi="宋体" w:cs="宋体"/>
                <w:sz w:val="30"/>
                <w:szCs w:val="30"/>
              </w:rPr>
            </w:pPr>
            <w:r>
              <w:rPr>
                <w:sz w:val="30"/>
                <w:szCs w:val="30"/>
              </w:rPr>
              <w:t>采购方式：</w:t>
            </w:r>
          </w:p>
        </w:tc>
        <w:tc>
          <w:tcPr>
            <w:tcW w:w="0" w:type="auto"/>
            <w:vAlign w:val="center"/>
          </w:tcPr>
          <w:p>
            <w:pPr>
              <w:rPr>
                <w:rFonts w:ascii="宋体" w:hAnsi="宋体" w:cs="宋体"/>
                <w:sz w:val="30"/>
                <w:szCs w:val="30"/>
              </w:rPr>
            </w:pPr>
            <w:r>
              <w:rPr>
                <w:sz w:val="30"/>
                <w:szCs w:val="30"/>
              </w:rPr>
              <w:t>公开招标</w:t>
            </w:r>
          </w:p>
        </w:tc>
      </w:tr>
      <w:tr>
        <w:tblPrEx>
          <w:tblCellMar>
            <w:top w:w="45" w:type="dxa"/>
            <w:left w:w="45" w:type="dxa"/>
            <w:bottom w:w="45" w:type="dxa"/>
            <w:right w:w="45" w:type="dxa"/>
          </w:tblCellMar>
        </w:tblPrEx>
        <w:trPr>
          <w:trHeight w:val="737" w:hRule="atLeast"/>
          <w:tblCellSpacing w:w="0" w:type="dxa"/>
          <w:jc w:val="center"/>
        </w:trPr>
        <w:tc>
          <w:tcPr>
            <w:tcW w:w="0" w:type="auto"/>
            <w:vAlign w:val="center"/>
          </w:tcPr>
          <w:p>
            <w:pPr>
              <w:jc w:val="right"/>
              <w:rPr>
                <w:rFonts w:ascii="宋体" w:hAnsi="宋体" w:cs="宋体"/>
                <w:sz w:val="30"/>
                <w:szCs w:val="30"/>
              </w:rPr>
            </w:pPr>
            <w:r>
              <w:rPr>
                <w:sz w:val="30"/>
                <w:szCs w:val="30"/>
              </w:rPr>
              <w:t>货币类型：</w:t>
            </w:r>
          </w:p>
        </w:tc>
        <w:tc>
          <w:tcPr>
            <w:tcW w:w="0" w:type="auto"/>
            <w:vAlign w:val="center"/>
          </w:tcPr>
          <w:p>
            <w:pPr>
              <w:rPr>
                <w:rFonts w:ascii="宋体" w:hAnsi="宋体" w:cs="宋体"/>
                <w:sz w:val="30"/>
                <w:szCs w:val="30"/>
              </w:rPr>
            </w:pPr>
            <w:r>
              <w:rPr>
                <w:sz w:val="30"/>
                <w:szCs w:val="30"/>
              </w:rPr>
              <w:t>人民币</w:t>
            </w:r>
          </w:p>
        </w:tc>
      </w:tr>
      <w:tr>
        <w:tblPrEx>
          <w:tblCellMar>
            <w:top w:w="45" w:type="dxa"/>
            <w:left w:w="45" w:type="dxa"/>
            <w:bottom w:w="45" w:type="dxa"/>
            <w:right w:w="45" w:type="dxa"/>
          </w:tblCellMar>
        </w:tblPrEx>
        <w:trPr>
          <w:trHeight w:val="737" w:hRule="atLeast"/>
          <w:tblCellSpacing w:w="0" w:type="dxa"/>
          <w:jc w:val="center"/>
        </w:trPr>
        <w:tc>
          <w:tcPr>
            <w:tcW w:w="0" w:type="auto"/>
            <w:vAlign w:val="center"/>
          </w:tcPr>
          <w:p>
            <w:pPr>
              <w:jc w:val="right"/>
              <w:rPr>
                <w:rFonts w:ascii="宋体" w:hAnsi="宋体" w:cs="宋体"/>
                <w:sz w:val="30"/>
                <w:szCs w:val="30"/>
              </w:rPr>
            </w:pPr>
            <w:r>
              <w:rPr>
                <w:sz w:val="30"/>
                <w:szCs w:val="30"/>
              </w:rPr>
              <w:t>评标方法：</w:t>
            </w:r>
          </w:p>
        </w:tc>
        <w:tc>
          <w:tcPr>
            <w:tcW w:w="0" w:type="auto"/>
            <w:vAlign w:val="center"/>
          </w:tcPr>
          <w:p>
            <w:pPr>
              <w:rPr>
                <w:rFonts w:ascii="宋体" w:hAnsi="宋体" w:cs="宋体"/>
                <w:sz w:val="30"/>
                <w:szCs w:val="30"/>
              </w:rPr>
            </w:pPr>
            <w:r>
              <w:rPr>
                <w:sz w:val="30"/>
                <w:szCs w:val="30"/>
              </w:rPr>
              <w:t>综合评分法（新价格分算法）</w:t>
            </w:r>
          </w:p>
        </w:tc>
      </w:tr>
    </w:tbl>
    <w:p>
      <w:pPr>
        <w:pStyle w:val="37"/>
        <w:jc w:val="center"/>
        <w:outlineLvl w:val="1"/>
        <w:rPr>
          <w:rFonts w:hint="eastAsia" w:ascii="黑体" w:hAnsi="黑体" w:eastAsia="黑体"/>
          <w:sz w:val="40"/>
          <w:szCs w:val="40"/>
        </w:rPr>
      </w:pPr>
      <w:r>
        <w:rPr>
          <w:rFonts w:hint="eastAsia" w:ascii="黑体" w:hAnsi="黑体" w:eastAsia="黑体"/>
          <w:sz w:val="40"/>
          <w:szCs w:val="40"/>
        </w:rPr>
        <w:t>资格性审查表</w:t>
      </w:r>
    </w:p>
    <w:tbl>
      <w:tblPr>
        <w:tblStyle w:val="42"/>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794"/>
        <w:gridCol w:w="827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pPr>
              <w:jc w:val="center"/>
              <w:rPr>
                <w:rFonts w:ascii="宋体" w:hAnsi="宋体" w:cs="宋体"/>
                <w:sz w:val="28"/>
                <w:szCs w:val="28"/>
              </w:rPr>
            </w:pPr>
            <w:r>
              <w:rPr>
                <w:sz w:val="28"/>
                <w:szCs w:val="28"/>
              </w:rPr>
              <w:t>序号</w:t>
            </w:r>
          </w:p>
        </w:tc>
        <w:tc>
          <w:tcPr>
            <w:tcW w:w="0" w:type="auto"/>
            <w:tcBorders>
              <w:top w:val="single" w:color="000000" w:sz="8" w:space="0"/>
              <w:left w:val="single" w:color="000000" w:sz="8" w:space="0"/>
              <w:bottom w:val="single" w:color="000000" w:sz="8" w:space="0"/>
              <w:right w:val="single" w:color="000000" w:sz="8" w:space="0"/>
            </w:tcBorders>
            <w:shd w:val="clear" w:color="auto" w:fill="E6EFFA"/>
            <w:vAlign w:val="center"/>
          </w:tcPr>
          <w:p>
            <w:pPr>
              <w:jc w:val="center"/>
              <w:rPr>
                <w:rFonts w:ascii="宋体" w:hAnsi="宋体" w:cs="宋体"/>
                <w:sz w:val="28"/>
                <w:szCs w:val="28"/>
              </w:rPr>
            </w:pPr>
            <w:r>
              <w:rPr>
                <w:sz w:val="28"/>
                <w:szCs w:val="28"/>
              </w:rPr>
              <w:t>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jc w:val="center"/>
              <w:rPr>
                <w:rFonts w:ascii="宋体" w:hAnsi="宋体" w:cs="宋体"/>
                <w:szCs w:val="21"/>
              </w:rPr>
            </w:pPr>
            <w:r>
              <w:rPr>
                <w:szCs w:val="21"/>
              </w:rPr>
              <w:t>1</w:t>
            </w:r>
          </w:p>
        </w:tc>
        <w:tc>
          <w:tcPr>
            <w:tcW w:w="0" w:type="auto"/>
            <w:tcBorders>
              <w:top w:val="single" w:color="000000" w:sz="8" w:space="0"/>
              <w:left w:val="single" w:color="000000" w:sz="8" w:space="0"/>
              <w:bottom w:val="single" w:color="000000" w:sz="8" w:space="0"/>
              <w:right w:val="single" w:color="000000" w:sz="8" w:space="0"/>
            </w:tcBorders>
          </w:tcPr>
          <w:p>
            <w:pPr>
              <w:rPr>
                <w:rFonts w:ascii="宋体" w:hAnsi="宋体" w:cs="宋体"/>
                <w:szCs w:val="21"/>
              </w:rPr>
            </w:pPr>
            <w:r>
              <w:rPr>
                <w:szCs w:val="21"/>
              </w:rPr>
              <w:t>投标人不符合资格要求，或未提交相应的资格证明资料（详见招标公告投标人资格要求，即申请人的资格要求）</w:t>
            </w:r>
          </w:p>
        </w:tc>
      </w:tr>
    </w:tbl>
    <w:p>
      <w:pPr>
        <w:pStyle w:val="37"/>
        <w:spacing w:before="280"/>
        <w:jc w:val="center"/>
        <w:outlineLvl w:val="1"/>
        <w:rPr>
          <w:rFonts w:hint="eastAsia" w:ascii="黑体" w:hAnsi="黑体" w:eastAsia="黑体"/>
          <w:sz w:val="40"/>
          <w:szCs w:val="40"/>
        </w:rPr>
      </w:pPr>
      <w:r>
        <w:rPr>
          <w:rFonts w:hint="eastAsia" w:ascii="黑体" w:hAnsi="黑体" w:eastAsia="黑体"/>
          <w:sz w:val="40"/>
          <w:szCs w:val="40"/>
        </w:rPr>
        <w:t>符合性审查表</w:t>
      </w:r>
    </w:p>
    <w:tbl>
      <w:tblPr>
        <w:tblStyle w:val="42"/>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794"/>
        <w:gridCol w:w="827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pPr>
              <w:jc w:val="center"/>
              <w:rPr>
                <w:rFonts w:ascii="宋体" w:hAnsi="宋体" w:cs="宋体"/>
                <w:sz w:val="28"/>
                <w:szCs w:val="28"/>
              </w:rPr>
            </w:pPr>
            <w:r>
              <w:rPr>
                <w:sz w:val="28"/>
                <w:szCs w:val="28"/>
              </w:rPr>
              <w:t>序号</w:t>
            </w:r>
          </w:p>
        </w:tc>
        <w:tc>
          <w:tcPr>
            <w:tcW w:w="0" w:type="auto"/>
            <w:tcBorders>
              <w:top w:val="single" w:color="000000" w:sz="8" w:space="0"/>
              <w:left w:val="single" w:color="000000" w:sz="8" w:space="0"/>
              <w:bottom w:val="single" w:color="000000" w:sz="8" w:space="0"/>
              <w:right w:val="single" w:color="000000" w:sz="8" w:space="0"/>
            </w:tcBorders>
            <w:shd w:val="clear" w:color="auto" w:fill="E6EFFA"/>
            <w:vAlign w:val="center"/>
          </w:tcPr>
          <w:p>
            <w:pPr>
              <w:jc w:val="center"/>
              <w:rPr>
                <w:rFonts w:ascii="宋体" w:hAnsi="宋体" w:cs="宋体"/>
                <w:sz w:val="28"/>
                <w:szCs w:val="28"/>
              </w:rPr>
            </w:pPr>
            <w:r>
              <w:rPr>
                <w:sz w:val="28"/>
                <w:szCs w:val="28"/>
              </w:rPr>
              <w:t>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jc w:val="center"/>
              <w:rPr>
                <w:rFonts w:ascii="宋体" w:hAnsi="宋体" w:cs="宋体"/>
                <w:szCs w:val="21"/>
              </w:rPr>
            </w:pPr>
            <w:r>
              <w:rPr>
                <w:szCs w:val="21"/>
              </w:rPr>
              <w:t>1</w:t>
            </w:r>
          </w:p>
        </w:tc>
        <w:tc>
          <w:tcPr>
            <w:tcW w:w="0" w:type="auto"/>
            <w:tcBorders>
              <w:top w:val="single" w:color="000000" w:sz="8" w:space="0"/>
              <w:left w:val="single" w:color="000000" w:sz="8" w:space="0"/>
              <w:bottom w:val="single" w:color="000000" w:sz="8" w:space="0"/>
              <w:right w:val="single" w:color="000000" w:sz="8" w:space="0"/>
            </w:tcBorders>
          </w:tcPr>
          <w:p>
            <w:pPr>
              <w:rPr>
                <w:rFonts w:ascii="宋体" w:hAnsi="宋体" w:cs="宋体"/>
                <w:szCs w:val="21"/>
              </w:rPr>
            </w:pPr>
            <w:r>
              <w:rPr>
                <w:szCs w:val="21"/>
              </w:rPr>
              <w:t>将一个包或一个标段的内容拆开投标；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jc w:val="center"/>
              <w:rPr>
                <w:rFonts w:ascii="宋体" w:hAnsi="宋体" w:cs="宋体"/>
                <w:szCs w:val="21"/>
              </w:rPr>
            </w:pPr>
            <w:r>
              <w:rPr>
                <w:szCs w:val="21"/>
              </w:rPr>
              <w:t>2</w:t>
            </w:r>
          </w:p>
        </w:tc>
        <w:tc>
          <w:tcPr>
            <w:tcW w:w="0" w:type="auto"/>
            <w:tcBorders>
              <w:top w:val="single" w:color="000000" w:sz="8" w:space="0"/>
              <w:left w:val="single" w:color="000000" w:sz="8" w:space="0"/>
              <w:bottom w:val="single" w:color="000000" w:sz="8" w:space="0"/>
              <w:right w:val="single" w:color="000000" w:sz="8" w:space="0"/>
            </w:tcBorders>
          </w:tcPr>
          <w:p>
            <w:pPr>
              <w:rPr>
                <w:rFonts w:ascii="宋体" w:hAnsi="宋体" w:cs="宋体"/>
                <w:szCs w:val="21"/>
              </w:rPr>
            </w:pPr>
            <w:r>
              <w:rPr>
                <w:szCs w:val="21"/>
              </w:rPr>
              <w:t>对同一项目投标时，提供两套以上的投标方案（招标文件另有规定的除外）；</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jc w:val="center"/>
              <w:rPr>
                <w:rFonts w:ascii="宋体" w:hAnsi="宋体" w:cs="宋体"/>
                <w:szCs w:val="21"/>
              </w:rPr>
            </w:pPr>
            <w:r>
              <w:rPr>
                <w:szCs w:val="21"/>
              </w:rPr>
              <w:t>3</w:t>
            </w:r>
          </w:p>
        </w:tc>
        <w:tc>
          <w:tcPr>
            <w:tcW w:w="0" w:type="auto"/>
            <w:tcBorders>
              <w:top w:val="single" w:color="000000" w:sz="8" w:space="0"/>
              <w:left w:val="single" w:color="000000" w:sz="8" w:space="0"/>
              <w:bottom w:val="single" w:color="000000" w:sz="8" w:space="0"/>
              <w:right w:val="single" w:color="000000" w:sz="8" w:space="0"/>
            </w:tcBorders>
          </w:tcPr>
          <w:p>
            <w:pPr>
              <w:rPr>
                <w:rFonts w:ascii="宋体" w:hAnsi="宋体" w:cs="宋体"/>
                <w:szCs w:val="21"/>
              </w:rPr>
            </w:pPr>
            <w:r>
              <w:rPr>
                <w:szCs w:val="21"/>
              </w:rPr>
              <w:t>分项报价或投标总价高于相应财政预算金额（或设定的财政预算金额下的最高限价）；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jc w:val="center"/>
              <w:rPr>
                <w:rFonts w:ascii="宋体" w:hAnsi="宋体" w:cs="宋体"/>
                <w:szCs w:val="21"/>
              </w:rPr>
            </w:pPr>
            <w:r>
              <w:rPr>
                <w:szCs w:val="21"/>
              </w:rPr>
              <w:t>4</w:t>
            </w:r>
          </w:p>
        </w:tc>
        <w:tc>
          <w:tcPr>
            <w:tcW w:w="0" w:type="auto"/>
            <w:tcBorders>
              <w:top w:val="single" w:color="000000" w:sz="8" w:space="0"/>
              <w:left w:val="single" w:color="000000" w:sz="8" w:space="0"/>
              <w:bottom w:val="single" w:color="000000" w:sz="8" w:space="0"/>
              <w:right w:val="single" w:color="000000" w:sz="8" w:space="0"/>
            </w:tcBorders>
          </w:tcPr>
          <w:p>
            <w:pPr>
              <w:rPr>
                <w:rFonts w:ascii="宋体" w:hAnsi="宋体" w:cs="宋体"/>
                <w:szCs w:val="21"/>
              </w:rPr>
            </w:pPr>
            <w:r>
              <w:rPr>
                <w:szCs w:val="21"/>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jc w:val="center"/>
              <w:rPr>
                <w:rFonts w:ascii="宋体" w:hAnsi="宋体" w:cs="宋体"/>
                <w:szCs w:val="21"/>
              </w:rPr>
            </w:pPr>
            <w:r>
              <w:rPr>
                <w:szCs w:val="21"/>
              </w:rPr>
              <w:t>5</w:t>
            </w:r>
          </w:p>
        </w:tc>
        <w:tc>
          <w:tcPr>
            <w:tcW w:w="0" w:type="auto"/>
            <w:tcBorders>
              <w:top w:val="single" w:color="000000" w:sz="8" w:space="0"/>
              <w:left w:val="single" w:color="000000" w:sz="8" w:space="0"/>
              <w:bottom w:val="single" w:color="000000" w:sz="8" w:space="0"/>
              <w:right w:val="single" w:color="000000" w:sz="8" w:space="0"/>
            </w:tcBorders>
          </w:tcPr>
          <w:p>
            <w:pPr>
              <w:rPr>
                <w:rFonts w:ascii="宋体" w:hAnsi="宋体" w:cs="宋体"/>
                <w:szCs w:val="21"/>
              </w:rPr>
            </w:pPr>
            <w:r>
              <w:rPr>
                <w:szCs w:val="21"/>
              </w:rPr>
              <w:t>所投货物、服务在技术、商务等方面没有实质性满足招标文件要求的（是否实质性满足招标文件要求，由评审委员会根据《实质性条款响应情况表》做出评判）；</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jc w:val="center"/>
              <w:rPr>
                <w:rFonts w:ascii="宋体" w:hAnsi="宋体" w:cs="宋体"/>
                <w:szCs w:val="21"/>
              </w:rPr>
            </w:pPr>
            <w:r>
              <w:rPr>
                <w:szCs w:val="21"/>
              </w:rPr>
              <w:t>6</w:t>
            </w:r>
          </w:p>
        </w:tc>
        <w:tc>
          <w:tcPr>
            <w:tcW w:w="0" w:type="auto"/>
            <w:tcBorders>
              <w:top w:val="single" w:color="000000" w:sz="8" w:space="0"/>
              <w:left w:val="single" w:color="000000" w:sz="8" w:space="0"/>
              <w:bottom w:val="single" w:color="000000" w:sz="8" w:space="0"/>
              <w:right w:val="single" w:color="000000" w:sz="8" w:space="0"/>
            </w:tcBorders>
          </w:tcPr>
          <w:p>
            <w:pPr>
              <w:rPr>
                <w:rFonts w:ascii="宋体" w:hAnsi="宋体" w:cs="宋体"/>
                <w:szCs w:val="21"/>
              </w:rPr>
            </w:pPr>
            <w:r>
              <w:rPr>
                <w:szCs w:val="21"/>
              </w:rPr>
              <w:t>未按招标文件所提供的样式填写《投标函》；未按招标文件所提供的《政府采购投标及履约承诺函》进行承诺；未按招标文件对投标文件组成的要求提供投标文件；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jc w:val="center"/>
              <w:rPr>
                <w:rFonts w:ascii="宋体" w:hAnsi="宋体" w:cs="宋体"/>
                <w:szCs w:val="21"/>
              </w:rPr>
            </w:pPr>
            <w:r>
              <w:rPr>
                <w:szCs w:val="21"/>
              </w:rPr>
              <w:t>7</w:t>
            </w:r>
          </w:p>
        </w:tc>
        <w:tc>
          <w:tcPr>
            <w:tcW w:w="0" w:type="auto"/>
            <w:tcBorders>
              <w:top w:val="single" w:color="000000" w:sz="8" w:space="0"/>
              <w:left w:val="single" w:color="000000" w:sz="8" w:space="0"/>
              <w:bottom w:val="single" w:color="000000" w:sz="8" w:space="0"/>
              <w:right w:val="single" w:color="000000" w:sz="8" w:space="0"/>
            </w:tcBorders>
          </w:tcPr>
          <w:p>
            <w:pPr>
              <w:rPr>
                <w:rFonts w:ascii="宋体" w:hAnsi="宋体" w:cs="宋体"/>
                <w:szCs w:val="21"/>
              </w:rPr>
            </w:pPr>
            <w:r>
              <w:rPr>
                <w:szCs w:val="21"/>
              </w:rPr>
              <w:t>投标报价有缺漏项目,或者对招标文件规定的项目需求内容或者需求数量进行修改，评审委员会判定投标响应不满足采购需求；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jc w:val="center"/>
              <w:rPr>
                <w:rFonts w:ascii="宋体" w:hAnsi="宋体" w:cs="宋体"/>
                <w:szCs w:val="21"/>
              </w:rPr>
            </w:pPr>
            <w:r>
              <w:rPr>
                <w:szCs w:val="21"/>
              </w:rPr>
              <w:t>8</w:t>
            </w:r>
          </w:p>
        </w:tc>
        <w:tc>
          <w:tcPr>
            <w:tcW w:w="0" w:type="auto"/>
            <w:tcBorders>
              <w:top w:val="single" w:color="000000" w:sz="8" w:space="0"/>
              <w:left w:val="single" w:color="000000" w:sz="8" w:space="0"/>
              <w:bottom w:val="single" w:color="000000" w:sz="8" w:space="0"/>
              <w:right w:val="single" w:color="000000" w:sz="8" w:space="0"/>
            </w:tcBorders>
          </w:tcPr>
          <w:p>
            <w:pPr>
              <w:rPr>
                <w:rFonts w:ascii="宋体" w:hAnsi="宋体" w:cs="宋体"/>
                <w:szCs w:val="21"/>
              </w:rPr>
            </w:pPr>
            <w:r>
              <w:rPr>
                <w:szCs w:val="21"/>
              </w:rPr>
              <w:t>投标文件存在列放位置错误，导致属于信息公开情形的没有被公开；</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jc w:val="center"/>
              <w:rPr>
                <w:rFonts w:ascii="宋体" w:hAnsi="宋体" w:cs="宋体"/>
                <w:szCs w:val="21"/>
              </w:rPr>
            </w:pPr>
            <w:r>
              <w:rPr>
                <w:szCs w:val="21"/>
              </w:rPr>
              <w:t>9</w:t>
            </w:r>
          </w:p>
        </w:tc>
        <w:tc>
          <w:tcPr>
            <w:tcW w:w="0" w:type="auto"/>
            <w:tcBorders>
              <w:top w:val="single" w:color="000000" w:sz="8" w:space="0"/>
              <w:left w:val="single" w:color="000000" w:sz="8" w:space="0"/>
              <w:bottom w:val="single" w:color="000000" w:sz="8" w:space="0"/>
              <w:right w:val="single" w:color="000000" w:sz="8" w:space="0"/>
            </w:tcBorders>
          </w:tcPr>
          <w:p>
            <w:pPr>
              <w:rPr>
                <w:rFonts w:ascii="宋体" w:hAnsi="宋体" w:cs="宋体"/>
                <w:szCs w:val="21"/>
              </w:rPr>
            </w:pPr>
            <w:r>
              <w:rPr>
                <w:szCs w:val="21"/>
              </w:rPr>
              <w:t>投标文件电子文档带病毒；</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jc w:val="center"/>
              <w:rPr>
                <w:rFonts w:ascii="宋体" w:hAnsi="宋体" w:cs="宋体"/>
                <w:szCs w:val="21"/>
              </w:rPr>
            </w:pPr>
            <w:r>
              <w:rPr>
                <w:szCs w:val="21"/>
              </w:rPr>
              <w:t>10</w:t>
            </w:r>
          </w:p>
        </w:tc>
        <w:tc>
          <w:tcPr>
            <w:tcW w:w="0" w:type="auto"/>
            <w:tcBorders>
              <w:top w:val="single" w:color="000000" w:sz="8" w:space="0"/>
              <w:left w:val="single" w:color="000000" w:sz="8" w:space="0"/>
              <w:bottom w:val="single" w:color="000000" w:sz="8" w:space="0"/>
              <w:right w:val="single" w:color="000000" w:sz="8" w:space="0"/>
            </w:tcBorders>
          </w:tcPr>
          <w:p>
            <w:pPr>
              <w:rPr>
                <w:rFonts w:ascii="宋体" w:hAnsi="宋体" w:cs="宋体"/>
                <w:szCs w:val="21"/>
              </w:rPr>
            </w:pPr>
            <w:r>
              <w:rPr>
                <w:szCs w:val="21"/>
              </w:rPr>
              <w:t>投标文件用不属于本公司的电子密钥进行加密的；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jc w:val="center"/>
              <w:rPr>
                <w:rFonts w:ascii="宋体" w:hAnsi="宋体" w:cs="宋体"/>
                <w:szCs w:val="21"/>
              </w:rPr>
            </w:pPr>
            <w:r>
              <w:rPr>
                <w:szCs w:val="21"/>
              </w:rPr>
              <w:t>11</w:t>
            </w:r>
          </w:p>
        </w:tc>
        <w:tc>
          <w:tcPr>
            <w:tcW w:w="0" w:type="auto"/>
            <w:tcBorders>
              <w:top w:val="single" w:color="000000" w:sz="8" w:space="0"/>
              <w:left w:val="single" w:color="000000" w:sz="8" w:space="0"/>
              <w:bottom w:val="single" w:color="000000" w:sz="8" w:space="0"/>
              <w:right w:val="single" w:color="000000" w:sz="8" w:space="0"/>
            </w:tcBorders>
          </w:tcPr>
          <w:p>
            <w:pPr>
              <w:rPr>
                <w:rFonts w:ascii="宋体" w:hAnsi="宋体" w:cs="宋体"/>
                <w:szCs w:val="21"/>
              </w:rPr>
            </w:pPr>
            <w:r>
              <w:rPr>
                <w:szCs w:val="21"/>
              </w:rPr>
              <w:t>误选了非本项目的最新加密规则文件，导致投标文件不能在开标时解密；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jc w:val="center"/>
              <w:rPr>
                <w:rFonts w:ascii="宋体" w:hAnsi="宋体" w:cs="宋体"/>
                <w:szCs w:val="21"/>
              </w:rPr>
            </w:pPr>
            <w:r>
              <w:rPr>
                <w:szCs w:val="21"/>
              </w:rPr>
              <w:t>12</w:t>
            </w:r>
          </w:p>
        </w:tc>
        <w:tc>
          <w:tcPr>
            <w:tcW w:w="0" w:type="auto"/>
            <w:tcBorders>
              <w:top w:val="single" w:color="000000" w:sz="8" w:space="0"/>
              <w:left w:val="single" w:color="000000" w:sz="8" w:space="0"/>
              <w:bottom w:val="single" w:color="000000" w:sz="8" w:space="0"/>
              <w:right w:val="single" w:color="000000" w:sz="8" w:space="0"/>
            </w:tcBorders>
          </w:tcPr>
          <w:p>
            <w:pPr>
              <w:rPr>
                <w:rFonts w:ascii="宋体" w:hAnsi="宋体" w:cs="宋体"/>
                <w:szCs w:val="21"/>
              </w:rPr>
            </w:pPr>
            <w:r>
              <w:rPr>
                <w:szCs w:val="21"/>
              </w:rPr>
              <w:t>法律、法规、规章、规范性文件规定的其他情形。</w:t>
            </w:r>
          </w:p>
        </w:tc>
      </w:tr>
    </w:tbl>
    <w:p>
      <w:pPr>
        <w:pStyle w:val="37"/>
        <w:jc w:val="center"/>
        <w:outlineLvl w:val="1"/>
        <w:rPr>
          <w:rFonts w:hint="eastAsia" w:ascii="黑体" w:hAnsi="黑体" w:eastAsia="黑体"/>
          <w:sz w:val="40"/>
          <w:szCs w:val="40"/>
        </w:rPr>
      </w:pPr>
      <w:r>
        <w:rPr>
          <w:rFonts w:hint="eastAsia" w:ascii="黑体" w:hAnsi="黑体" w:eastAsia="黑体"/>
          <w:sz w:val="40"/>
          <w:szCs w:val="40"/>
        </w:rPr>
        <w:t>评标信息</w:t>
      </w:r>
    </w:p>
    <w:tbl>
      <w:tblPr>
        <w:tblStyle w:val="42"/>
        <w:tblW w:w="9072" w:type="dxa"/>
        <w:jc w:val="center"/>
        <w:tblCellSpacing w:w="0" w:type="dxa"/>
        <w:tblLayout w:type="autofit"/>
        <w:tblCellMar>
          <w:top w:w="45" w:type="dxa"/>
          <w:left w:w="45" w:type="dxa"/>
          <w:bottom w:w="45" w:type="dxa"/>
          <w:right w:w="45" w:type="dxa"/>
        </w:tblCellMar>
      </w:tblPr>
      <w:tblGrid>
        <w:gridCol w:w="8830"/>
        <w:gridCol w:w="242"/>
      </w:tblGrid>
      <w:tr>
        <w:tblPrEx>
          <w:tblCellMar>
            <w:top w:w="45" w:type="dxa"/>
            <w:left w:w="45" w:type="dxa"/>
            <w:bottom w:w="45" w:type="dxa"/>
            <w:right w:w="45" w:type="dxa"/>
          </w:tblCellMar>
        </w:tblPrEx>
        <w:trPr>
          <w:tblCellSpacing w:w="0" w:type="dxa"/>
          <w:jc w:val="center"/>
        </w:trPr>
        <w:tc>
          <w:tcPr>
            <w:tcW w:w="0" w:type="auto"/>
            <w:tcBorders>
              <w:top w:val="nil"/>
              <w:left w:val="nil"/>
              <w:bottom w:val="nil"/>
              <w:right w:val="nil"/>
            </w:tcBorders>
            <w:vAlign w:val="center"/>
          </w:tcPr>
          <w:p>
            <w:pPr>
              <w:rPr>
                <w:rFonts w:ascii="宋体" w:hAnsi="宋体" w:cs="宋体"/>
                <w:b/>
                <w:bCs/>
                <w:sz w:val="24"/>
              </w:rPr>
            </w:pPr>
            <w:r>
              <w:rPr>
                <w:b/>
                <w:bCs/>
              </w:rPr>
              <w:t>评标方法：综合评分法（新价格分算法）</w:t>
            </w:r>
          </w:p>
        </w:tc>
        <w:tc>
          <w:tcPr>
            <w:tcW w:w="0" w:type="auto"/>
            <w:tcBorders>
              <w:top w:val="nil"/>
              <w:left w:val="nil"/>
              <w:bottom w:val="nil"/>
              <w:right w:val="nil"/>
            </w:tcBorders>
            <w:vAlign w:val="center"/>
          </w:tcPr>
          <w:p>
            <w:pPr>
              <w:jc w:val="right"/>
              <w:rPr>
                <w:rFonts w:ascii="宋体" w:hAnsi="宋体" w:cs="宋体"/>
                <w:b/>
                <w:bCs/>
                <w:sz w:val="24"/>
              </w:rPr>
            </w:pPr>
          </w:p>
        </w:tc>
      </w:tr>
      <w:tr>
        <w:tblPrEx>
          <w:tblCellMar>
            <w:top w:w="45" w:type="dxa"/>
            <w:left w:w="45" w:type="dxa"/>
            <w:bottom w:w="45" w:type="dxa"/>
            <w:right w:w="45" w:type="dxa"/>
          </w:tblCellMar>
        </w:tblPrEx>
        <w:trPr>
          <w:tblCellSpacing w:w="0" w:type="dxa"/>
          <w:jc w:val="center"/>
        </w:trPr>
        <w:tc>
          <w:tcPr>
            <w:tcW w:w="0" w:type="auto"/>
            <w:gridSpan w:val="2"/>
            <w:tcBorders>
              <w:top w:val="nil"/>
              <w:left w:val="nil"/>
              <w:bottom w:val="nil"/>
              <w:right w:val="nil"/>
            </w:tcBorders>
            <w:vAlign w:val="center"/>
          </w:tcPr>
          <w:p>
            <w:pPr>
              <w:pStyle w:val="37"/>
              <w:spacing w:line="324" w:lineRule="auto"/>
              <w:ind w:firstLine="420"/>
              <w:rPr>
                <w:sz w:val="21"/>
                <w:szCs w:val="21"/>
              </w:rPr>
            </w:pPr>
            <w:r>
              <w:rPr>
                <w:sz w:val="21"/>
                <w:szCs w:val="21"/>
              </w:rPr>
              <w:t xml:space="preserve">综合评分法，是指投标文件满足招标文件全部实质性要求，且按照评审因素的量化指标评审得分最高的投标人为中标候选人的评标方法。 </w:t>
            </w:r>
          </w:p>
          <w:p>
            <w:pPr>
              <w:pStyle w:val="37"/>
              <w:ind w:firstLine="420"/>
              <w:rPr>
                <w:sz w:val="21"/>
                <w:szCs w:val="21"/>
              </w:rPr>
            </w:pPr>
            <w:r>
              <w:rPr>
                <w:sz w:val="21"/>
                <w:szCs w:val="21"/>
              </w:rPr>
              <w:t>价格分计算方法：</w:t>
            </w:r>
          </w:p>
          <w:p>
            <w:pPr>
              <w:pStyle w:val="37"/>
              <w:spacing w:line="324" w:lineRule="auto"/>
              <w:ind w:left="420"/>
              <w:rPr>
                <w:sz w:val="21"/>
                <w:szCs w:val="21"/>
              </w:rPr>
            </w:pPr>
            <w:r>
              <w:rPr>
                <w:sz w:val="21"/>
                <w:szCs w:val="21"/>
              </w:rPr>
              <w:t xml:space="preserve">采用低价优先法计算，即满足招标文件要求且投标价格最低的投标报价为评标基准价，其价格分为满分。其他投标人的价格分统一按照下列公式计算： </w:t>
            </w:r>
            <w:r>
              <w:rPr>
                <w:sz w:val="21"/>
                <w:szCs w:val="21"/>
              </w:rPr>
              <w:br w:type="textWrapping"/>
            </w:r>
            <w:r>
              <w:rPr>
                <w:sz w:val="21"/>
                <w:szCs w:val="21"/>
              </w:rPr>
              <w:t xml:space="preserve">投标报价得分=(评标基准价／投标报价)×100 </w:t>
            </w:r>
            <w:r>
              <w:rPr>
                <w:sz w:val="21"/>
                <w:szCs w:val="21"/>
              </w:rPr>
              <w:br w:type="textWrapping"/>
            </w:r>
            <w:r>
              <w:rPr>
                <w:sz w:val="21"/>
                <w:szCs w:val="21"/>
              </w:rPr>
              <w:t xml:space="preserve">评标总得分＝F1×A1＋F2×A2＋……＋Fn×An </w:t>
            </w:r>
            <w:r>
              <w:rPr>
                <w:sz w:val="21"/>
                <w:szCs w:val="21"/>
              </w:rPr>
              <w:br w:type="textWrapping"/>
            </w:r>
            <w:r>
              <w:rPr>
                <w:sz w:val="21"/>
                <w:szCs w:val="21"/>
              </w:rPr>
              <w:t xml:space="preserve">F1、F2……Fn分别为各项评审因素的得分； </w:t>
            </w:r>
            <w:r>
              <w:rPr>
                <w:sz w:val="21"/>
                <w:szCs w:val="21"/>
              </w:rPr>
              <w:br w:type="textWrapping"/>
            </w:r>
            <w:r>
              <w:rPr>
                <w:sz w:val="21"/>
                <w:szCs w:val="21"/>
              </w:rPr>
              <w:t xml:space="preserve">A1、A2、……An 分别为各项评审因素所占的权重(A1＋A2＋……＋An＝1)。 </w:t>
            </w:r>
            <w:r>
              <w:rPr>
                <w:sz w:val="21"/>
                <w:szCs w:val="21"/>
              </w:rPr>
              <w:br w:type="textWrapping"/>
            </w:r>
            <w:r>
              <w:rPr>
                <w:sz w:val="21"/>
                <w:szCs w:val="21"/>
              </w:rPr>
              <w:t xml:space="preserve">评标过程中，不得去掉报价中的最高报价和最低报价。 </w:t>
            </w:r>
            <w:r>
              <w:rPr>
                <w:sz w:val="21"/>
                <w:szCs w:val="21"/>
              </w:rPr>
              <w:br w:type="textWrapping"/>
            </w:r>
            <w:r>
              <w:rPr>
                <w:sz w:val="21"/>
                <w:szCs w:val="21"/>
              </w:rPr>
              <w:t xml:space="preserve">此方法适用于货物类、服务类、工程类项目。 </w:t>
            </w:r>
          </w:p>
        </w:tc>
      </w:tr>
    </w:tbl>
    <w:p>
      <w:pPr>
        <w:rPr>
          <w:vanish/>
        </w:rPr>
      </w:pPr>
    </w:p>
    <w:tbl>
      <w:tblPr>
        <w:tblStyle w:val="42"/>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680"/>
        <w:gridCol w:w="680"/>
        <w:gridCol w:w="2835"/>
        <w:gridCol w:w="681"/>
        <w:gridCol w:w="419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tcBorders>
              <w:top w:val="single" w:color="000000" w:sz="8" w:space="0"/>
              <w:left w:val="single" w:color="000000" w:sz="8" w:space="0"/>
              <w:bottom w:val="single" w:color="000000" w:sz="8" w:space="0"/>
              <w:right w:val="single" w:color="000000" w:sz="8" w:space="0"/>
            </w:tcBorders>
            <w:shd w:val="clear" w:color="auto" w:fill="E6EFFA"/>
            <w:vAlign w:val="center"/>
          </w:tcPr>
          <w:p>
            <w:pPr>
              <w:wordWrap w:val="0"/>
              <w:jc w:val="center"/>
              <w:rPr>
                <w:rFonts w:ascii="宋体" w:hAnsi="宋体" w:cs="宋体"/>
                <w:b/>
                <w:bCs/>
                <w:sz w:val="24"/>
              </w:rPr>
            </w:pPr>
            <w:r>
              <w:rPr>
                <w:b/>
                <w:bCs/>
              </w:rPr>
              <w:t>序号</w:t>
            </w:r>
          </w:p>
        </w:tc>
        <w:tc>
          <w:tcPr>
            <w:tcW w:w="4196" w:type="dxa"/>
            <w:gridSpan w:val="3"/>
            <w:tcBorders>
              <w:top w:val="single" w:color="000000" w:sz="8" w:space="0"/>
              <w:left w:val="single" w:color="000000" w:sz="8" w:space="0"/>
              <w:bottom w:val="single" w:color="000000" w:sz="8" w:space="0"/>
              <w:right w:val="single" w:color="000000" w:sz="8" w:space="0"/>
            </w:tcBorders>
            <w:shd w:val="clear" w:color="auto" w:fill="E6EFFA"/>
            <w:vAlign w:val="center"/>
          </w:tcPr>
          <w:p>
            <w:pPr>
              <w:wordWrap w:val="0"/>
              <w:jc w:val="center"/>
              <w:rPr>
                <w:rFonts w:ascii="宋体" w:hAnsi="宋体" w:cs="宋体"/>
                <w:b/>
                <w:bCs/>
                <w:sz w:val="24"/>
              </w:rPr>
            </w:pPr>
            <w:r>
              <w:rPr>
                <w:b/>
                <w:bCs/>
              </w:rPr>
              <w:t>评分项</w:t>
            </w:r>
          </w:p>
        </w:tc>
        <w:tc>
          <w:tcPr>
            <w:tcW w:w="4196" w:type="dxa"/>
            <w:tcBorders>
              <w:top w:val="single" w:color="000000" w:sz="8" w:space="0"/>
              <w:left w:val="single" w:color="000000" w:sz="8" w:space="0"/>
              <w:bottom w:val="single" w:color="000000" w:sz="8" w:space="0"/>
              <w:right w:val="single" w:color="000000" w:sz="8" w:space="0"/>
            </w:tcBorders>
            <w:shd w:val="clear" w:color="auto" w:fill="E6EFFA"/>
            <w:vAlign w:val="center"/>
          </w:tcPr>
          <w:p>
            <w:pPr>
              <w:wordWrap w:val="0"/>
              <w:jc w:val="center"/>
              <w:rPr>
                <w:rFonts w:ascii="宋体" w:hAnsi="宋体" w:cs="宋体"/>
                <w:b/>
                <w:bCs/>
                <w:sz w:val="24"/>
              </w:rPr>
            </w:pPr>
            <w:r>
              <w:rPr>
                <w:b/>
                <w:bCs/>
              </w:rPr>
              <w:t>权重(%)</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restart"/>
            <w:tcBorders>
              <w:top w:val="single" w:color="000000" w:sz="8" w:space="0"/>
              <w:left w:val="single" w:color="000000" w:sz="8" w:space="0"/>
              <w:bottom w:val="single" w:color="000000" w:sz="8" w:space="0"/>
              <w:right w:val="single" w:color="000000" w:sz="8" w:space="0"/>
            </w:tcBorders>
          </w:tcPr>
          <w:p>
            <w:pPr>
              <w:wordWrap w:val="0"/>
              <w:jc w:val="center"/>
              <w:rPr>
                <w:rFonts w:ascii="宋体" w:hAnsi="宋体" w:cs="宋体"/>
                <w:b/>
                <w:bCs/>
                <w:color w:val="0000FF"/>
                <w:sz w:val="24"/>
              </w:rPr>
            </w:pPr>
            <w:r>
              <w:rPr>
                <w:b/>
                <w:bCs/>
                <w:color w:val="0000FF"/>
              </w:rPr>
              <w:t>1</w:t>
            </w:r>
          </w:p>
        </w:tc>
        <w:tc>
          <w:tcPr>
            <w:tcW w:w="4196" w:type="dxa"/>
            <w:gridSpan w:val="3"/>
            <w:tcBorders>
              <w:top w:val="single" w:color="000000" w:sz="8" w:space="0"/>
              <w:left w:val="single" w:color="000000" w:sz="8" w:space="0"/>
              <w:bottom w:val="single" w:color="000000" w:sz="8" w:space="0"/>
              <w:right w:val="single" w:color="000000" w:sz="8" w:space="0"/>
            </w:tcBorders>
          </w:tcPr>
          <w:p>
            <w:pPr>
              <w:wordWrap w:val="0"/>
              <w:jc w:val="center"/>
              <w:rPr>
                <w:rFonts w:ascii="宋体" w:hAnsi="宋体" w:cs="宋体"/>
                <w:b/>
                <w:bCs/>
                <w:color w:val="0000FF"/>
                <w:sz w:val="24"/>
              </w:rPr>
            </w:pPr>
            <w:r>
              <w:rPr>
                <w:b/>
                <w:bCs/>
                <w:color w:val="0000FF"/>
              </w:rPr>
              <w:t>价格</w:t>
            </w:r>
          </w:p>
        </w:tc>
        <w:tc>
          <w:tcPr>
            <w:tcW w:w="4196" w:type="dxa"/>
            <w:tcBorders>
              <w:top w:val="single" w:color="000000" w:sz="8" w:space="0"/>
              <w:left w:val="single" w:color="000000" w:sz="8" w:space="0"/>
              <w:bottom w:val="single" w:color="000000" w:sz="8" w:space="0"/>
              <w:right w:val="single" w:color="000000" w:sz="8" w:space="0"/>
            </w:tcBorders>
          </w:tcPr>
          <w:p>
            <w:pPr>
              <w:wordWrap w:val="0"/>
              <w:jc w:val="center"/>
              <w:rPr>
                <w:rFonts w:ascii="宋体" w:hAnsi="宋体" w:cs="宋体"/>
                <w:b/>
                <w:bCs/>
                <w:color w:val="0000FF"/>
                <w:sz w:val="24"/>
              </w:rPr>
            </w:pPr>
            <w:r>
              <w:rPr>
                <w:b/>
                <w:bCs/>
                <w:color w:val="0000FF"/>
              </w:rPr>
              <w:t>20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0" w:type="auto"/>
            <w:vMerge w:val="continue"/>
            <w:tcBorders>
              <w:top w:val="single" w:color="000000" w:sz="8" w:space="0"/>
              <w:left w:val="single" w:color="000000" w:sz="8" w:space="0"/>
              <w:bottom w:val="single" w:color="000000" w:sz="8" w:space="0"/>
              <w:right w:val="single" w:color="000000" w:sz="8" w:space="0"/>
            </w:tcBorders>
            <w:vAlign w:val="center"/>
          </w:tcPr>
          <w:p>
            <w:pPr>
              <w:rPr>
                <w:rFonts w:ascii="宋体" w:hAnsi="宋体" w:cs="宋体"/>
                <w:b/>
                <w:bCs/>
                <w:color w:val="0000FF"/>
                <w:sz w:val="24"/>
              </w:rPr>
            </w:pPr>
          </w:p>
        </w:tc>
        <w:tc>
          <w:tcPr>
            <w:tcW w:w="8392" w:type="dxa"/>
            <w:gridSpan w:val="4"/>
            <w:tcBorders>
              <w:top w:val="single" w:color="000000" w:sz="8" w:space="0"/>
              <w:left w:val="single" w:color="000000" w:sz="8" w:space="0"/>
              <w:bottom w:val="single" w:color="000000" w:sz="8" w:space="0"/>
              <w:right w:val="single" w:color="000000" w:sz="8" w:space="0"/>
            </w:tcBorders>
          </w:tcPr>
          <w:p>
            <w:pPr>
              <w:wordWrap w:val="0"/>
              <w:rPr>
                <w:rFonts w:ascii="宋体" w:hAnsi="宋体" w:cs="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restart"/>
            <w:tcBorders>
              <w:top w:val="single" w:color="000000" w:sz="8" w:space="0"/>
              <w:left w:val="single" w:color="000000" w:sz="8" w:space="0"/>
              <w:bottom w:val="single" w:color="000000" w:sz="8" w:space="0"/>
              <w:right w:val="single" w:color="000000" w:sz="8" w:space="0"/>
            </w:tcBorders>
          </w:tcPr>
          <w:p>
            <w:pPr>
              <w:wordWrap w:val="0"/>
              <w:jc w:val="center"/>
              <w:rPr>
                <w:rFonts w:ascii="宋体" w:hAnsi="宋体" w:cs="宋体"/>
                <w:b/>
                <w:bCs/>
                <w:color w:val="0000FF"/>
                <w:sz w:val="24"/>
              </w:rPr>
            </w:pPr>
            <w:r>
              <w:rPr>
                <w:b/>
                <w:bCs/>
                <w:color w:val="0000FF"/>
              </w:rPr>
              <w:t>2</w:t>
            </w:r>
          </w:p>
        </w:tc>
        <w:tc>
          <w:tcPr>
            <w:tcW w:w="4196" w:type="dxa"/>
            <w:gridSpan w:val="3"/>
            <w:tcBorders>
              <w:top w:val="single" w:color="000000" w:sz="8" w:space="0"/>
              <w:left w:val="single" w:color="000000" w:sz="8" w:space="0"/>
              <w:bottom w:val="single" w:color="000000" w:sz="8" w:space="0"/>
              <w:right w:val="single" w:color="000000" w:sz="8" w:space="0"/>
            </w:tcBorders>
          </w:tcPr>
          <w:p>
            <w:pPr>
              <w:wordWrap w:val="0"/>
              <w:jc w:val="center"/>
              <w:rPr>
                <w:rFonts w:ascii="宋体" w:hAnsi="宋体" w:cs="宋体"/>
                <w:b/>
                <w:bCs/>
                <w:color w:val="0000FF"/>
                <w:sz w:val="24"/>
              </w:rPr>
            </w:pPr>
            <w:r>
              <w:rPr>
                <w:b/>
                <w:bCs/>
                <w:color w:val="0000FF"/>
              </w:rPr>
              <w:t>技术</w:t>
            </w:r>
          </w:p>
        </w:tc>
        <w:tc>
          <w:tcPr>
            <w:tcW w:w="4196" w:type="dxa"/>
            <w:tcBorders>
              <w:top w:val="single" w:color="000000" w:sz="8" w:space="0"/>
              <w:left w:val="single" w:color="000000" w:sz="8" w:space="0"/>
              <w:bottom w:val="single" w:color="000000" w:sz="8" w:space="0"/>
              <w:right w:val="single" w:color="000000" w:sz="8" w:space="0"/>
            </w:tcBorders>
          </w:tcPr>
          <w:p>
            <w:pPr>
              <w:wordWrap w:val="0"/>
              <w:jc w:val="center"/>
              <w:rPr>
                <w:rFonts w:ascii="宋体" w:hAnsi="宋体" w:cs="宋体"/>
                <w:b/>
                <w:bCs/>
                <w:color w:val="0000FF"/>
                <w:sz w:val="24"/>
              </w:rPr>
            </w:pPr>
            <w:r>
              <w:rPr>
                <w:b/>
                <w:bCs/>
                <w:color w:val="0000FF"/>
              </w:rPr>
              <w:t>53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0" w:type="auto"/>
            <w:vMerge w:val="continue"/>
            <w:tcBorders>
              <w:top w:val="single" w:color="000000" w:sz="8" w:space="0"/>
              <w:left w:val="single" w:color="000000" w:sz="8" w:space="0"/>
              <w:bottom w:val="single" w:color="000000" w:sz="8" w:space="0"/>
              <w:right w:val="single" w:color="000000" w:sz="8" w:space="0"/>
            </w:tcBorders>
            <w:vAlign w:val="center"/>
          </w:tcPr>
          <w:p>
            <w:pPr>
              <w:rPr>
                <w:rFonts w:ascii="宋体" w:hAnsi="宋体" w:cs="宋体"/>
                <w:b/>
                <w:bCs/>
                <w:color w:val="0000FF"/>
                <w:sz w:val="24"/>
              </w:rPr>
            </w:pPr>
          </w:p>
        </w:tc>
        <w:tc>
          <w:tcPr>
            <w:tcW w:w="8278" w:type="dxa"/>
            <w:gridSpan w:val="4"/>
            <w:tcBorders>
              <w:top w:val="single" w:color="000000" w:sz="8" w:space="0"/>
              <w:left w:val="single" w:color="000000" w:sz="8" w:space="0"/>
              <w:bottom w:val="single" w:color="000000" w:sz="8" w:space="0"/>
              <w:right w:val="single" w:color="000000" w:sz="8" w:space="0"/>
            </w:tcBorders>
          </w:tcPr>
          <w:p>
            <w:pPr>
              <w:wordWrap w:val="0"/>
              <w:rPr>
                <w:rFonts w:ascii="宋体" w:hAnsi="宋体" w:cs="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E6EFFA"/>
            <w:vAlign w:val="center"/>
          </w:tcPr>
          <w:p>
            <w:pPr>
              <w:rPr>
                <w:rFonts w:ascii="宋体" w:hAnsi="宋体" w:cs="宋体"/>
                <w:b/>
                <w:bCs/>
                <w:color w:val="0000FF"/>
                <w:sz w:val="24"/>
              </w:rPr>
            </w:pPr>
          </w:p>
        </w:tc>
        <w:tc>
          <w:tcPr>
            <w:tcW w:w="680" w:type="dxa"/>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jc w:val="center"/>
              <w:rPr>
                <w:rFonts w:ascii="宋体" w:hAnsi="宋体" w:cs="宋体"/>
                <w:szCs w:val="21"/>
              </w:rPr>
            </w:pPr>
            <w:r>
              <w:rPr>
                <w:szCs w:val="21"/>
              </w:rPr>
              <w:t>序号</w:t>
            </w:r>
          </w:p>
        </w:tc>
        <w:tc>
          <w:tcPr>
            <w:tcW w:w="2835" w:type="dxa"/>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jc w:val="center"/>
              <w:rPr>
                <w:rFonts w:ascii="宋体" w:hAnsi="宋体" w:cs="宋体"/>
                <w:szCs w:val="21"/>
              </w:rPr>
            </w:pPr>
            <w:r>
              <w:rPr>
                <w:szCs w:val="21"/>
              </w:rPr>
              <w:t>评分因素</w:t>
            </w:r>
          </w:p>
        </w:tc>
        <w:tc>
          <w:tcPr>
            <w:tcW w:w="680" w:type="dxa"/>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jc w:val="center"/>
              <w:rPr>
                <w:rFonts w:ascii="宋体" w:hAnsi="宋体" w:cs="宋体"/>
                <w:szCs w:val="21"/>
              </w:rPr>
            </w:pPr>
            <w:r>
              <w:rPr>
                <w:szCs w:val="21"/>
              </w:rPr>
              <w:t>权重(%)</w:t>
            </w:r>
          </w:p>
        </w:tc>
        <w:tc>
          <w:tcPr>
            <w:tcW w:w="2920" w:type="dxa"/>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jc w:val="center"/>
              <w:rPr>
                <w:rFonts w:ascii="宋体" w:hAnsi="宋体" w:cs="宋体"/>
                <w:szCs w:val="21"/>
              </w:rPr>
            </w:pPr>
            <w:r>
              <w:rPr>
                <w:szCs w:val="21"/>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0" w:type="auto"/>
            <w:vMerge w:val="continue"/>
            <w:tcBorders>
              <w:top w:val="single" w:color="000000" w:sz="8" w:space="0"/>
              <w:left w:val="single" w:color="000000" w:sz="8" w:space="0"/>
              <w:bottom w:val="single" w:color="000000" w:sz="8" w:space="0"/>
              <w:right w:val="single" w:color="000000" w:sz="8" w:space="0"/>
            </w:tcBorders>
            <w:vAlign w:val="center"/>
          </w:tcPr>
          <w:p>
            <w:pPr>
              <w:rPr>
                <w:rFonts w:ascii="宋体" w:hAnsi="宋体" w:cs="宋体"/>
                <w:b/>
                <w:bCs/>
                <w:color w:val="0000FF"/>
                <w:sz w:val="24"/>
              </w:rPr>
            </w:pPr>
          </w:p>
        </w:tc>
        <w:tc>
          <w:tcPr>
            <w:tcW w:w="680" w:type="dxa"/>
            <w:tcBorders>
              <w:top w:val="single" w:color="000000" w:sz="8" w:space="0"/>
              <w:left w:val="single" w:color="000000" w:sz="8" w:space="0"/>
              <w:bottom w:val="single" w:color="000000" w:sz="8" w:space="0"/>
              <w:right w:val="single" w:color="000000" w:sz="8" w:space="0"/>
            </w:tcBorders>
          </w:tcPr>
          <w:p>
            <w:pPr>
              <w:wordWrap w:val="0"/>
              <w:jc w:val="center"/>
              <w:rPr>
                <w:rFonts w:ascii="宋体" w:hAnsi="宋体" w:cs="宋体"/>
                <w:szCs w:val="21"/>
              </w:rPr>
            </w:pPr>
            <w:r>
              <w:rPr>
                <w:szCs w:val="21"/>
              </w:rPr>
              <w:t>1</w:t>
            </w:r>
          </w:p>
        </w:tc>
        <w:tc>
          <w:tcPr>
            <w:tcW w:w="2835" w:type="dxa"/>
            <w:tcBorders>
              <w:top w:val="single" w:color="000000" w:sz="8" w:space="0"/>
              <w:left w:val="single" w:color="000000" w:sz="8" w:space="0"/>
              <w:bottom w:val="single" w:color="000000" w:sz="8" w:space="0"/>
              <w:right w:val="single" w:color="000000" w:sz="8" w:space="0"/>
            </w:tcBorders>
          </w:tcPr>
          <w:p>
            <w:pPr>
              <w:wordWrap w:val="0"/>
              <w:rPr>
                <w:rFonts w:ascii="宋体" w:hAnsi="宋体" w:cs="宋体"/>
                <w:szCs w:val="21"/>
              </w:rPr>
            </w:pPr>
            <w:r>
              <w:rPr>
                <w:szCs w:val="21"/>
              </w:rPr>
              <w:t>实施方案</w:t>
            </w:r>
          </w:p>
        </w:tc>
        <w:tc>
          <w:tcPr>
            <w:tcW w:w="680" w:type="dxa"/>
            <w:tcBorders>
              <w:top w:val="single" w:color="000000" w:sz="8" w:space="0"/>
              <w:left w:val="single" w:color="000000" w:sz="8" w:space="0"/>
              <w:bottom w:val="single" w:color="000000" w:sz="8" w:space="0"/>
              <w:right w:val="single" w:color="000000" w:sz="8" w:space="0"/>
            </w:tcBorders>
          </w:tcPr>
          <w:p>
            <w:pPr>
              <w:wordWrap w:val="0"/>
              <w:jc w:val="center"/>
              <w:rPr>
                <w:rFonts w:ascii="宋体" w:hAnsi="宋体" w:cs="宋体"/>
                <w:szCs w:val="21"/>
              </w:rPr>
            </w:pPr>
            <w:r>
              <w:rPr>
                <w:szCs w:val="21"/>
              </w:rPr>
              <w:t>10</w:t>
            </w:r>
          </w:p>
        </w:tc>
        <w:tc>
          <w:tcPr>
            <w:tcW w:w="4196" w:type="dxa"/>
            <w:tcBorders>
              <w:top w:val="single" w:color="000000" w:sz="8" w:space="0"/>
              <w:left w:val="single" w:color="000000" w:sz="8" w:space="0"/>
              <w:bottom w:val="single" w:color="000000" w:sz="8" w:space="0"/>
              <w:right w:val="single" w:color="000000" w:sz="8" w:space="0"/>
            </w:tcBorders>
          </w:tcPr>
          <w:p>
            <w:pPr>
              <w:wordWrap w:val="0"/>
              <w:rPr>
                <w:szCs w:val="21"/>
              </w:rPr>
            </w:pPr>
            <w:r>
              <w:rPr>
                <w:szCs w:val="21"/>
              </w:rPr>
              <w:t xml:space="preserve">评审内容：投标文件的完整性。 </w:t>
            </w:r>
          </w:p>
          <w:p>
            <w:pPr>
              <w:wordWrap w:val="0"/>
              <w:rPr>
                <w:szCs w:val="21"/>
              </w:rPr>
            </w:pPr>
            <w:r>
              <w:rPr>
                <w:szCs w:val="21"/>
              </w:rPr>
              <w:t xml:space="preserve">（一）1、优评分标准：投标响应完整合理，即详细响应本次项目需要建设的科室成本、项目成本、病种成本各分系统。 </w:t>
            </w:r>
          </w:p>
          <w:p>
            <w:pPr>
              <w:wordWrap w:val="0"/>
              <w:rPr>
                <w:szCs w:val="21"/>
              </w:rPr>
            </w:pPr>
            <w:r>
              <w:rPr>
                <w:szCs w:val="21"/>
              </w:rPr>
              <w:t xml:space="preserve">2、良评分标准：投标响应比较合理，即响应本次项目需要建设的科室成本、项目成本、病种成本各分系统。 </w:t>
            </w:r>
          </w:p>
          <w:p>
            <w:pPr>
              <w:wordWrap w:val="0"/>
              <w:rPr>
                <w:szCs w:val="21"/>
              </w:rPr>
            </w:pPr>
            <w:r>
              <w:rPr>
                <w:szCs w:val="21"/>
              </w:rPr>
              <w:t xml:space="preserve">3、中评分标准：投标响应一般，即响应本次项目需要建设的科室成本、项目成本、病种成本各分系统。 </w:t>
            </w:r>
          </w:p>
          <w:p>
            <w:pPr>
              <w:wordWrap w:val="0"/>
              <w:rPr>
                <w:szCs w:val="21"/>
              </w:rPr>
            </w:pPr>
            <w:r>
              <w:rPr>
                <w:szCs w:val="21"/>
              </w:rPr>
              <w:t xml:space="preserve">4、差评分标准：投标响应较差，即响应本次项目需要建设的科室成本、项目成本、病种成本各分系统。 </w:t>
            </w:r>
          </w:p>
          <w:p>
            <w:pPr>
              <w:wordWrap w:val="0"/>
              <w:rPr>
                <w:szCs w:val="21"/>
              </w:rPr>
            </w:pPr>
            <w:r>
              <w:rPr>
                <w:szCs w:val="21"/>
              </w:rPr>
              <w:t xml:space="preserve">评价为优得30分；评价为良得20分；评价为中得10分；评价为差不得分。专家按百分制打分。 </w:t>
            </w:r>
          </w:p>
          <w:p>
            <w:pPr>
              <w:wordWrap w:val="0"/>
              <w:rPr>
                <w:szCs w:val="21"/>
              </w:rPr>
            </w:pPr>
            <w:r>
              <w:rPr>
                <w:szCs w:val="21"/>
              </w:rPr>
              <w:t xml:space="preserve">（二）1、清晰展示所有标▲项的产品功能截图，得70分； </w:t>
            </w:r>
          </w:p>
          <w:p>
            <w:pPr>
              <w:wordWrap w:val="0"/>
              <w:rPr>
                <w:szCs w:val="21"/>
              </w:rPr>
            </w:pPr>
            <w:r>
              <w:rPr>
                <w:szCs w:val="21"/>
              </w:rPr>
              <w:t xml:space="preserve">2、展示8个及以上标▲项的产品功能截图，得50分； </w:t>
            </w:r>
          </w:p>
          <w:p>
            <w:pPr>
              <w:wordWrap w:val="0"/>
              <w:rPr>
                <w:szCs w:val="21"/>
              </w:rPr>
            </w:pPr>
            <w:r>
              <w:rPr>
                <w:szCs w:val="21"/>
              </w:rPr>
              <w:t xml:space="preserve">3、展示6个及以上标▲项的产品功能截图，得30分； </w:t>
            </w:r>
          </w:p>
          <w:p>
            <w:pPr>
              <w:wordWrap w:val="0"/>
              <w:rPr>
                <w:szCs w:val="21"/>
              </w:rPr>
            </w:pPr>
            <w:r>
              <w:rPr>
                <w:szCs w:val="21"/>
              </w:rPr>
              <w:t xml:space="preserve">4、展示不足6个标▲项的产品功能截图，内容缺乏重点，与实际情况有偏差，得10分，未提供截图不得分。 </w:t>
            </w:r>
          </w:p>
          <w:p>
            <w:pPr>
              <w:wordWrap w:val="0"/>
              <w:rPr>
                <w:rFonts w:ascii="宋体" w:hAnsi="宋体" w:cs="宋体"/>
                <w:szCs w:val="21"/>
              </w:rPr>
            </w:pPr>
            <w:r>
              <w:rPr>
                <w:szCs w:val="21"/>
              </w:rPr>
              <w:t>评分依据：（一）、（二）两项总分为100分；（二）按要求提供相关截图证明资料。产品功能截图需为所投产品，投标人响应情况与评审委员会判定不一致时，以评审委员会意见为主。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0" w:type="auto"/>
            <w:vMerge w:val="continue"/>
            <w:tcBorders>
              <w:top w:val="single" w:color="000000" w:sz="8" w:space="0"/>
              <w:left w:val="single" w:color="000000" w:sz="8" w:space="0"/>
              <w:bottom w:val="single" w:color="000000" w:sz="8" w:space="0"/>
              <w:right w:val="single" w:color="000000" w:sz="8" w:space="0"/>
            </w:tcBorders>
            <w:vAlign w:val="center"/>
          </w:tcPr>
          <w:p>
            <w:pPr>
              <w:rPr>
                <w:rFonts w:ascii="宋体" w:hAnsi="宋体" w:cs="宋体"/>
                <w:b/>
                <w:bCs/>
                <w:color w:val="0000FF"/>
                <w:sz w:val="24"/>
              </w:rPr>
            </w:pPr>
          </w:p>
        </w:tc>
        <w:tc>
          <w:tcPr>
            <w:tcW w:w="680" w:type="dxa"/>
            <w:tcBorders>
              <w:top w:val="single" w:color="000000" w:sz="8" w:space="0"/>
              <w:left w:val="single" w:color="000000" w:sz="8" w:space="0"/>
              <w:bottom w:val="single" w:color="000000" w:sz="8" w:space="0"/>
              <w:right w:val="single" w:color="000000" w:sz="8" w:space="0"/>
            </w:tcBorders>
          </w:tcPr>
          <w:p>
            <w:pPr>
              <w:wordWrap w:val="0"/>
              <w:jc w:val="center"/>
              <w:rPr>
                <w:rFonts w:ascii="宋体" w:hAnsi="宋体" w:cs="宋体"/>
                <w:szCs w:val="21"/>
              </w:rPr>
            </w:pPr>
            <w:r>
              <w:rPr>
                <w:szCs w:val="21"/>
              </w:rPr>
              <w:t>2</w:t>
            </w:r>
          </w:p>
        </w:tc>
        <w:tc>
          <w:tcPr>
            <w:tcW w:w="2835" w:type="dxa"/>
            <w:tcBorders>
              <w:top w:val="single" w:color="000000" w:sz="8" w:space="0"/>
              <w:left w:val="single" w:color="000000" w:sz="8" w:space="0"/>
              <w:bottom w:val="single" w:color="000000" w:sz="8" w:space="0"/>
              <w:right w:val="single" w:color="000000" w:sz="8" w:space="0"/>
            </w:tcBorders>
          </w:tcPr>
          <w:p>
            <w:pPr>
              <w:wordWrap w:val="0"/>
              <w:rPr>
                <w:rFonts w:ascii="宋体" w:hAnsi="宋体" w:cs="宋体"/>
                <w:szCs w:val="21"/>
              </w:rPr>
            </w:pPr>
            <w:r>
              <w:rPr>
                <w:szCs w:val="21"/>
              </w:rPr>
              <w:t>项目重点难点分析、应对措施及相关的合理化建议</w:t>
            </w:r>
          </w:p>
        </w:tc>
        <w:tc>
          <w:tcPr>
            <w:tcW w:w="680" w:type="dxa"/>
            <w:tcBorders>
              <w:top w:val="single" w:color="000000" w:sz="8" w:space="0"/>
              <w:left w:val="single" w:color="000000" w:sz="8" w:space="0"/>
              <w:bottom w:val="single" w:color="000000" w:sz="8" w:space="0"/>
              <w:right w:val="single" w:color="000000" w:sz="8" w:space="0"/>
            </w:tcBorders>
          </w:tcPr>
          <w:p>
            <w:pPr>
              <w:wordWrap w:val="0"/>
              <w:jc w:val="center"/>
              <w:rPr>
                <w:rFonts w:ascii="宋体" w:hAnsi="宋体" w:cs="宋体"/>
                <w:szCs w:val="21"/>
              </w:rPr>
            </w:pPr>
            <w:r>
              <w:rPr>
                <w:szCs w:val="21"/>
              </w:rPr>
              <w:t>10</w:t>
            </w:r>
          </w:p>
        </w:tc>
        <w:tc>
          <w:tcPr>
            <w:tcW w:w="4196" w:type="dxa"/>
            <w:tcBorders>
              <w:top w:val="single" w:color="000000" w:sz="8" w:space="0"/>
              <w:left w:val="single" w:color="000000" w:sz="8" w:space="0"/>
              <w:bottom w:val="single" w:color="000000" w:sz="8" w:space="0"/>
              <w:right w:val="single" w:color="000000" w:sz="8" w:space="0"/>
            </w:tcBorders>
          </w:tcPr>
          <w:p>
            <w:pPr>
              <w:wordWrap w:val="0"/>
              <w:rPr>
                <w:szCs w:val="21"/>
              </w:rPr>
            </w:pPr>
            <w:r>
              <w:rPr>
                <w:szCs w:val="21"/>
              </w:rPr>
              <w:t xml:space="preserve">评审内容： </w:t>
            </w:r>
          </w:p>
          <w:p>
            <w:pPr>
              <w:wordWrap w:val="0"/>
              <w:rPr>
                <w:szCs w:val="21"/>
              </w:rPr>
            </w:pPr>
            <w:r>
              <w:rPr>
                <w:szCs w:val="21"/>
              </w:rPr>
              <w:t xml:space="preserve">对项目重点难点分析、及应对措施，及项目的合理化建议响应情况进行评审 </w:t>
            </w:r>
          </w:p>
          <w:p>
            <w:pPr>
              <w:wordWrap w:val="0"/>
              <w:rPr>
                <w:szCs w:val="21"/>
              </w:rPr>
            </w:pPr>
            <w:r>
              <w:rPr>
                <w:szCs w:val="21"/>
              </w:rPr>
              <w:t xml:space="preserve">内容至少应包括： </w:t>
            </w:r>
          </w:p>
          <w:p>
            <w:pPr>
              <w:wordWrap w:val="0"/>
              <w:rPr>
                <w:szCs w:val="21"/>
              </w:rPr>
            </w:pPr>
            <w:r>
              <w:rPr>
                <w:szCs w:val="21"/>
              </w:rPr>
              <w:t xml:space="preserve">1、 数据集成与治理 </w:t>
            </w:r>
          </w:p>
          <w:p>
            <w:pPr>
              <w:wordWrap w:val="0"/>
              <w:rPr>
                <w:szCs w:val="21"/>
              </w:rPr>
            </w:pPr>
            <w:r>
              <w:rPr>
                <w:szCs w:val="21"/>
              </w:rPr>
              <w:t xml:space="preserve">2、 运行环境 </w:t>
            </w:r>
          </w:p>
          <w:p>
            <w:pPr>
              <w:wordWrap w:val="0"/>
              <w:rPr>
                <w:szCs w:val="21"/>
              </w:rPr>
            </w:pPr>
            <w:r>
              <w:rPr>
                <w:szCs w:val="21"/>
              </w:rPr>
              <w:t xml:space="preserve">3、 软硬件配置 </w:t>
            </w:r>
          </w:p>
          <w:p>
            <w:pPr>
              <w:wordWrap w:val="0"/>
              <w:rPr>
                <w:szCs w:val="21"/>
              </w:rPr>
            </w:pPr>
            <w:r>
              <w:rPr>
                <w:szCs w:val="21"/>
              </w:rPr>
              <w:t xml:space="preserve">4、 系统安全 </w:t>
            </w:r>
          </w:p>
          <w:p>
            <w:pPr>
              <w:wordWrap w:val="0"/>
              <w:rPr>
                <w:szCs w:val="21"/>
              </w:rPr>
            </w:pPr>
            <w:r>
              <w:rPr>
                <w:szCs w:val="21"/>
              </w:rPr>
              <w:t xml:space="preserve">5、 客户满意度提升 </w:t>
            </w:r>
          </w:p>
          <w:p>
            <w:pPr>
              <w:wordWrap w:val="0"/>
              <w:rPr>
                <w:szCs w:val="21"/>
              </w:rPr>
            </w:pPr>
            <w:r>
              <w:rPr>
                <w:szCs w:val="21"/>
              </w:rPr>
              <w:t xml:space="preserve">评分依据： </w:t>
            </w:r>
          </w:p>
          <w:p>
            <w:pPr>
              <w:wordWrap w:val="0"/>
              <w:rPr>
                <w:szCs w:val="21"/>
              </w:rPr>
            </w:pPr>
            <w:r>
              <w:rPr>
                <w:szCs w:val="21"/>
              </w:rPr>
              <w:t xml:space="preserve">满足以上内容五项得80分，两项得60分，一项得30分， </w:t>
            </w:r>
          </w:p>
          <w:p>
            <w:pPr>
              <w:wordWrap w:val="0"/>
              <w:rPr>
                <w:rFonts w:ascii="宋体" w:hAnsi="宋体" w:cs="宋体"/>
                <w:szCs w:val="21"/>
              </w:rPr>
            </w:pPr>
            <w:r>
              <w:rPr>
                <w:szCs w:val="21"/>
              </w:rPr>
              <w:t>专家根据供应商的具体响应内容按照量化的评审因素指标进一步评审，评价为优得20分，评价为良得10分，为中得5分，评审为差得0分。如果评审为差，要求专家书面说明理由，并记录在档。</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0" w:type="auto"/>
            <w:vMerge w:val="continue"/>
            <w:tcBorders>
              <w:top w:val="single" w:color="000000" w:sz="8" w:space="0"/>
              <w:left w:val="single" w:color="000000" w:sz="8" w:space="0"/>
              <w:bottom w:val="single" w:color="000000" w:sz="8" w:space="0"/>
              <w:right w:val="single" w:color="000000" w:sz="8" w:space="0"/>
            </w:tcBorders>
            <w:vAlign w:val="center"/>
          </w:tcPr>
          <w:p>
            <w:pPr>
              <w:rPr>
                <w:rFonts w:ascii="宋体" w:hAnsi="宋体" w:cs="宋体"/>
                <w:b/>
                <w:bCs/>
                <w:color w:val="0000FF"/>
                <w:sz w:val="24"/>
              </w:rPr>
            </w:pPr>
          </w:p>
        </w:tc>
        <w:tc>
          <w:tcPr>
            <w:tcW w:w="680" w:type="dxa"/>
            <w:tcBorders>
              <w:top w:val="single" w:color="000000" w:sz="8" w:space="0"/>
              <w:left w:val="single" w:color="000000" w:sz="8" w:space="0"/>
              <w:bottom w:val="single" w:color="000000" w:sz="8" w:space="0"/>
              <w:right w:val="single" w:color="000000" w:sz="8" w:space="0"/>
            </w:tcBorders>
          </w:tcPr>
          <w:p>
            <w:pPr>
              <w:wordWrap w:val="0"/>
              <w:jc w:val="center"/>
              <w:rPr>
                <w:rFonts w:ascii="宋体" w:hAnsi="宋体" w:cs="宋体"/>
                <w:szCs w:val="21"/>
              </w:rPr>
            </w:pPr>
            <w:r>
              <w:rPr>
                <w:szCs w:val="21"/>
              </w:rPr>
              <w:t>3</w:t>
            </w:r>
          </w:p>
        </w:tc>
        <w:tc>
          <w:tcPr>
            <w:tcW w:w="2835" w:type="dxa"/>
            <w:tcBorders>
              <w:top w:val="single" w:color="000000" w:sz="8" w:space="0"/>
              <w:left w:val="single" w:color="000000" w:sz="8" w:space="0"/>
              <w:bottom w:val="single" w:color="000000" w:sz="8" w:space="0"/>
              <w:right w:val="single" w:color="000000" w:sz="8" w:space="0"/>
            </w:tcBorders>
          </w:tcPr>
          <w:p>
            <w:pPr>
              <w:wordWrap w:val="0"/>
              <w:rPr>
                <w:rFonts w:ascii="宋体" w:hAnsi="宋体" w:cs="宋体"/>
                <w:szCs w:val="21"/>
              </w:rPr>
            </w:pPr>
            <w:r>
              <w:rPr>
                <w:szCs w:val="21"/>
              </w:rPr>
              <w:t>质量（完成时间、安全、环保）保障措施及方案</w:t>
            </w:r>
          </w:p>
        </w:tc>
        <w:tc>
          <w:tcPr>
            <w:tcW w:w="680" w:type="dxa"/>
            <w:tcBorders>
              <w:top w:val="single" w:color="000000" w:sz="8" w:space="0"/>
              <w:left w:val="single" w:color="000000" w:sz="8" w:space="0"/>
              <w:bottom w:val="single" w:color="000000" w:sz="8" w:space="0"/>
              <w:right w:val="single" w:color="000000" w:sz="8" w:space="0"/>
            </w:tcBorders>
          </w:tcPr>
          <w:p>
            <w:pPr>
              <w:wordWrap w:val="0"/>
              <w:jc w:val="center"/>
              <w:rPr>
                <w:rFonts w:ascii="宋体" w:hAnsi="宋体" w:cs="宋体"/>
                <w:szCs w:val="21"/>
              </w:rPr>
            </w:pPr>
            <w:r>
              <w:rPr>
                <w:szCs w:val="21"/>
              </w:rPr>
              <w:t>10</w:t>
            </w:r>
          </w:p>
        </w:tc>
        <w:tc>
          <w:tcPr>
            <w:tcW w:w="4196" w:type="dxa"/>
            <w:tcBorders>
              <w:top w:val="single" w:color="000000" w:sz="8" w:space="0"/>
              <w:left w:val="single" w:color="000000" w:sz="8" w:space="0"/>
              <w:bottom w:val="single" w:color="000000" w:sz="8" w:space="0"/>
              <w:right w:val="single" w:color="000000" w:sz="8" w:space="0"/>
            </w:tcBorders>
          </w:tcPr>
          <w:p>
            <w:pPr>
              <w:wordWrap w:val="0"/>
              <w:rPr>
                <w:szCs w:val="21"/>
              </w:rPr>
            </w:pPr>
            <w:r>
              <w:rPr>
                <w:szCs w:val="21"/>
              </w:rPr>
              <w:t xml:space="preserve">评审内容： </w:t>
            </w:r>
          </w:p>
          <w:p>
            <w:pPr>
              <w:wordWrap w:val="0"/>
              <w:rPr>
                <w:szCs w:val="21"/>
              </w:rPr>
            </w:pPr>
            <w:r>
              <w:rPr>
                <w:szCs w:val="21"/>
              </w:rPr>
              <w:t xml:space="preserve">对项目完成时间、安全、质量等方面进行评审,包括: </w:t>
            </w:r>
          </w:p>
          <w:p>
            <w:pPr>
              <w:wordWrap w:val="0"/>
              <w:rPr>
                <w:szCs w:val="21"/>
              </w:rPr>
            </w:pPr>
            <w:r>
              <w:rPr>
                <w:szCs w:val="21"/>
              </w:rPr>
              <w:t xml:space="preserve">1、 项目人员配置 </w:t>
            </w:r>
          </w:p>
          <w:p>
            <w:pPr>
              <w:wordWrap w:val="0"/>
              <w:rPr>
                <w:szCs w:val="21"/>
              </w:rPr>
            </w:pPr>
            <w:r>
              <w:rPr>
                <w:szCs w:val="21"/>
              </w:rPr>
              <w:t xml:space="preserve">2、 实施进度计划 </w:t>
            </w:r>
          </w:p>
          <w:p>
            <w:pPr>
              <w:wordWrap w:val="0"/>
              <w:rPr>
                <w:szCs w:val="21"/>
              </w:rPr>
            </w:pPr>
            <w:r>
              <w:rPr>
                <w:szCs w:val="21"/>
              </w:rPr>
              <w:t xml:space="preserve">3、 进度控制方案 </w:t>
            </w:r>
          </w:p>
          <w:p>
            <w:pPr>
              <w:wordWrap w:val="0"/>
              <w:rPr>
                <w:szCs w:val="21"/>
              </w:rPr>
            </w:pPr>
            <w:r>
              <w:rPr>
                <w:szCs w:val="21"/>
              </w:rPr>
              <w:t xml:space="preserve">4、 质量管理措施 </w:t>
            </w:r>
          </w:p>
          <w:p>
            <w:pPr>
              <w:wordWrap w:val="0"/>
              <w:rPr>
                <w:szCs w:val="21"/>
              </w:rPr>
            </w:pPr>
            <w:r>
              <w:rPr>
                <w:szCs w:val="21"/>
              </w:rPr>
              <w:t xml:space="preserve">5、 对集中培训、现场培训以及不同培训对象的培训周期、课程安排等方案 </w:t>
            </w:r>
          </w:p>
          <w:p>
            <w:pPr>
              <w:wordWrap w:val="0"/>
              <w:rPr>
                <w:szCs w:val="21"/>
              </w:rPr>
            </w:pPr>
            <w:r>
              <w:rPr>
                <w:szCs w:val="21"/>
              </w:rPr>
              <w:t xml:space="preserve">评分依据： </w:t>
            </w:r>
          </w:p>
          <w:p>
            <w:pPr>
              <w:wordWrap w:val="0"/>
              <w:rPr>
                <w:szCs w:val="21"/>
              </w:rPr>
            </w:pPr>
            <w:r>
              <w:rPr>
                <w:szCs w:val="21"/>
              </w:rPr>
              <w:t xml:space="preserve">满足以上内容五项得80分，两项得60分，一项得30分， </w:t>
            </w:r>
          </w:p>
          <w:p>
            <w:pPr>
              <w:wordWrap w:val="0"/>
              <w:rPr>
                <w:rFonts w:ascii="宋体" w:hAnsi="宋体" w:cs="宋体"/>
                <w:szCs w:val="21"/>
              </w:rPr>
            </w:pPr>
            <w:r>
              <w:rPr>
                <w:szCs w:val="21"/>
              </w:rPr>
              <w:t>专家根据供应商的具体响应内容按照量化的评审因素指标进一步评审，评价为优得20分，评价为良得10分，为中得5分，评审为差得0分。如果评审为差，要求专家书面说明理由，并记录在档。</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0" w:type="auto"/>
            <w:vMerge w:val="continue"/>
            <w:tcBorders>
              <w:top w:val="single" w:color="000000" w:sz="8" w:space="0"/>
              <w:left w:val="single" w:color="000000" w:sz="8" w:space="0"/>
              <w:bottom w:val="single" w:color="000000" w:sz="8" w:space="0"/>
              <w:right w:val="single" w:color="000000" w:sz="8" w:space="0"/>
            </w:tcBorders>
            <w:vAlign w:val="center"/>
          </w:tcPr>
          <w:p>
            <w:pPr>
              <w:rPr>
                <w:rFonts w:ascii="宋体" w:hAnsi="宋体" w:cs="宋体"/>
                <w:b/>
                <w:bCs/>
                <w:color w:val="0000FF"/>
                <w:sz w:val="24"/>
              </w:rPr>
            </w:pPr>
          </w:p>
        </w:tc>
        <w:tc>
          <w:tcPr>
            <w:tcW w:w="680" w:type="dxa"/>
            <w:tcBorders>
              <w:top w:val="single" w:color="000000" w:sz="8" w:space="0"/>
              <w:left w:val="single" w:color="000000" w:sz="8" w:space="0"/>
              <w:bottom w:val="single" w:color="000000" w:sz="8" w:space="0"/>
              <w:right w:val="single" w:color="000000" w:sz="8" w:space="0"/>
            </w:tcBorders>
          </w:tcPr>
          <w:p>
            <w:pPr>
              <w:wordWrap w:val="0"/>
              <w:jc w:val="center"/>
              <w:rPr>
                <w:rFonts w:ascii="宋体" w:hAnsi="宋体" w:cs="宋体"/>
                <w:szCs w:val="21"/>
              </w:rPr>
            </w:pPr>
            <w:r>
              <w:rPr>
                <w:szCs w:val="21"/>
              </w:rPr>
              <w:t>4</w:t>
            </w:r>
          </w:p>
        </w:tc>
        <w:tc>
          <w:tcPr>
            <w:tcW w:w="2835" w:type="dxa"/>
            <w:tcBorders>
              <w:top w:val="single" w:color="000000" w:sz="8" w:space="0"/>
              <w:left w:val="single" w:color="000000" w:sz="8" w:space="0"/>
              <w:bottom w:val="single" w:color="000000" w:sz="8" w:space="0"/>
              <w:right w:val="single" w:color="000000" w:sz="8" w:space="0"/>
            </w:tcBorders>
          </w:tcPr>
          <w:p>
            <w:pPr>
              <w:wordWrap w:val="0"/>
              <w:rPr>
                <w:rFonts w:ascii="宋体" w:hAnsi="宋体" w:cs="宋体"/>
                <w:szCs w:val="21"/>
              </w:rPr>
            </w:pPr>
            <w:r>
              <w:rPr>
                <w:szCs w:val="21"/>
              </w:rPr>
              <w:t>项目完成（服务期满）后的服务承诺</w:t>
            </w:r>
          </w:p>
        </w:tc>
        <w:tc>
          <w:tcPr>
            <w:tcW w:w="680" w:type="dxa"/>
            <w:tcBorders>
              <w:top w:val="single" w:color="000000" w:sz="8" w:space="0"/>
              <w:left w:val="single" w:color="000000" w:sz="8" w:space="0"/>
              <w:bottom w:val="single" w:color="000000" w:sz="8" w:space="0"/>
              <w:right w:val="single" w:color="000000" w:sz="8" w:space="0"/>
            </w:tcBorders>
          </w:tcPr>
          <w:p>
            <w:pPr>
              <w:wordWrap w:val="0"/>
              <w:jc w:val="center"/>
              <w:rPr>
                <w:rFonts w:ascii="宋体" w:hAnsi="宋体" w:cs="宋体"/>
                <w:szCs w:val="21"/>
              </w:rPr>
            </w:pPr>
            <w:r>
              <w:rPr>
                <w:szCs w:val="21"/>
              </w:rPr>
              <w:t>5</w:t>
            </w:r>
          </w:p>
        </w:tc>
        <w:tc>
          <w:tcPr>
            <w:tcW w:w="4196" w:type="dxa"/>
            <w:tcBorders>
              <w:top w:val="single" w:color="000000" w:sz="8" w:space="0"/>
              <w:left w:val="single" w:color="000000" w:sz="8" w:space="0"/>
              <w:bottom w:val="single" w:color="000000" w:sz="8" w:space="0"/>
              <w:right w:val="single" w:color="000000" w:sz="8" w:space="0"/>
            </w:tcBorders>
          </w:tcPr>
          <w:p>
            <w:pPr>
              <w:wordWrap w:val="0"/>
              <w:rPr>
                <w:szCs w:val="21"/>
              </w:rPr>
            </w:pPr>
            <w:r>
              <w:rPr>
                <w:szCs w:val="21"/>
              </w:rPr>
              <w:t xml:space="preserve">评审内容： </w:t>
            </w:r>
          </w:p>
          <w:p>
            <w:pPr>
              <w:wordWrap w:val="0"/>
              <w:rPr>
                <w:szCs w:val="21"/>
              </w:rPr>
            </w:pPr>
            <w:r>
              <w:rPr>
                <w:szCs w:val="21"/>
              </w:rPr>
              <w:t xml:space="preserve">包括： </w:t>
            </w:r>
          </w:p>
          <w:p>
            <w:pPr>
              <w:wordWrap w:val="0"/>
              <w:rPr>
                <w:szCs w:val="21"/>
              </w:rPr>
            </w:pPr>
            <w:r>
              <w:rPr>
                <w:szCs w:val="21"/>
              </w:rPr>
              <w:t xml:space="preserve">1、 本地化售后服务承诺 </w:t>
            </w:r>
          </w:p>
          <w:p>
            <w:pPr>
              <w:wordWrap w:val="0"/>
              <w:rPr>
                <w:szCs w:val="21"/>
              </w:rPr>
            </w:pPr>
            <w:r>
              <w:rPr>
                <w:szCs w:val="21"/>
              </w:rPr>
              <w:t xml:space="preserve">2、 技术支持方案 </w:t>
            </w:r>
          </w:p>
          <w:p>
            <w:pPr>
              <w:wordWrap w:val="0"/>
              <w:rPr>
                <w:szCs w:val="21"/>
              </w:rPr>
            </w:pPr>
            <w:r>
              <w:rPr>
                <w:szCs w:val="21"/>
              </w:rPr>
              <w:t xml:space="preserve">3、 服务与支持方式 </w:t>
            </w:r>
          </w:p>
          <w:p>
            <w:pPr>
              <w:wordWrap w:val="0"/>
              <w:rPr>
                <w:szCs w:val="21"/>
              </w:rPr>
            </w:pPr>
            <w:r>
              <w:rPr>
                <w:szCs w:val="21"/>
              </w:rPr>
              <w:t xml:space="preserve">4、 突发事件应急处理流程 </w:t>
            </w:r>
          </w:p>
          <w:p>
            <w:pPr>
              <w:wordWrap w:val="0"/>
              <w:rPr>
                <w:szCs w:val="21"/>
              </w:rPr>
            </w:pPr>
            <w:r>
              <w:rPr>
                <w:szCs w:val="21"/>
              </w:rPr>
              <w:t xml:space="preserve">5、 突发时间应急人员配置 </w:t>
            </w:r>
          </w:p>
          <w:p>
            <w:pPr>
              <w:wordWrap w:val="0"/>
              <w:rPr>
                <w:szCs w:val="21"/>
              </w:rPr>
            </w:pPr>
            <w:r>
              <w:rPr>
                <w:szCs w:val="21"/>
              </w:rPr>
              <w:t xml:space="preserve">评分依据： </w:t>
            </w:r>
          </w:p>
          <w:p>
            <w:pPr>
              <w:wordWrap w:val="0"/>
              <w:rPr>
                <w:szCs w:val="21"/>
              </w:rPr>
            </w:pPr>
            <w:r>
              <w:rPr>
                <w:szCs w:val="21"/>
              </w:rPr>
              <w:t xml:space="preserve">满足以上内容五项得80分，两项得60分，一项得30分， </w:t>
            </w:r>
          </w:p>
          <w:p>
            <w:pPr>
              <w:wordWrap w:val="0"/>
              <w:rPr>
                <w:rFonts w:ascii="宋体" w:hAnsi="宋体" w:cs="宋体"/>
                <w:szCs w:val="21"/>
              </w:rPr>
            </w:pPr>
            <w:r>
              <w:rPr>
                <w:szCs w:val="21"/>
              </w:rPr>
              <w:t>专家根据供应商的具体响应内容按照量化的评审因素指标进一步评审，评价为优得20分，评价为良得10分，为中得5分，评审为差得0分。如果评审为差，要求专家书面说明理由，并记录在档。</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0" w:type="auto"/>
            <w:vMerge w:val="continue"/>
            <w:tcBorders>
              <w:top w:val="single" w:color="000000" w:sz="8" w:space="0"/>
              <w:left w:val="single" w:color="000000" w:sz="8" w:space="0"/>
              <w:bottom w:val="single" w:color="000000" w:sz="8" w:space="0"/>
              <w:right w:val="single" w:color="000000" w:sz="8" w:space="0"/>
            </w:tcBorders>
            <w:vAlign w:val="center"/>
          </w:tcPr>
          <w:p>
            <w:pPr>
              <w:rPr>
                <w:rFonts w:ascii="宋体" w:hAnsi="宋体" w:cs="宋体"/>
                <w:b/>
                <w:bCs/>
                <w:color w:val="0000FF"/>
                <w:sz w:val="24"/>
              </w:rPr>
            </w:pPr>
          </w:p>
        </w:tc>
        <w:tc>
          <w:tcPr>
            <w:tcW w:w="680" w:type="dxa"/>
            <w:tcBorders>
              <w:top w:val="single" w:color="000000" w:sz="8" w:space="0"/>
              <w:left w:val="single" w:color="000000" w:sz="8" w:space="0"/>
              <w:bottom w:val="single" w:color="000000" w:sz="8" w:space="0"/>
              <w:right w:val="single" w:color="000000" w:sz="8" w:space="0"/>
            </w:tcBorders>
          </w:tcPr>
          <w:p>
            <w:pPr>
              <w:wordWrap w:val="0"/>
              <w:jc w:val="center"/>
              <w:rPr>
                <w:rFonts w:ascii="宋体" w:hAnsi="宋体" w:cs="宋体"/>
                <w:szCs w:val="21"/>
              </w:rPr>
            </w:pPr>
            <w:r>
              <w:rPr>
                <w:szCs w:val="21"/>
              </w:rPr>
              <w:t>5</w:t>
            </w:r>
          </w:p>
        </w:tc>
        <w:tc>
          <w:tcPr>
            <w:tcW w:w="2835" w:type="dxa"/>
            <w:tcBorders>
              <w:top w:val="single" w:color="000000" w:sz="8" w:space="0"/>
              <w:left w:val="single" w:color="000000" w:sz="8" w:space="0"/>
              <w:bottom w:val="single" w:color="000000" w:sz="8" w:space="0"/>
              <w:right w:val="single" w:color="000000" w:sz="8" w:space="0"/>
            </w:tcBorders>
          </w:tcPr>
          <w:p>
            <w:pPr>
              <w:wordWrap w:val="0"/>
              <w:rPr>
                <w:rFonts w:ascii="宋体" w:hAnsi="宋体" w:cs="宋体"/>
                <w:szCs w:val="21"/>
              </w:rPr>
            </w:pPr>
            <w:r>
              <w:rPr>
                <w:szCs w:val="21"/>
              </w:rPr>
              <w:t>违约承诺</w:t>
            </w:r>
          </w:p>
        </w:tc>
        <w:tc>
          <w:tcPr>
            <w:tcW w:w="680" w:type="dxa"/>
            <w:tcBorders>
              <w:top w:val="single" w:color="000000" w:sz="8" w:space="0"/>
              <w:left w:val="single" w:color="000000" w:sz="8" w:space="0"/>
              <w:bottom w:val="single" w:color="000000" w:sz="8" w:space="0"/>
              <w:right w:val="single" w:color="000000" w:sz="8" w:space="0"/>
            </w:tcBorders>
          </w:tcPr>
          <w:p>
            <w:pPr>
              <w:wordWrap w:val="0"/>
              <w:jc w:val="center"/>
              <w:rPr>
                <w:rFonts w:ascii="宋体" w:hAnsi="宋体" w:cs="宋体"/>
                <w:szCs w:val="21"/>
              </w:rPr>
            </w:pPr>
            <w:r>
              <w:rPr>
                <w:szCs w:val="21"/>
              </w:rPr>
              <w:t>3</w:t>
            </w:r>
          </w:p>
        </w:tc>
        <w:tc>
          <w:tcPr>
            <w:tcW w:w="4196" w:type="dxa"/>
            <w:tcBorders>
              <w:top w:val="single" w:color="000000" w:sz="8" w:space="0"/>
              <w:left w:val="single" w:color="000000" w:sz="8" w:space="0"/>
              <w:bottom w:val="single" w:color="000000" w:sz="8" w:space="0"/>
              <w:right w:val="single" w:color="000000" w:sz="8" w:space="0"/>
            </w:tcBorders>
          </w:tcPr>
          <w:p>
            <w:pPr>
              <w:wordWrap w:val="0"/>
              <w:rPr>
                <w:szCs w:val="21"/>
              </w:rPr>
            </w:pPr>
            <w:r>
              <w:rPr>
                <w:szCs w:val="21"/>
              </w:rPr>
              <w:t xml:space="preserve">评审内容： </w:t>
            </w:r>
          </w:p>
          <w:p>
            <w:pPr>
              <w:wordWrap w:val="0"/>
              <w:rPr>
                <w:szCs w:val="21"/>
              </w:rPr>
            </w:pPr>
            <w:r>
              <w:rPr>
                <w:szCs w:val="21"/>
              </w:rPr>
              <w:t xml:space="preserve">投标人按照招标文件商务需求部分，自定违约承诺，格式自拟。 </w:t>
            </w:r>
          </w:p>
          <w:p>
            <w:pPr>
              <w:wordWrap w:val="0"/>
              <w:rPr>
                <w:szCs w:val="21"/>
              </w:rPr>
            </w:pPr>
            <w:r>
              <w:rPr>
                <w:szCs w:val="21"/>
              </w:rPr>
              <w:t xml:space="preserve">评分标准： </w:t>
            </w:r>
          </w:p>
          <w:p>
            <w:pPr>
              <w:wordWrap w:val="0"/>
              <w:rPr>
                <w:rFonts w:ascii="宋体" w:hAnsi="宋体" w:cs="宋体"/>
                <w:szCs w:val="21"/>
              </w:rPr>
            </w:pPr>
            <w:r>
              <w:rPr>
                <w:szCs w:val="21"/>
              </w:rPr>
              <w:t>要求提供承诺函作为得分依据。评分中出现无证明资料或专家无法凭所提供资料判断是否得分的情况，一律作不得分处理。提供承诺的得100分；未提供承诺的不得分。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0" w:type="auto"/>
            <w:vMerge w:val="continue"/>
            <w:tcBorders>
              <w:top w:val="single" w:color="000000" w:sz="8" w:space="0"/>
              <w:left w:val="single" w:color="000000" w:sz="8" w:space="0"/>
              <w:bottom w:val="single" w:color="000000" w:sz="8" w:space="0"/>
              <w:right w:val="single" w:color="000000" w:sz="8" w:space="0"/>
            </w:tcBorders>
            <w:vAlign w:val="center"/>
          </w:tcPr>
          <w:p>
            <w:pPr>
              <w:rPr>
                <w:rFonts w:ascii="宋体" w:hAnsi="宋体" w:cs="宋体"/>
                <w:b/>
                <w:bCs/>
                <w:color w:val="0000FF"/>
                <w:sz w:val="24"/>
              </w:rPr>
            </w:pPr>
          </w:p>
        </w:tc>
        <w:tc>
          <w:tcPr>
            <w:tcW w:w="680" w:type="dxa"/>
            <w:tcBorders>
              <w:top w:val="single" w:color="000000" w:sz="8" w:space="0"/>
              <w:left w:val="single" w:color="000000" w:sz="8" w:space="0"/>
              <w:bottom w:val="single" w:color="000000" w:sz="8" w:space="0"/>
              <w:right w:val="single" w:color="000000" w:sz="8" w:space="0"/>
            </w:tcBorders>
          </w:tcPr>
          <w:p>
            <w:pPr>
              <w:wordWrap w:val="0"/>
              <w:jc w:val="center"/>
              <w:rPr>
                <w:rFonts w:ascii="宋体" w:hAnsi="宋体" w:cs="宋体"/>
                <w:szCs w:val="21"/>
              </w:rPr>
            </w:pPr>
            <w:r>
              <w:rPr>
                <w:szCs w:val="21"/>
              </w:rPr>
              <w:t>6</w:t>
            </w:r>
          </w:p>
        </w:tc>
        <w:tc>
          <w:tcPr>
            <w:tcW w:w="2835" w:type="dxa"/>
            <w:tcBorders>
              <w:top w:val="single" w:color="000000" w:sz="8" w:space="0"/>
              <w:left w:val="single" w:color="000000" w:sz="8" w:space="0"/>
              <w:bottom w:val="single" w:color="000000" w:sz="8" w:space="0"/>
              <w:right w:val="single" w:color="000000" w:sz="8" w:space="0"/>
            </w:tcBorders>
          </w:tcPr>
          <w:p>
            <w:pPr>
              <w:wordWrap w:val="0"/>
              <w:rPr>
                <w:rFonts w:ascii="宋体" w:hAnsi="宋体" w:cs="宋体"/>
                <w:szCs w:val="21"/>
              </w:rPr>
            </w:pPr>
            <w:r>
              <w:rPr>
                <w:szCs w:val="21"/>
              </w:rPr>
              <w:t>拟安排的项目负责人情况（仅限一人）</w:t>
            </w:r>
          </w:p>
        </w:tc>
        <w:tc>
          <w:tcPr>
            <w:tcW w:w="680" w:type="dxa"/>
            <w:tcBorders>
              <w:top w:val="single" w:color="000000" w:sz="8" w:space="0"/>
              <w:left w:val="single" w:color="000000" w:sz="8" w:space="0"/>
              <w:bottom w:val="single" w:color="000000" w:sz="8" w:space="0"/>
              <w:right w:val="single" w:color="000000" w:sz="8" w:space="0"/>
            </w:tcBorders>
          </w:tcPr>
          <w:p>
            <w:pPr>
              <w:wordWrap w:val="0"/>
              <w:jc w:val="center"/>
              <w:rPr>
                <w:rFonts w:ascii="宋体" w:hAnsi="宋体" w:cs="宋体"/>
                <w:szCs w:val="21"/>
              </w:rPr>
            </w:pPr>
            <w:r>
              <w:rPr>
                <w:szCs w:val="21"/>
              </w:rPr>
              <w:t>6</w:t>
            </w:r>
          </w:p>
        </w:tc>
        <w:tc>
          <w:tcPr>
            <w:tcW w:w="4196" w:type="dxa"/>
            <w:tcBorders>
              <w:top w:val="single" w:color="000000" w:sz="8" w:space="0"/>
              <w:left w:val="single" w:color="000000" w:sz="8" w:space="0"/>
              <w:bottom w:val="single" w:color="000000" w:sz="8" w:space="0"/>
              <w:right w:val="single" w:color="000000" w:sz="8" w:space="0"/>
            </w:tcBorders>
          </w:tcPr>
          <w:p>
            <w:pPr>
              <w:wordWrap w:val="0"/>
              <w:rPr>
                <w:szCs w:val="21"/>
              </w:rPr>
            </w:pPr>
            <w:r>
              <w:rPr>
                <w:szCs w:val="21"/>
              </w:rPr>
              <w:t xml:space="preserve">（一）评审内容： 拟安排项目负责人为投标单位员工（以社保为准），否则本项不得分。 </w:t>
            </w:r>
          </w:p>
          <w:p>
            <w:pPr>
              <w:wordWrap w:val="0"/>
              <w:rPr>
                <w:szCs w:val="21"/>
              </w:rPr>
            </w:pPr>
            <w:r>
              <w:rPr>
                <w:szCs w:val="21"/>
              </w:rPr>
              <w:t xml:space="preserve">1.项目负责人具有PMP证书和人力资源和社会保障局颁发的高级信息系统项目管理师证书任意一项得50分，同时具有得100分； </w:t>
            </w:r>
          </w:p>
          <w:p>
            <w:pPr>
              <w:wordWrap w:val="0"/>
              <w:rPr>
                <w:szCs w:val="21"/>
              </w:rPr>
            </w:pPr>
            <w:r>
              <w:rPr>
                <w:szCs w:val="21"/>
              </w:rPr>
              <w:t xml:space="preserve">（二）评分依据： </w:t>
            </w:r>
          </w:p>
          <w:p>
            <w:pPr>
              <w:wordWrap w:val="0"/>
              <w:rPr>
                <w:szCs w:val="21"/>
              </w:rPr>
            </w:pPr>
            <w:r>
              <w:rPr>
                <w:szCs w:val="21"/>
              </w:rPr>
              <w:t xml:space="preserve">1.要求提供通过投标人缴纳的近三个月（2021年6月至2021年8月，由于社保部门原因最近一个月的社保证明无法提供的可往前顺延一个月）的社保证明作为本单位员工的证明依据。 </w:t>
            </w:r>
          </w:p>
          <w:p>
            <w:pPr>
              <w:wordWrap w:val="0"/>
              <w:rPr>
                <w:szCs w:val="21"/>
              </w:rPr>
            </w:pPr>
            <w:r>
              <w:rPr>
                <w:szCs w:val="21"/>
              </w:rPr>
              <w:t xml:space="preserve">2.要求提供投标人相关证明资料作为得分依据。 </w:t>
            </w:r>
          </w:p>
          <w:p>
            <w:pPr>
              <w:wordWrap w:val="0"/>
              <w:rPr>
                <w:rFonts w:ascii="宋体" w:hAnsi="宋体" w:cs="宋体"/>
                <w:szCs w:val="21"/>
              </w:rPr>
            </w:pPr>
            <w:r>
              <w:rPr>
                <w:szCs w:val="21"/>
              </w:rPr>
              <w:t>3.以上资料均要求提供扫描件（或官方网站截图）。评分中出现无证明资料或专家无法凭所提供资料判断是否得分的情况，一律作不得分处理。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0" w:type="auto"/>
            <w:vMerge w:val="continue"/>
            <w:tcBorders>
              <w:top w:val="single" w:color="000000" w:sz="8" w:space="0"/>
              <w:left w:val="single" w:color="000000" w:sz="8" w:space="0"/>
              <w:bottom w:val="single" w:color="000000" w:sz="8" w:space="0"/>
              <w:right w:val="single" w:color="000000" w:sz="8" w:space="0"/>
            </w:tcBorders>
            <w:vAlign w:val="center"/>
          </w:tcPr>
          <w:p>
            <w:pPr>
              <w:rPr>
                <w:rFonts w:ascii="宋体" w:hAnsi="宋体" w:cs="宋体"/>
                <w:b/>
                <w:bCs/>
                <w:color w:val="0000FF"/>
                <w:sz w:val="24"/>
              </w:rPr>
            </w:pPr>
          </w:p>
        </w:tc>
        <w:tc>
          <w:tcPr>
            <w:tcW w:w="680" w:type="dxa"/>
            <w:tcBorders>
              <w:top w:val="single" w:color="000000" w:sz="8" w:space="0"/>
              <w:left w:val="single" w:color="000000" w:sz="8" w:space="0"/>
              <w:bottom w:val="single" w:color="000000" w:sz="8" w:space="0"/>
              <w:right w:val="single" w:color="000000" w:sz="8" w:space="0"/>
            </w:tcBorders>
          </w:tcPr>
          <w:p>
            <w:pPr>
              <w:wordWrap w:val="0"/>
              <w:jc w:val="center"/>
              <w:rPr>
                <w:rFonts w:ascii="宋体" w:hAnsi="宋体" w:cs="宋体"/>
                <w:szCs w:val="21"/>
              </w:rPr>
            </w:pPr>
            <w:r>
              <w:rPr>
                <w:szCs w:val="21"/>
              </w:rPr>
              <w:t>7</w:t>
            </w:r>
          </w:p>
        </w:tc>
        <w:tc>
          <w:tcPr>
            <w:tcW w:w="2835" w:type="dxa"/>
            <w:tcBorders>
              <w:top w:val="single" w:color="000000" w:sz="8" w:space="0"/>
              <w:left w:val="single" w:color="000000" w:sz="8" w:space="0"/>
              <w:bottom w:val="single" w:color="000000" w:sz="8" w:space="0"/>
              <w:right w:val="single" w:color="000000" w:sz="8" w:space="0"/>
            </w:tcBorders>
          </w:tcPr>
          <w:p>
            <w:pPr>
              <w:wordWrap w:val="0"/>
              <w:rPr>
                <w:rFonts w:ascii="宋体" w:hAnsi="宋体" w:cs="宋体"/>
                <w:szCs w:val="21"/>
              </w:rPr>
            </w:pPr>
            <w:r>
              <w:rPr>
                <w:szCs w:val="21"/>
              </w:rPr>
              <w:t>拟安排的项目主要团队成员（主要技术人员）情况（项目负责人除外）</w:t>
            </w:r>
          </w:p>
        </w:tc>
        <w:tc>
          <w:tcPr>
            <w:tcW w:w="680" w:type="dxa"/>
            <w:tcBorders>
              <w:top w:val="single" w:color="000000" w:sz="8" w:space="0"/>
              <w:left w:val="single" w:color="000000" w:sz="8" w:space="0"/>
              <w:bottom w:val="single" w:color="000000" w:sz="8" w:space="0"/>
              <w:right w:val="single" w:color="000000" w:sz="8" w:space="0"/>
            </w:tcBorders>
          </w:tcPr>
          <w:p>
            <w:pPr>
              <w:wordWrap w:val="0"/>
              <w:jc w:val="center"/>
              <w:rPr>
                <w:rFonts w:ascii="宋体" w:hAnsi="宋体" w:cs="宋体"/>
                <w:szCs w:val="21"/>
              </w:rPr>
            </w:pPr>
            <w:r>
              <w:rPr>
                <w:szCs w:val="21"/>
              </w:rPr>
              <w:t>9</w:t>
            </w:r>
          </w:p>
        </w:tc>
        <w:tc>
          <w:tcPr>
            <w:tcW w:w="4196" w:type="dxa"/>
            <w:tcBorders>
              <w:top w:val="single" w:color="000000" w:sz="8" w:space="0"/>
              <w:left w:val="single" w:color="000000" w:sz="8" w:space="0"/>
              <w:bottom w:val="single" w:color="000000" w:sz="8" w:space="0"/>
              <w:right w:val="single" w:color="000000" w:sz="8" w:space="0"/>
            </w:tcBorders>
          </w:tcPr>
          <w:p>
            <w:pPr>
              <w:wordWrap w:val="0"/>
              <w:rPr>
                <w:szCs w:val="21"/>
              </w:rPr>
            </w:pPr>
            <w:r>
              <w:rPr>
                <w:szCs w:val="21"/>
              </w:rPr>
              <w:t xml:space="preserve">（一）评审内容：拟安排项目主要团队成员为投标单位员工（以社保为准），否则该人员情况不计分。同一主要技术人员具备多个证书的可累计计分。 </w:t>
            </w:r>
          </w:p>
          <w:p>
            <w:pPr>
              <w:wordWrap w:val="0"/>
              <w:rPr>
                <w:szCs w:val="21"/>
              </w:rPr>
            </w:pPr>
            <w:r>
              <w:rPr>
                <w:szCs w:val="21"/>
              </w:rPr>
              <w:t xml:space="preserve">1、成员中具有有医学相关专业，包括医学、药学、公卫、护理等相关专业本科及以上学历证书，一名得15分，最高15分； </w:t>
            </w:r>
          </w:p>
          <w:p>
            <w:pPr>
              <w:wordWrap w:val="0"/>
              <w:rPr>
                <w:szCs w:val="21"/>
              </w:rPr>
            </w:pPr>
            <w:r>
              <w:rPr>
                <w:szCs w:val="21"/>
              </w:rPr>
              <w:t xml:space="preserve">2、成员中具有统计学相关专业本科及以上学历证书，一名得15分，最高15分； </w:t>
            </w:r>
          </w:p>
          <w:p>
            <w:pPr>
              <w:wordWrap w:val="0"/>
              <w:rPr>
                <w:szCs w:val="21"/>
              </w:rPr>
            </w:pPr>
            <w:r>
              <w:rPr>
                <w:szCs w:val="21"/>
              </w:rPr>
              <w:t xml:space="preserve">3、成员中具有计算机相关专业本科以上学历证书的，一名得10分，最高30分； </w:t>
            </w:r>
          </w:p>
          <w:p>
            <w:pPr>
              <w:wordWrap w:val="0"/>
              <w:rPr>
                <w:szCs w:val="21"/>
              </w:rPr>
            </w:pPr>
            <w:r>
              <w:rPr>
                <w:szCs w:val="21"/>
              </w:rPr>
              <w:t xml:space="preserve">4、成员中具有一名Oracle数据库认证专家（OCP），一名得40分，最高40分。 </w:t>
            </w:r>
          </w:p>
          <w:p>
            <w:pPr>
              <w:wordWrap w:val="0"/>
              <w:rPr>
                <w:szCs w:val="21"/>
              </w:rPr>
            </w:pPr>
            <w:r>
              <w:rPr>
                <w:szCs w:val="21"/>
              </w:rPr>
              <w:t xml:space="preserve">（二）评分依据： </w:t>
            </w:r>
          </w:p>
          <w:p>
            <w:pPr>
              <w:wordWrap w:val="0"/>
              <w:rPr>
                <w:szCs w:val="21"/>
              </w:rPr>
            </w:pPr>
            <w:r>
              <w:rPr>
                <w:szCs w:val="21"/>
              </w:rPr>
              <w:t xml:space="preserve">1. 要求提供通过投标人缴纳的近三个月（2021年6月至2021年8月，由于社保部门原因最近一个月的社保证明无法提供的可往前顺延一个月）的社保证明作为本单位员工的证明依据。 </w:t>
            </w:r>
          </w:p>
          <w:p>
            <w:pPr>
              <w:wordWrap w:val="0"/>
              <w:rPr>
                <w:szCs w:val="21"/>
              </w:rPr>
            </w:pPr>
            <w:r>
              <w:rPr>
                <w:szCs w:val="21"/>
              </w:rPr>
              <w:t xml:space="preserve">2.要求提供投标人相关证明资料作为得分依据。 </w:t>
            </w:r>
          </w:p>
          <w:p>
            <w:pPr>
              <w:wordWrap w:val="0"/>
              <w:rPr>
                <w:rFonts w:ascii="宋体" w:hAnsi="宋体" w:cs="宋体"/>
                <w:szCs w:val="21"/>
              </w:rPr>
            </w:pPr>
            <w:r>
              <w:rPr>
                <w:szCs w:val="21"/>
              </w:rPr>
              <w:t>3.以上资料均要求提供扫描件（或官方网站截图）。评分中出现无证明资料或专家无法凭所提供资料判断是否得分的情况，一律作不得分处理。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restart"/>
            <w:tcBorders>
              <w:top w:val="single" w:color="000000" w:sz="8" w:space="0"/>
              <w:left w:val="single" w:color="000000" w:sz="8" w:space="0"/>
              <w:bottom w:val="single" w:color="000000" w:sz="8" w:space="0"/>
              <w:right w:val="single" w:color="000000" w:sz="8" w:space="0"/>
            </w:tcBorders>
          </w:tcPr>
          <w:p>
            <w:pPr>
              <w:wordWrap w:val="0"/>
              <w:jc w:val="center"/>
              <w:rPr>
                <w:rFonts w:ascii="宋体" w:hAnsi="宋体" w:cs="宋体"/>
                <w:b/>
                <w:bCs/>
                <w:color w:val="0000FF"/>
                <w:sz w:val="24"/>
              </w:rPr>
            </w:pPr>
            <w:r>
              <w:rPr>
                <w:b/>
                <w:bCs/>
                <w:color w:val="0000FF"/>
              </w:rPr>
              <w:t>3</w:t>
            </w:r>
          </w:p>
        </w:tc>
        <w:tc>
          <w:tcPr>
            <w:tcW w:w="4196" w:type="dxa"/>
            <w:gridSpan w:val="3"/>
            <w:tcBorders>
              <w:top w:val="single" w:color="000000" w:sz="8" w:space="0"/>
              <w:left w:val="single" w:color="000000" w:sz="8" w:space="0"/>
              <w:bottom w:val="single" w:color="000000" w:sz="8" w:space="0"/>
              <w:right w:val="single" w:color="000000" w:sz="8" w:space="0"/>
            </w:tcBorders>
          </w:tcPr>
          <w:p>
            <w:pPr>
              <w:wordWrap w:val="0"/>
              <w:jc w:val="center"/>
              <w:rPr>
                <w:rFonts w:ascii="宋体" w:hAnsi="宋体" w:cs="宋体"/>
                <w:b/>
                <w:bCs/>
                <w:color w:val="0000FF"/>
                <w:sz w:val="24"/>
              </w:rPr>
            </w:pPr>
            <w:r>
              <w:rPr>
                <w:b/>
                <w:bCs/>
                <w:color w:val="0000FF"/>
              </w:rPr>
              <w:t>综合实力</w:t>
            </w:r>
          </w:p>
        </w:tc>
        <w:tc>
          <w:tcPr>
            <w:tcW w:w="4196" w:type="dxa"/>
            <w:tcBorders>
              <w:top w:val="single" w:color="000000" w:sz="8" w:space="0"/>
              <w:left w:val="single" w:color="000000" w:sz="8" w:space="0"/>
              <w:bottom w:val="single" w:color="000000" w:sz="8" w:space="0"/>
              <w:right w:val="single" w:color="000000" w:sz="8" w:space="0"/>
            </w:tcBorders>
          </w:tcPr>
          <w:p>
            <w:pPr>
              <w:wordWrap w:val="0"/>
              <w:jc w:val="center"/>
              <w:rPr>
                <w:rFonts w:ascii="宋体" w:hAnsi="宋体" w:cs="宋体"/>
                <w:b/>
                <w:bCs/>
                <w:color w:val="0000FF"/>
                <w:sz w:val="24"/>
              </w:rPr>
            </w:pPr>
            <w:r>
              <w:rPr>
                <w:b/>
                <w:bCs/>
                <w:color w:val="0000FF"/>
              </w:rPr>
              <w:t>22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0" w:type="auto"/>
            <w:vMerge w:val="continue"/>
            <w:tcBorders>
              <w:top w:val="single" w:color="000000" w:sz="8" w:space="0"/>
              <w:left w:val="single" w:color="000000" w:sz="8" w:space="0"/>
              <w:bottom w:val="single" w:color="000000" w:sz="8" w:space="0"/>
              <w:right w:val="single" w:color="000000" w:sz="8" w:space="0"/>
            </w:tcBorders>
            <w:vAlign w:val="center"/>
          </w:tcPr>
          <w:p>
            <w:pPr>
              <w:rPr>
                <w:rFonts w:ascii="宋体" w:hAnsi="宋体" w:cs="宋体"/>
                <w:b/>
                <w:bCs/>
                <w:color w:val="0000FF"/>
                <w:sz w:val="24"/>
              </w:rPr>
            </w:pPr>
          </w:p>
        </w:tc>
        <w:tc>
          <w:tcPr>
            <w:tcW w:w="8278" w:type="dxa"/>
            <w:gridSpan w:val="4"/>
            <w:tcBorders>
              <w:top w:val="single" w:color="000000" w:sz="8" w:space="0"/>
              <w:left w:val="single" w:color="000000" w:sz="8" w:space="0"/>
              <w:bottom w:val="single" w:color="000000" w:sz="8" w:space="0"/>
              <w:right w:val="single" w:color="000000" w:sz="8" w:space="0"/>
            </w:tcBorders>
          </w:tcPr>
          <w:p>
            <w:pPr>
              <w:wordWrap w:val="0"/>
              <w:rPr>
                <w:rFonts w:ascii="宋体" w:hAnsi="宋体" w:cs="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E6EFFA"/>
            <w:vAlign w:val="center"/>
          </w:tcPr>
          <w:p>
            <w:pPr>
              <w:rPr>
                <w:rFonts w:ascii="宋体" w:hAnsi="宋体" w:cs="宋体"/>
                <w:b/>
                <w:bCs/>
                <w:color w:val="0000FF"/>
                <w:sz w:val="24"/>
              </w:rPr>
            </w:pPr>
          </w:p>
        </w:tc>
        <w:tc>
          <w:tcPr>
            <w:tcW w:w="680" w:type="dxa"/>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jc w:val="center"/>
              <w:rPr>
                <w:rFonts w:ascii="宋体" w:hAnsi="宋体" w:cs="宋体"/>
                <w:szCs w:val="21"/>
              </w:rPr>
            </w:pPr>
            <w:r>
              <w:rPr>
                <w:szCs w:val="21"/>
              </w:rPr>
              <w:t>序号</w:t>
            </w:r>
          </w:p>
        </w:tc>
        <w:tc>
          <w:tcPr>
            <w:tcW w:w="2835" w:type="dxa"/>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jc w:val="center"/>
              <w:rPr>
                <w:rFonts w:ascii="宋体" w:hAnsi="宋体" w:cs="宋体"/>
                <w:szCs w:val="21"/>
              </w:rPr>
            </w:pPr>
            <w:r>
              <w:rPr>
                <w:szCs w:val="21"/>
              </w:rPr>
              <w:t>评分因素</w:t>
            </w:r>
          </w:p>
        </w:tc>
        <w:tc>
          <w:tcPr>
            <w:tcW w:w="680" w:type="dxa"/>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jc w:val="center"/>
              <w:rPr>
                <w:rFonts w:ascii="宋体" w:hAnsi="宋体" w:cs="宋体"/>
                <w:szCs w:val="21"/>
              </w:rPr>
            </w:pPr>
            <w:r>
              <w:rPr>
                <w:szCs w:val="21"/>
              </w:rPr>
              <w:t>权重(%)</w:t>
            </w:r>
          </w:p>
        </w:tc>
        <w:tc>
          <w:tcPr>
            <w:tcW w:w="2920" w:type="dxa"/>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jc w:val="center"/>
              <w:rPr>
                <w:rFonts w:ascii="宋体" w:hAnsi="宋体" w:cs="宋体"/>
                <w:szCs w:val="21"/>
              </w:rPr>
            </w:pPr>
            <w:r>
              <w:rPr>
                <w:szCs w:val="21"/>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0" w:type="auto"/>
            <w:vMerge w:val="continue"/>
            <w:tcBorders>
              <w:top w:val="single" w:color="000000" w:sz="8" w:space="0"/>
              <w:left w:val="single" w:color="000000" w:sz="8" w:space="0"/>
              <w:bottom w:val="single" w:color="000000" w:sz="8" w:space="0"/>
              <w:right w:val="single" w:color="000000" w:sz="8" w:space="0"/>
            </w:tcBorders>
            <w:vAlign w:val="center"/>
          </w:tcPr>
          <w:p>
            <w:pPr>
              <w:rPr>
                <w:rFonts w:ascii="宋体" w:hAnsi="宋体" w:cs="宋体"/>
                <w:b/>
                <w:bCs/>
                <w:color w:val="0000FF"/>
                <w:sz w:val="24"/>
              </w:rPr>
            </w:pPr>
          </w:p>
        </w:tc>
        <w:tc>
          <w:tcPr>
            <w:tcW w:w="680" w:type="dxa"/>
            <w:tcBorders>
              <w:top w:val="single" w:color="000000" w:sz="8" w:space="0"/>
              <w:left w:val="single" w:color="000000" w:sz="8" w:space="0"/>
              <w:bottom w:val="single" w:color="000000" w:sz="8" w:space="0"/>
              <w:right w:val="single" w:color="000000" w:sz="8" w:space="0"/>
            </w:tcBorders>
          </w:tcPr>
          <w:p>
            <w:pPr>
              <w:wordWrap w:val="0"/>
              <w:jc w:val="center"/>
              <w:rPr>
                <w:rFonts w:ascii="宋体" w:hAnsi="宋体" w:cs="宋体"/>
                <w:szCs w:val="21"/>
              </w:rPr>
            </w:pPr>
            <w:r>
              <w:rPr>
                <w:szCs w:val="21"/>
              </w:rPr>
              <w:t>1</w:t>
            </w:r>
          </w:p>
        </w:tc>
        <w:tc>
          <w:tcPr>
            <w:tcW w:w="2835" w:type="dxa"/>
            <w:tcBorders>
              <w:top w:val="single" w:color="000000" w:sz="8" w:space="0"/>
              <w:left w:val="single" w:color="000000" w:sz="8" w:space="0"/>
              <w:bottom w:val="single" w:color="000000" w:sz="8" w:space="0"/>
              <w:right w:val="single" w:color="000000" w:sz="8" w:space="0"/>
            </w:tcBorders>
          </w:tcPr>
          <w:p>
            <w:pPr>
              <w:wordWrap w:val="0"/>
              <w:rPr>
                <w:rFonts w:ascii="宋体" w:hAnsi="宋体" w:cs="宋体"/>
                <w:szCs w:val="21"/>
              </w:rPr>
            </w:pPr>
            <w:r>
              <w:rPr>
                <w:szCs w:val="21"/>
              </w:rPr>
              <w:t>投标人通过相关认证情况</w:t>
            </w:r>
          </w:p>
        </w:tc>
        <w:tc>
          <w:tcPr>
            <w:tcW w:w="680" w:type="dxa"/>
            <w:tcBorders>
              <w:top w:val="single" w:color="000000" w:sz="8" w:space="0"/>
              <w:left w:val="single" w:color="000000" w:sz="8" w:space="0"/>
              <w:bottom w:val="single" w:color="000000" w:sz="8" w:space="0"/>
              <w:right w:val="single" w:color="000000" w:sz="8" w:space="0"/>
            </w:tcBorders>
          </w:tcPr>
          <w:p>
            <w:pPr>
              <w:wordWrap w:val="0"/>
              <w:jc w:val="center"/>
              <w:rPr>
                <w:rFonts w:ascii="宋体" w:hAnsi="宋体" w:cs="宋体"/>
                <w:szCs w:val="21"/>
              </w:rPr>
            </w:pPr>
            <w:r>
              <w:rPr>
                <w:szCs w:val="21"/>
              </w:rPr>
              <w:t>5</w:t>
            </w:r>
          </w:p>
        </w:tc>
        <w:tc>
          <w:tcPr>
            <w:tcW w:w="4196" w:type="dxa"/>
            <w:tcBorders>
              <w:top w:val="single" w:color="000000" w:sz="8" w:space="0"/>
              <w:left w:val="single" w:color="000000" w:sz="8" w:space="0"/>
              <w:bottom w:val="single" w:color="000000" w:sz="8" w:space="0"/>
              <w:right w:val="single" w:color="000000" w:sz="8" w:space="0"/>
            </w:tcBorders>
          </w:tcPr>
          <w:p>
            <w:pPr>
              <w:wordWrap w:val="0"/>
              <w:rPr>
                <w:szCs w:val="21"/>
              </w:rPr>
            </w:pPr>
            <w:r>
              <w:rPr>
                <w:szCs w:val="21"/>
              </w:rPr>
              <w:t xml:space="preserve">（一）评审内容： </w:t>
            </w:r>
          </w:p>
          <w:p>
            <w:pPr>
              <w:wordWrap w:val="0"/>
              <w:rPr>
                <w:szCs w:val="21"/>
              </w:rPr>
            </w:pPr>
            <w:r>
              <w:rPr>
                <w:szCs w:val="21"/>
              </w:rPr>
              <w:t xml:space="preserve">1、提供信息产业信息安全评测中心测评颁布的《医院高效运营管理系统安全评估报告》并在报告中体现已达到国家信息安全技术网络安全等级保护第三级安全防护水平，符合得20分； </w:t>
            </w:r>
          </w:p>
          <w:p>
            <w:pPr>
              <w:wordWrap w:val="0"/>
              <w:rPr>
                <w:szCs w:val="21"/>
              </w:rPr>
            </w:pPr>
            <w:r>
              <w:rPr>
                <w:szCs w:val="21"/>
              </w:rPr>
              <w:t xml:space="preserve">2、企业信用等级：提供中国软件行业协会评定的行业信用等级AAA级，符合得20分； </w:t>
            </w:r>
          </w:p>
          <w:p>
            <w:pPr>
              <w:wordWrap w:val="0"/>
              <w:rPr>
                <w:szCs w:val="21"/>
              </w:rPr>
            </w:pPr>
            <w:r>
              <w:rPr>
                <w:szCs w:val="21"/>
              </w:rPr>
              <w:t xml:space="preserve">3、管理体系认证：同时通过ISO9001、ISO14001、ISO45001三类管理体系认证，认证范围都包含有“医疗行业应用软件开发及服务”，全部满足得20分 ； </w:t>
            </w:r>
          </w:p>
          <w:p>
            <w:pPr>
              <w:wordWrap w:val="0"/>
              <w:rPr>
                <w:szCs w:val="21"/>
              </w:rPr>
            </w:pPr>
            <w:r>
              <w:rPr>
                <w:szCs w:val="21"/>
              </w:rPr>
              <w:t xml:space="preserve">4、信息体系认证：同时通过ISO20000和ISO27001双信息管理体系认证，认证范围都包含有“医疗行业应用软件开发及服务”，全部满足得20分 ； </w:t>
            </w:r>
          </w:p>
          <w:p>
            <w:pPr>
              <w:wordWrap w:val="0"/>
              <w:rPr>
                <w:szCs w:val="21"/>
              </w:rPr>
            </w:pPr>
            <w:r>
              <w:rPr>
                <w:szCs w:val="21"/>
              </w:rPr>
              <w:t xml:space="preserve">5、具备ITSS信息技术服务标准符合性证书三级，符合得20分 </w:t>
            </w:r>
          </w:p>
          <w:p>
            <w:pPr>
              <w:wordWrap w:val="0"/>
              <w:rPr>
                <w:szCs w:val="21"/>
              </w:rPr>
            </w:pPr>
            <w:r>
              <w:rPr>
                <w:szCs w:val="21"/>
              </w:rPr>
              <w:t xml:space="preserve">（二）评分依据： </w:t>
            </w:r>
          </w:p>
          <w:p>
            <w:pPr>
              <w:wordWrap w:val="0"/>
              <w:rPr>
                <w:szCs w:val="21"/>
              </w:rPr>
            </w:pPr>
            <w:r>
              <w:rPr>
                <w:szCs w:val="21"/>
              </w:rPr>
              <w:t xml:space="preserve">1.要求提供有效的测评报告或认证证书作为得分依据。 </w:t>
            </w:r>
          </w:p>
          <w:p>
            <w:pPr>
              <w:wordWrap w:val="0"/>
              <w:rPr>
                <w:rFonts w:ascii="宋体" w:hAnsi="宋体" w:cs="宋体"/>
                <w:szCs w:val="21"/>
              </w:rPr>
            </w:pPr>
            <w:r>
              <w:rPr>
                <w:szCs w:val="21"/>
              </w:rPr>
              <w:t>2.以上资料均要求提供扫描件（或官方网站截图）。评分中出现无证明资料或专家无法凭所提供资料判断是否得分的情况，一律作不得分处理。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0" w:type="auto"/>
            <w:vMerge w:val="continue"/>
            <w:tcBorders>
              <w:top w:val="single" w:color="000000" w:sz="8" w:space="0"/>
              <w:left w:val="single" w:color="000000" w:sz="8" w:space="0"/>
              <w:bottom w:val="single" w:color="000000" w:sz="8" w:space="0"/>
              <w:right w:val="single" w:color="000000" w:sz="8" w:space="0"/>
            </w:tcBorders>
            <w:vAlign w:val="center"/>
          </w:tcPr>
          <w:p>
            <w:pPr>
              <w:rPr>
                <w:rFonts w:ascii="宋体" w:hAnsi="宋体" w:cs="宋体"/>
                <w:b/>
                <w:bCs/>
                <w:color w:val="0000FF"/>
                <w:sz w:val="24"/>
              </w:rPr>
            </w:pPr>
          </w:p>
        </w:tc>
        <w:tc>
          <w:tcPr>
            <w:tcW w:w="680" w:type="dxa"/>
            <w:tcBorders>
              <w:top w:val="single" w:color="000000" w:sz="8" w:space="0"/>
              <w:left w:val="single" w:color="000000" w:sz="8" w:space="0"/>
              <w:bottom w:val="single" w:color="000000" w:sz="8" w:space="0"/>
              <w:right w:val="single" w:color="000000" w:sz="8" w:space="0"/>
            </w:tcBorders>
          </w:tcPr>
          <w:p>
            <w:pPr>
              <w:wordWrap w:val="0"/>
              <w:jc w:val="center"/>
              <w:rPr>
                <w:rFonts w:ascii="宋体" w:hAnsi="宋体" w:cs="宋体"/>
                <w:szCs w:val="21"/>
              </w:rPr>
            </w:pPr>
            <w:r>
              <w:rPr>
                <w:szCs w:val="21"/>
              </w:rPr>
              <w:t>2</w:t>
            </w:r>
          </w:p>
        </w:tc>
        <w:tc>
          <w:tcPr>
            <w:tcW w:w="2835" w:type="dxa"/>
            <w:tcBorders>
              <w:top w:val="single" w:color="000000" w:sz="8" w:space="0"/>
              <w:left w:val="single" w:color="000000" w:sz="8" w:space="0"/>
              <w:bottom w:val="single" w:color="000000" w:sz="8" w:space="0"/>
              <w:right w:val="single" w:color="000000" w:sz="8" w:space="0"/>
            </w:tcBorders>
          </w:tcPr>
          <w:p>
            <w:pPr>
              <w:wordWrap w:val="0"/>
              <w:rPr>
                <w:rFonts w:ascii="宋体" w:hAnsi="宋体" w:cs="宋体"/>
                <w:szCs w:val="21"/>
              </w:rPr>
            </w:pPr>
            <w:r>
              <w:rPr>
                <w:szCs w:val="21"/>
              </w:rPr>
              <w:t>投标人同类项目业绩情况</w:t>
            </w:r>
          </w:p>
        </w:tc>
        <w:tc>
          <w:tcPr>
            <w:tcW w:w="680" w:type="dxa"/>
            <w:tcBorders>
              <w:top w:val="single" w:color="000000" w:sz="8" w:space="0"/>
              <w:left w:val="single" w:color="000000" w:sz="8" w:space="0"/>
              <w:bottom w:val="single" w:color="000000" w:sz="8" w:space="0"/>
              <w:right w:val="single" w:color="000000" w:sz="8" w:space="0"/>
            </w:tcBorders>
          </w:tcPr>
          <w:p>
            <w:pPr>
              <w:wordWrap w:val="0"/>
              <w:jc w:val="center"/>
              <w:rPr>
                <w:rFonts w:ascii="宋体" w:hAnsi="宋体" w:cs="宋体"/>
                <w:szCs w:val="21"/>
              </w:rPr>
            </w:pPr>
            <w:r>
              <w:rPr>
                <w:szCs w:val="21"/>
              </w:rPr>
              <w:t>5</w:t>
            </w:r>
          </w:p>
        </w:tc>
        <w:tc>
          <w:tcPr>
            <w:tcW w:w="4196" w:type="dxa"/>
            <w:tcBorders>
              <w:top w:val="single" w:color="000000" w:sz="8" w:space="0"/>
              <w:left w:val="single" w:color="000000" w:sz="8" w:space="0"/>
              <w:bottom w:val="single" w:color="000000" w:sz="8" w:space="0"/>
              <w:right w:val="single" w:color="000000" w:sz="8" w:space="0"/>
            </w:tcBorders>
          </w:tcPr>
          <w:p>
            <w:pPr>
              <w:wordWrap w:val="0"/>
              <w:rPr>
                <w:szCs w:val="21"/>
              </w:rPr>
            </w:pPr>
            <w:r>
              <w:rPr>
                <w:szCs w:val="21"/>
              </w:rPr>
              <w:t xml:space="preserve">（一）评审内容： </w:t>
            </w:r>
          </w:p>
          <w:p>
            <w:pPr>
              <w:wordWrap w:val="0"/>
              <w:rPr>
                <w:szCs w:val="21"/>
              </w:rPr>
            </w:pPr>
            <w:r>
              <w:rPr>
                <w:szCs w:val="21"/>
              </w:rPr>
              <w:t xml:space="preserve">提供医院成本核算相关的案例项目，案例的范围包含项目成本核算系统，且验收合格时间为最近三年（即2018年9月1日后） </w:t>
            </w:r>
          </w:p>
          <w:p>
            <w:pPr>
              <w:wordWrap w:val="0"/>
              <w:rPr>
                <w:szCs w:val="21"/>
              </w:rPr>
            </w:pPr>
            <w:r>
              <w:rPr>
                <w:szCs w:val="21"/>
              </w:rPr>
              <w:t xml:space="preserve">符合要求的案例：3家及以上得100分，2家得60分，1家得40分，低于1家不得分，专家按百分制打分。 </w:t>
            </w:r>
          </w:p>
          <w:p>
            <w:pPr>
              <w:wordWrap w:val="0"/>
              <w:rPr>
                <w:szCs w:val="21"/>
              </w:rPr>
            </w:pPr>
            <w:r>
              <w:rPr>
                <w:szCs w:val="21"/>
              </w:rPr>
              <w:t xml:space="preserve">（二）评分依据： </w:t>
            </w:r>
          </w:p>
          <w:p>
            <w:pPr>
              <w:wordWrap w:val="0"/>
              <w:rPr>
                <w:szCs w:val="21"/>
              </w:rPr>
            </w:pPr>
            <w:r>
              <w:rPr>
                <w:szCs w:val="21"/>
              </w:rPr>
              <w:t xml:space="preserve">1.要求同时提供合同关键信息和已完成，且履约评价合格或者验收合格证明文件作为得分依据，履约评价合格或者验收合格证明文件需加盖合同甲方公章（或甲方业务章）。 </w:t>
            </w:r>
          </w:p>
          <w:p>
            <w:pPr>
              <w:wordWrap w:val="0"/>
              <w:rPr>
                <w:szCs w:val="21"/>
              </w:rPr>
            </w:pPr>
            <w:r>
              <w:rPr>
                <w:szCs w:val="21"/>
              </w:rPr>
              <w:t xml:space="preserve">2.通过合同关键信息无法判断是否得分的，还须同时提供能证明得分的其它证明资料，如项目报告或合同甲方出具的证明文件等。 </w:t>
            </w:r>
          </w:p>
          <w:p>
            <w:pPr>
              <w:wordWrap w:val="0"/>
              <w:rPr>
                <w:rFonts w:ascii="宋体" w:hAnsi="宋体" w:cs="宋体"/>
                <w:szCs w:val="21"/>
              </w:rPr>
            </w:pPr>
            <w:r>
              <w:rPr>
                <w:szCs w:val="21"/>
              </w:rPr>
              <w:t>3.以上资料均要求提供扫描件。评分中出现无证明资料或专家无法凭所提供资料判断是否得分的情况，一律作不得分处理。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0" w:type="auto"/>
            <w:vMerge w:val="continue"/>
            <w:tcBorders>
              <w:top w:val="single" w:color="000000" w:sz="8" w:space="0"/>
              <w:left w:val="single" w:color="000000" w:sz="8" w:space="0"/>
              <w:bottom w:val="single" w:color="000000" w:sz="8" w:space="0"/>
              <w:right w:val="single" w:color="000000" w:sz="8" w:space="0"/>
            </w:tcBorders>
            <w:vAlign w:val="center"/>
          </w:tcPr>
          <w:p>
            <w:pPr>
              <w:rPr>
                <w:rFonts w:ascii="宋体" w:hAnsi="宋体" w:cs="宋体"/>
                <w:b/>
                <w:bCs/>
                <w:color w:val="0000FF"/>
                <w:sz w:val="24"/>
              </w:rPr>
            </w:pPr>
          </w:p>
        </w:tc>
        <w:tc>
          <w:tcPr>
            <w:tcW w:w="680" w:type="dxa"/>
            <w:tcBorders>
              <w:top w:val="single" w:color="000000" w:sz="8" w:space="0"/>
              <w:left w:val="single" w:color="000000" w:sz="8" w:space="0"/>
              <w:bottom w:val="single" w:color="000000" w:sz="8" w:space="0"/>
              <w:right w:val="single" w:color="000000" w:sz="8" w:space="0"/>
            </w:tcBorders>
          </w:tcPr>
          <w:p>
            <w:pPr>
              <w:wordWrap w:val="0"/>
              <w:jc w:val="center"/>
              <w:rPr>
                <w:rFonts w:ascii="宋体" w:hAnsi="宋体" w:cs="宋体"/>
                <w:szCs w:val="21"/>
              </w:rPr>
            </w:pPr>
            <w:r>
              <w:rPr>
                <w:szCs w:val="21"/>
              </w:rPr>
              <w:t>3</w:t>
            </w:r>
          </w:p>
        </w:tc>
        <w:tc>
          <w:tcPr>
            <w:tcW w:w="2835" w:type="dxa"/>
            <w:tcBorders>
              <w:top w:val="single" w:color="000000" w:sz="8" w:space="0"/>
              <w:left w:val="single" w:color="000000" w:sz="8" w:space="0"/>
              <w:bottom w:val="single" w:color="000000" w:sz="8" w:space="0"/>
              <w:right w:val="single" w:color="000000" w:sz="8" w:space="0"/>
            </w:tcBorders>
          </w:tcPr>
          <w:p>
            <w:pPr>
              <w:wordWrap w:val="0"/>
              <w:rPr>
                <w:rFonts w:ascii="宋体" w:hAnsi="宋体" w:cs="宋体"/>
                <w:szCs w:val="21"/>
              </w:rPr>
            </w:pPr>
            <w:r>
              <w:rPr>
                <w:szCs w:val="21"/>
              </w:rPr>
              <w:t>投标人自主知识产权产品（创新、设计）情况</w:t>
            </w:r>
          </w:p>
        </w:tc>
        <w:tc>
          <w:tcPr>
            <w:tcW w:w="680" w:type="dxa"/>
            <w:tcBorders>
              <w:top w:val="single" w:color="000000" w:sz="8" w:space="0"/>
              <w:left w:val="single" w:color="000000" w:sz="8" w:space="0"/>
              <w:bottom w:val="single" w:color="000000" w:sz="8" w:space="0"/>
              <w:right w:val="single" w:color="000000" w:sz="8" w:space="0"/>
            </w:tcBorders>
          </w:tcPr>
          <w:p>
            <w:pPr>
              <w:wordWrap w:val="0"/>
              <w:jc w:val="center"/>
              <w:rPr>
                <w:rFonts w:ascii="宋体" w:hAnsi="宋体" w:cs="宋体"/>
                <w:szCs w:val="21"/>
              </w:rPr>
            </w:pPr>
            <w:r>
              <w:rPr>
                <w:szCs w:val="21"/>
              </w:rPr>
              <w:t>10</w:t>
            </w:r>
          </w:p>
        </w:tc>
        <w:tc>
          <w:tcPr>
            <w:tcW w:w="4196" w:type="dxa"/>
            <w:tcBorders>
              <w:top w:val="single" w:color="000000" w:sz="8" w:space="0"/>
              <w:left w:val="single" w:color="000000" w:sz="8" w:space="0"/>
              <w:bottom w:val="single" w:color="000000" w:sz="8" w:space="0"/>
              <w:right w:val="single" w:color="000000" w:sz="8" w:space="0"/>
            </w:tcBorders>
          </w:tcPr>
          <w:p>
            <w:pPr>
              <w:wordWrap w:val="0"/>
              <w:rPr>
                <w:szCs w:val="21"/>
              </w:rPr>
            </w:pPr>
            <w:r>
              <w:rPr>
                <w:szCs w:val="21"/>
              </w:rPr>
              <w:t xml:space="preserve">（一）评审内容： </w:t>
            </w:r>
          </w:p>
          <w:p>
            <w:pPr>
              <w:wordWrap w:val="0"/>
              <w:rPr>
                <w:szCs w:val="21"/>
              </w:rPr>
            </w:pPr>
            <w:r>
              <w:rPr>
                <w:szCs w:val="21"/>
              </w:rPr>
              <w:t xml:space="preserve">1.提供系统管理平台软件著作权登记证书，符合得 20分； </w:t>
            </w:r>
          </w:p>
          <w:p>
            <w:pPr>
              <w:wordWrap w:val="0"/>
              <w:rPr>
                <w:szCs w:val="21"/>
              </w:rPr>
            </w:pPr>
            <w:r>
              <w:rPr>
                <w:szCs w:val="21"/>
              </w:rPr>
              <w:t xml:space="preserve">2.提供科室成本管理系统软件著作权登记证书，符合得20分； </w:t>
            </w:r>
          </w:p>
          <w:p>
            <w:pPr>
              <w:wordWrap w:val="0"/>
              <w:rPr>
                <w:szCs w:val="21"/>
              </w:rPr>
            </w:pPr>
            <w:r>
              <w:rPr>
                <w:szCs w:val="21"/>
              </w:rPr>
              <w:t xml:space="preserve">3.提供医疗服务项目成本管理系统软件著作权登记证书，符合得20分； </w:t>
            </w:r>
          </w:p>
          <w:p>
            <w:pPr>
              <w:wordWrap w:val="0"/>
              <w:rPr>
                <w:szCs w:val="21"/>
              </w:rPr>
            </w:pPr>
            <w:r>
              <w:rPr>
                <w:szCs w:val="21"/>
              </w:rPr>
              <w:t xml:space="preserve">4.提供DIP成本管理系统软件著作权登记证书，符合得20分； </w:t>
            </w:r>
          </w:p>
          <w:p>
            <w:pPr>
              <w:wordWrap w:val="0"/>
              <w:rPr>
                <w:szCs w:val="21"/>
              </w:rPr>
            </w:pPr>
            <w:r>
              <w:rPr>
                <w:szCs w:val="21"/>
              </w:rPr>
              <w:t xml:space="preserve">5.提供DRG成本管理系统软件著作权登记证书，符合得20分； </w:t>
            </w:r>
          </w:p>
          <w:p>
            <w:pPr>
              <w:wordWrap w:val="0"/>
              <w:rPr>
                <w:szCs w:val="21"/>
              </w:rPr>
            </w:pPr>
            <w:r>
              <w:rPr>
                <w:szCs w:val="21"/>
              </w:rPr>
              <w:t xml:space="preserve">专家按百分制打分。 </w:t>
            </w:r>
          </w:p>
          <w:p>
            <w:pPr>
              <w:wordWrap w:val="0"/>
              <w:rPr>
                <w:szCs w:val="21"/>
              </w:rPr>
            </w:pPr>
            <w:r>
              <w:rPr>
                <w:szCs w:val="21"/>
              </w:rPr>
              <w:t xml:space="preserve">（二）评分依据: </w:t>
            </w:r>
          </w:p>
          <w:p>
            <w:pPr>
              <w:wordWrap w:val="0"/>
              <w:rPr>
                <w:szCs w:val="21"/>
              </w:rPr>
            </w:pPr>
            <w:r>
              <w:rPr>
                <w:szCs w:val="21"/>
              </w:rPr>
              <w:t xml:space="preserve">1.要求提供有效的证明材料作为得分依据。 </w:t>
            </w:r>
          </w:p>
          <w:p>
            <w:pPr>
              <w:wordWrap w:val="0"/>
              <w:rPr>
                <w:rFonts w:ascii="宋体" w:hAnsi="宋体" w:cs="宋体"/>
                <w:szCs w:val="21"/>
              </w:rPr>
            </w:pPr>
            <w:r>
              <w:rPr>
                <w:szCs w:val="21"/>
              </w:rPr>
              <w:t>2.以上资料均要求提供扫描件（或官方网站截图）。评分中出现无证明资料或专家无法凭所提供资料判断是否得分的情况，一律作不得分处理。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0" w:type="auto"/>
            <w:vMerge w:val="continue"/>
            <w:tcBorders>
              <w:top w:val="single" w:color="000000" w:sz="8" w:space="0"/>
              <w:left w:val="single" w:color="000000" w:sz="8" w:space="0"/>
              <w:bottom w:val="single" w:color="000000" w:sz="8" w:space="0"/>
              <w:right w:val="single" w:color="000000" w:sz="8" w:space="0"/>
            </w:tcBorders>
            <w:vAlign w:val="center"/>
          </w:tcPr>
          <w:p>
            <w:pPr>
              <w:rPr>
                <w:rFonts w:ascii="宋体" w:hAnsi="宋体" w:cs="宋体"/>
                <w:b/>
                <w:bCs/>
                <w:color w:val="0000FF"/>
                <w:sz w:val="24"/>
              </w:rPr>
            </w:pPr>
          </w:p>
        </w:tc>
        <w:tc>
          <w:tcPr>
            <w:tcW w:w="680" w:type="dxa"/>
            <w:tcBorders>
              <w:top w:val="single" w:color="000000" w:sz="8" w:space="0"/>
              <w:left w:val="single" w:color="000000" w:sz="8" w:space="0"/>
              <w:bottom w:val="single" w:color="000000" w:sz="8" w:space="0"/>
              <w:right w:val="single" w:color="000000" w:sz="8" w:space="0"/>
            </w:tcBorders>
          </w:tcPr>
          <w:p>
            <w:pPr>
              <w:wordWrap w:val="0"/>
              <w:jc w:val="center"/>
              <w:rPr>
                <w:rFonts w:ascii="宋体" w:hAnsi="宋体" w:cs="宋体"/>
                <w:szCs w:val="21"/>
              </w:rPr>
            </w:pPr>
            <w:r>
              <w:rPr>
                <w:szCs w:val="21"/>
              </w:rPr>
              <w:t>4</w:t>
            </w:r>
          </w:p>
        </w:tc>
        <w:tc>
          <w:tcPr>
            <w:tcW w:w="2835" w:type="dxa"/>
            <w:tcBorders>
              <w:top w:val="single" w:color="000000" w:sz="8" w:space="0"/>
              <w:left w:val="single" w:color="000000" w:sz="8" w:space="0"/>
              <w:bottom w:val="single" w:color="000000" w:sz="8" w:space="0"/>
              <w:right w:val="single" w:color="000000" w:sz="8" w:space="0"/>
            </w:tcBorders>
          </w:tcPr>
          <w:p>
            <w:pPr>
              <w:wordWrap w:val="0"/>
              <w:rPr>
                <w:rFonts w:ascii="宋体" w:hAnsi="宋体" w:cs="宋体"/>
                <w:szCs w:val="21"/>
              </w:rPr>
            </w:pPr>
            <w:r>
              <w:rPr>
                <w:szCs w:val="21"/>
              </w:rPr>
              <w:t>服务网点</w:t>
            </w:r>
          </w:p>
        </w:tc>
        <w:tc>
          <w:tcPr>
            <w:tcW w:w="680" w:type="dxa"/>
            <w:tcBorders>
              <w:top w:val="single" w:color="000000" w:sz="8" w:space="0"/>
              <w:left w:val="single" w:color="000000" w:sz="8" w:space="0"/>
              <w:bottom w:val="single" w:color="000000" w:sz="8" w:space="0"/>
              <w:right w:val="single" w:color="000000" w:sz="8" w:space="0"/>
            </w:tcBorders>
          </w:tcPr>
          <w:p>
            <w:pPr>
              <w:wordWrap w:val="0"/>
              <w:jc w:val="center"/>
              <w:rPr>
                <w:rFonts w:ascii="宋体" w:hAnsi="宋体" w:cs="宋体"/>
                <w:szCs w:val="21"/>
              </w:rPr>
            </w:pPr>
            <w:r>
              <w:rPr>
                <w:szCs w:val="21"/>
              </w:rPr>
              <w:t>2</w:t>
            </w:r>
          </w:p>
        </w:tc>
        <w:tc>
          <w:tcPr>
            <w:tcW w:w="4196" w:type="dxa"/>
            <w:tcBorders>
              <w:top w:val="single" w:color="000000" w:sz="8" w:space="0"/>
              <w:left w:val="single" w:color="000000" w:sz="8" w:space="0"/>
              <w:bottom w:val="single" w:color="000000" w:sz="8" w:space="0"/>
              <w:right w:val="single" w:color="000000" w:sz="8" w:space="0"/>
            </w:tcBorders>
          </w:tcPr>
          <w:p>
            <w:pPr>
              <w:wordWrap w:val="0"/>
              <w:rPr>
                <w:szCs w:val="21"/>
              </w:rPr>
            </w:pPr>
            <w:r>
              <w:rPr>
                <w:szCs w:val="21"/>
              </w:rPr>
              <w:t xml:space="preserve">1、深圳供应商，或非深圳供应商但在深圳有合法注册的分公司（或售后机构）（分公司的必须提供分公司营业执照扫描件，售后机构必须同时提供售后服务合作合同及售后机构营业执照扫描件作为得分依据，原件备查）的，得100分；否则不得分。 </w:t>
            </w:r>
          </w:p>
          <w:p>
            <w:pPr>
              <w:wordWrap w:val="0"/>
              <w:rPr>
                <w:rFonts w:ascii="宋体" w:hAnsi="宋体" w:cs="宋体"/>
                <w:szCs w:val="21"/>
              </w:rPr>
            </w:pPr>
            <w:r>
              <w:rPr>
                <w:szCs w:val="21"/>
              </w:rPr>
              <w:t>2、外地供应商承诺：中标后设立本地经营（服务）网点的，提供承诺文件（格式自定）的，得80分；未提供承诺或承诺内容不满足要求均不得分。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restart"/>
            <w:tcBorders>
              <w:top w:val="single" w:color="000000" w:sz="8" w:space="0"/>
              <w:left w:val="single" w:color="000000" w:sz="8" w:space="0"/>
              <w:bottom w:val="single" w:color="000000" w:sz="8" w:space="0"/>
              <w:right w:val="single" w:color="000000" w:sz="8" w:space="0"/>
            </w:tcBorders>
          </w:tcPr>
          <w:p>
            <w:pPr>
              <w:wordWrap w:val="0"/>
              <w:jc w:val="center"/>
              <w:rPr>
                <w:rFonts w:ascii="宋体" w:hAnsi="宋体" w:cs="宋体"/>
                <w:b/>
                <w:bCs/>
                <w:color w:val="0000FF"/>
                <w:sz w:val="24"/>
              </w:rPr>
            </w:pPr>
            <w:r>
              <w:rPr>
                <w:b/>
                <w:bCs/>
                <w:color w:val="0000FF"/>
              </w:rPr>
              <w:t>4</w:t>
            </w:r>
          </w:p>
        </w:tc>
        <w:tc>
          <w:tcPr>
            <w:tcW w:w="4196" w:type="dxa"/>
            <w:gridSpan w:val="3"/>
            <w:tcBorders>
              <w:top w:val="single" w:color="000000" w:sz="8" w:space="0"/>
              <w:left w:val="single" w:color="000000" w:sz="8" w:space="0"/>
              <w:bottom w:val="single" w:color="000000" w:sz="8" w:space="0"/>
              <w:right w:val="single" w:color="000000" w:sz="8" w:space="0"/>
            </w:tcBorders>
          </w:tcPr>
          <w:p>
            <w:pPr>
              <w:wordWrap w:val="0"/>
              <w:jc w:val="center"/>
              <w:rPr>
                <w:rFonts w:ascii="宋体" w:hAnsi="宋体" w:cs="宋体"/>
                <w:b/>
                <w:bCs/>
                <w:color w:val="0000FF"/>
                <w:sz w:val="24"/>
              </w:rPr>
            </w:pPr>
            <w:r>
              <w:rPr>
                <w:b/>
                <w:bCs/>
                <w:color w:val="0000FF"/>
              </w:rPr>
              <w:t>诚信情况</w:t>
            </w:r>
          </w:p>
        </w:tc>
        <w:tc>
          <w:tcPr>
            <w:tcW w:w="4196" w:type="dxa"/>
            <w:tcBorders>
              <w:top w:val="single" w:color="000000" w:sz="8" w:space="0"/>
              <w:left w:val="single" w:color="000000" w:sz="8" w:space="0"/>
              <w:bottom w:val="single" w:color="000000" w:sz="8" w:space="0"/>
              <w:right w:val="single" w:color="000000" w:sz="8" w:space="0"/>
            </w:tcBorders>
          </w:tcPr>
          <w:p>
            <w:pPr>
              <w:wordWrap w:val="0"/>
              <w:jc w:val="center"/>
              <w:rPr>
                <w:rFonts w:ascii="宋体" w:hAnsi="宋体" w:cs="宋体"/>
                <w:b/>
                <w:bCs/>
                <w:color w:val="0000FF"/>
                <w:sz w:val="24"/>
              </w:rPr>
            </w:pPr>
            <w:r>
              <w:rPr>
                <w:b/>
                <w:bCs/>
                <w:color w:val="0000FF"/>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0" w:type="auto"/>
            <w:vMerge w:val="continue"/>
            <w:tcBorders>
              <w:top w:val="single" w:color="000000" w:sz="8" w:space="0"/>
              <w:left w:val="single" w:color="000000" w:sz="8" w:space="0"/>
              <w:bottom w:val="single" w:color="000000" w:sz="8" w:space="0"/>
              <w:right w:val="single" w:color="000000" w:sz="8" w:space="0"/>
            </w:tcBorders>
            <w:vAlign w:val="center"/>
          </w:tcPr>
          <w:p>
            <w:pPr>
              <w:rPr>
                <w:rFonts w:ascii="宋体" w:hAnsi="宋体" w:cs="宋体"/>
                <w:b/>
                <w:bCs/>
                <w:color w:val="0000FF"/>
                <w:sz w:val="24"/>
              </w:rPr>
            </w:pPr>
          </w:p>
        </w:tc>
        <w:tc>
          <w:tcPr>
            <w:tcW w:w="8278" w:type="dxa"/>
            <w:gridSpan w:val="4"/>
            <w:tcBorders>
              <w:top w:val="single" w:color="000000" w:sz="8" w:space="0"/>
              <w:left w:val="single" w:color="000000" w:sz="8" w:space="0"/>
              <w:bottom w:val="single" w:color="000000" w:sz="8" w:space="0"/>
              <w:right w:val="single" w:color="000000" w:sz="8" w:space="0"/>
            </w:tcBorders>
          </w:tcPr>
          <w:p>
            <w:pPr>
              <w:wordWrap w:val="0"/>
              <w:rPr>
                <w:rFonts w:ascii="宋体" w:hAnsi="宋体" w:cs="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E6EFFA"/>
            <w:vAlign w:val="center"/>
          </w:tcPr>
          <w:p>
            <w:pPr>
              <w:rPr>
                <w:rFonts w:ascii="宋体" w:hAnsi="宋体" w:cs="宋体"/>
                <w:b/>
                <w:bCs/>
                <w:color w:val="0000FF"/>
                <w:sz w:val="24"/>
              </w:rPr>
            </w:pPr>
          </w:p>
        </w:tc>
        <w:tc>
          <w:tcPr>
            <w:tcW w:w="680" w:type="dxa"/>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jc w:val="center"/>
              <w:rPr>
                <w:rFonts w:ascii="宋体" w:hAnsi="宋体" w:cs="宋体"/>
                <w:szCs w:val="21"/>
              </w:rPr>
            </w:pPr>
            <w:r>
              <w:rPr>
                <w:szCs w:val="21"/>
              </w:rPr>
              <w:t>序号</w:t>
            </w:r>
          </w:p>
        </w:tc>
        <w:tc>
          <w:tcPr>
            <w:tcW w:w="2835" w:type="dxa"/>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jc w:val="center"/>
              <w:rPr>
                <w:rFonts w:ascii="宋体" w:hAnsi="宋体" w:cs="宋体"/>
                <w:szCs w:val="21"/>
              </w:rPr>
            </w:pPr>
            <w:r>
              <w:rPr>
                <w:szCs w:val="21"/>
              </w:rPr>
              <w:t>评分因素</w:t>
            </w:r>
          </w:p>
        </w:tc>
        <w:tc>
          <w:tcPr>
            <w:tcW w:w="680" w:type="dxa"/>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jc w:val="center"/>
              <w:rPr>
                <w:rFonts w:ascii="宋体" w:hAnsi="宋体" w:cs="宋体"/>
                <w:szCs w:val="21"/>
              </w:rPr>
            </w:pPr>
            <w:r>
              <w:rPr>
                <w:szCs w:val="21"/>
              </w:rPr>
              <w:t>权重(%)</w:t>
            </w:r>
          </w:p>
        </w:tc>
        <w:tc>
          <w:tcPr>
            <w:tcW w:w="2920" w:type="dxa"/>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jc w:val="center"/>
              <w:rPr>
                <w:rFonts w:ascii="宋体" w:hAnsi="宋体" w:cs="宋体"/>
                <w:szCs w:val="21"/>
              </w:rPr>
            </w:pPr>
            <w:r>
              <w:rPr>
                <w:szCs w:val="21"/>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0" w:type="auto"/>
            <w:vMerge w:val="continue"/>
            <w:tcBorders>
              <w:top w:val="single" w:color="000000" w:sz="8" w:space="0"/>
              <w:left w:val="single" w:color="000000" w:sz="8" w:space="0"/>
              <w:bottom w:val="single" w:color="000000" w:sz="8" w:space="0"/>
              <w:right w:val="single" w:color="000000" w:sz="8" w:space="0"/>
            </w:tcBorders>
            <w:vAlign w:val="center"/>
          </w:tcPr>
          <w:p>
            <w:pPr>
              <w:rPr>
                <w:rFonts w:ascii="宋体" w:hAnsi="宋体" w:cs="宋体"/>
                <w:b/>
                <w:bCs/>
                <w:color w:val="0000FF"/>
                <w:sz w:val="24"/>
              </w:rPr>
            </w:pPr>
          </w:p>
        </w:tc>
        <w:tc>
          <w:tcPr>
            <w:tcW w:w="680" w:type="dxa"/>
            <w:tcBorders>
              <w:top w:val="single" w:color="000000" w:sz="8" w:space="0"/>
              <w:left w:val="single" w:color="000000" w:sz="8" w:space="0"/>
              <w:bottom w:val="single" w:color="000000" w:sz="8" w:space="0"/>
              <w:right w:val="single" w:color="000000" w:sz="8" w:space="0"/>
            </w:tcBorders>
          </w:tcPr>
          <w:p>
            <w:pPr>
              <w:wordWrap w:val="0"/>
              <w:jc w:val="center"/>
              <w:rPr>
                <w:rFonts w:ascii="宋体" w:hAnsi="宋体" w:cs="宋体"/>
                <w:szCs w:val="21"/>
              </w:rPr>
            </w:pPr>
            <w:r>
              <w:rPr>
                <w:szCs w:val="21"/>
              </w:rPr>
              <w:t>1</w:t>
            </w:r>
          </w:p>
        </w:tc>
        <w:tc>
          <w:tcPr>
            <w:tcW w:w="2835" w:type="dxa"/>
            <w:tcBorders>
              <w:top w:val="single" w:color="000000" w:sz="8" w:space="0"/>
              <w:left w:val="single" w:color="000000" w:sz="8" w:space="0"/>
              <w:bottom w:val="single" w:color="000000" w:sz="8" w:space="0"/>
              <w:right w:val="single" w:color="000000" w:sz="8" w:space="0"/>
            </w:tcBorders>
          </w:tcPr>
          <w:p>
            <w:pPr>
              <w:wordWrap w:val="0"/>
              <w:rPr>
                <w:rFonts w:ascii="宋体" w:hAnsi="宋体" w:cs="宋体"/>
                <w:szCs w:val="21"/>
              </w:rPr>
            </w:pPr>
            <w:r>
              <w:rPr>
                <w:szCs w:val="21"/>
              </w:rPr>
              <w:t>市财政局诚信管理情况</w:t>
            </w:r>
          </w:p>
        </w:tc>
        <w:tc>
          <w:tcPr>
            <w:tcW w:w="680" w:type="dxa"/>
            <w:tcBorders>
              <w:top w:val="single" w:color="000000" w:sz="8" w:space="0"/>
              <w:left w:val="single" w:color="000000" w:sz="8" w:space="0"/>
              <w:bottom w:val="single" w:color="000000" w:sz="8" w:space="0"/>
              <w:right w:val="single" w:color="000000" w:sz="8" w:space="0"/>
            </w:tcBorders>
          </w:tcPr>
          <w:p>
            <w:pPr>
              <w:wordWrap w:val="0"/>
              <w:jc w:val="center"/>
              <w:rPr>
                <w:rFonts w:ascii="宋体" w:hAnsi="宋体" w:cs="宋体"/>
                <w:szCs w:val="21"/>
              </w:rPr>
            </w:pPr>
            <w:r>
              <w:rPr>
                <w:szCs w:val="21"/>
              </w:rPr>
              <w:t>5</w:t>
            </w:r>
          </w:p>
        </w:tc>
        <w:tc>
          <w:tcPr>
            <w:tcW w:w="4196" w:type="dxa"/>
            <w:tcBorders>
              <w:top w:val="single" w:color="000000" w:sz="8" w:space="0"/>
              <w:left w:val="single" w:color="000000" w:sz="8" w:space="0"/>
              <w:bottom w:val="single" w:color="000000" w:sz="8" w:space="0"/>
              <w:right w:val="single" w:color="000000" w:sz="8" w:space="0"/>
            </w:tcBorders>
          </w:tcPr>
          <w:p>
            <w:pPr>
              <w:wordWrap w:val="0"/>
              <w:rPr>
                <w:rFonts w:ascii="宋体" w:hAnsi="宋体" w:cs="宋体"/>
                <w:szCs w:val="21"/>
              </w:rPr>
            </w:pPr>
            <w:r>
              <w:rPr>
                <w:szCs w:val="21"/>
              </w:rPr>
              <w:t>投标人在参与政府采购活动中存在诚信相关问题且在主管部门相关处理措施实施期限内的，本项不得分，否则得满分。投标人无需提供任何证明材料，由工作人员向评审委员会提供相关信息。</w:t>
            </w:r>
          </w:p>
        </w:tc>
      </w:tr>
    </w:tbl>
    <w:p>
      <w:pPr>
        <w:pStyle w:val="37"/>
        <w:jc w:val="center"/>
        <w:outlineLvl w:val="1"/>
        <w:rPr>
          <w:rFonts w:hint="eastAsia" w:ascii="黑体" w:hAnsi="黑体" w:eastAsia="黑体"/>
          <w:sz w:val="40"/>
          <w:szCs w:val="40"/>
        </w:rPr>
      </w:pPr>
      <w:r>
        <w:rPr>
          <w:rFonts w:hint="eastAsia" w:ascii="黑体" w:hAnsi="黑体" w:eastAsia="黑体"/>
          <w:sz w:val="40"/>
          <w:szCs w:val="40"/>
        </w:rPr>
        <w:t>投标书目录</w:t>
      </w:r>
    </w:p>
    <w:tbl>
      <w:tblPr>
        <w:tblStyle w:val="42"/>
        <w:tblW w:w="9072" w:type="dxa"/>
        <w:jc w:val="center"/>
        <w:tblCellSpacing w:w="0" w:type="dxa"/>
        <w:tblLayout w:type="autofit"/>
        <w:tblCellMar>
          <w:top w:w="45" w:type="dxa"/>
          <w:left w:w="45" w:type="dxa"/>
          <w:bottom w:w="45" w:type="dxa"/>
          <w:right w:w="45" w:type="dxa"/>
        </w:tblCellMar>
      </w:tblPr>
      <w:tblGrid>
        <w:gridCol w:w="9072"/>
      </w:tblGrid>
      <w:tr>
        <w:tblPrEx>
          <w:tblCellMar>
            <w:top w:w="45" w:type="dxa"/>
            <w:left w:w="45" w:type="dxa"/>
            <w:bottom w:w="45" w:type="dxa"/>
            <w:right w:w="45" w:type="dxa"/>
          </w:tblCellMar>
        </w:tblPrEx>
        <w:trPr>
          <w:tblCellSpacing w:w="0" w:type="dxa"/>
          <w:jc w:val="center"/>
        </w:trPr>
        <w:tc>
          <w:tcPr>
            <w:tcW w:w="0" w:type="auto"/>
            <w:vAlign w:val="center"/>
          </w:tcPr>
          <w:p>
            <w:pPr>
              <w:widowControl/>
              <w:numPr>
                <w:ilvl w:val="0"/>
                <w:numId w:val="7"/>
              </w:numPr>
              <w:spacing w:before="100" w:beforeAutospacing="1" w:after="100" w:afterAutospacing="1"/>
              <w:jc w:val="left"/>
              <w:rPr>
                <w:szCs w:val="21"/>
              </w:rPr>
            </w:pPr>
            <w:r>
              <w:rPr>
                <w:szCs w:val="21"/>
              </w:rPr>
              <w:t>（1）投标函</w:t>
            </w:r>
          </w:p>
          <w:p>
            <w:pPr>
              <w:widowControl/>
              <w:numPr>
                <w:ilvl w:val="0"/>
                <w:numId w:val="7"/>
              </w:numPr>
              <w:spacing w:before="100" w:beforeAutospacing="1" w:after="100" w:afterAutospacing="1"/>
              <w:jc w:val="left"/>
              <w:rPr>
                <w:szCs w:val="21"/>
              </w:rPr>
            </w:pPr>
            <w:r>
              <w:rPr>
                <w:szCs w:val="21"/>
              </w:rPr>
              <w:t>（2）政府采购投标及履约承诺函</w:t>
            </w:r>
          </w:p>
          <w:p>
            <w:pPr>
              <w:widowControl/>
              <w:numPr>
                <w:ilvl w:val="0"/>
                <w:numId w:val="7"/>
              </w:numPr>
              <w:spacing w:before="100" w:beforeAutospacing="1" w:after="100" w:afterAutospacing="1"/>
              <w:jc w:val="left"/>
              <w:rPr>
                <w:szCs w:val="21"/>
              </w:rPr>
            </w:pPr>
            <w:r>
              <w:rPr>
                <w:szCs w:val="21"/>
              </w:rPr>
              <w:t>（3）投标人情况介绍及资格要求</w:t>
            </w:r>
          </w:p>
          <w:p>
            <w:pPr>
              <w:widowControl/>
              <w:numPr>
                <w:ilvl w:val="0"/>
                <w:numId w:val="7"/>
              </w:numPr>
              <w:spacing w:before="100" w:beforeAutospacing="1" w:after="100" w:afterAutospacing="1"/>
              <w:jc w:val="left"/>
              <w:rPr>
                <w:szCs w:val="21"/>
              </w:rPr>
            </w:pPr>
            <w:r>
              <w:rPr>
                <w:szCs w:val="21"/>
              </w:rPr>
              <w:t>（4）项目详细报价</w:t>
            </w:r>
          </w:p>
          <w:p>
            <w:pPr>
              <w:widowControl/>
              <w:numPr>
                <w:ilvl w:val="0"/>
                <w:numId w:val="7"/>
              </w:numPr>
              <w:spacing w:before="100" w:beforeAutospacing="1" w:after="100" w:afterAutospacing="1"/>
              <w:jc w:val="left"/>
              <w:rPr>
                <w:szCs w:val="21"/>
              </w:rPr>
            </w:pPr>
            <w:r>
              <w:rPr>
                <w:szCs w:val="21"/>
              </w:rPr>
              <w:t>（5）供应商资格（资质、认证）情况</w:t>
            </w:r>
          </w:p>
          <w:p>
            <w:pPr>
              <w:widowControl/>
              <w:numPr>
                <w:ilvl w:val="0"/>
                <w:numId w:val="7"/>
              </w:numPr>
              <w:spacing w:before="100" w:beforeAutospacing="1" w:after="100" w:afterAutospacing="1"/>
              <w:jc w:val="left"/>
              <w:rPr>
                <w:szCs w:val="21"/>
              </w:rPr>
            </w:pPr>
            <w:r>
              <w:rPr>
                <w:szCs w:val="21"/>
              </w:rPr>
              <w:t>（6）供应商同类项目业绩情况</w:t>
            </w:r>
          </w:p>
          <w:p>
            <w:pPr>
              <w:widowControl/>
              <w:numPr>
                <w:ilvl w:val="0"/>
                <w:numId w:val="7"/>
              </w:numPr>
              <w:spacing w:before="100" w:beforeAutospacing="1" w:after="100" w:afterAutospacing="1"/>
              <w:jc w:val="left"/>
              <w:rPr>
                <w:szCs w:val="21"/>
              </w:rPr>
            </w:pPr>
            <w:r>
              <w:rPr>
                <w:szCs w:val="21"/>
              </w:rPr>
              <w:t>（7）供应商自主知识产权产品（创新、设计）情况</w:t>
            </w:r>
          </w:p>
          <w:p>
            <w:pPr>
              <w:widowControl/>
              <w:numPr>
                <w:ilvl w:val="0"/>
                <w:numId w:val="7"/>
              </w:numPr>
              <w:spacing w:before="100" w:beforeAutospacing="1" w:after="100" w:afterAutospacing="1"/>
              <w:jc w:val="left"/>
              <w:rPr>
                <w:rFonts w:ascii="宋体" w:hAnsi="宋体" w:cs="宋体"/>
                <w:szCs w:val="21"/>
              </w:rPr>
            </w:pPr>
            <w:r>
              <w:rPr>
                <w:szCs w:val="21"/>
              </w:rPr>
              <w:t>（8）服务网点</w:t>
            </w:r>
          </w:p>
        </w:tc>
      </w:tr>
    </w:tbl>
    <w:p>
      <w:pPr>
        <w:rPr>
          <w:rFonts w:hint="eastAsia" w:ascii="宋体" w:hAnsi="宋体"/>
          <w:sz w:val="24"/>
        </w:rPr>
      </w:pPr>
    </w:p>
    <w:p>
      <w:pPr>
        <w:sectPr>
          <w:headerReference r:id="rId3" w:type="first"/>
          <w:footerReference r:id="rId4" w:type="default"/>
          <w:footerReference r:id="rId5" w:type="even"/>
          <w:pgSz w:w="11907" w:h="16840"/>
          <w:pgMar w:top="1440" w:right="1417" w:bottom="1440" w:left="1417" w:header="851" w:footer="992" w:gutter="0"/>
          <w:cols w:space="425" w:num="1"/>
          <w:titlePg/>
          <w:docGrid w:linePitch="462" w:charSpace="0"/>
        </w:sectPr>
      </w:pPr>
    </w:p>
    <w:p>
      <w:pPr>
        <w:widowControl/>
        <w:spacing w:before="454" w:after="454"/>
        <w:ind w:left="454" w:right="454"/>
        <w:jc w:val="center"/>
        <w:outlineLvl w:val="0"/>
        <w:rPr>
          <w:b/>
          <w:bCs/>
          <w:kern w:val="0"/>
          <w:sz w:val="40"/>
          <w:szCs w:val="40"/>
        </w:rPr>
      </w:pPr>
      <w:r>
        <w:rPr>
          <w:rFonts w:hint="eastAsia"/>
          <w:b/>
          <w:bCs/>
          <w:kern w:val="0"/>
          <w:sz w:val="40"/>
          <w:szCs w:val="40"/>
        </w:rPr>
        <w:t>深圳市眼科医院全成本核算系统项目</w:t>
      </w:r>
    </w:p>
    <w:p>
      <w:pPr>
        <w:widowControl/>
        <w:spacing w:beforeAutospacing="1" w:afterAutospacing="1"/>
        <w:jc w:val="center"/>
        <w:outlineLvl w:val="1"/>
        <w:rPr>
          <w:rFonts w:ascii="黑体" w:hAnsi="宋体" w:eastAsia="黑体" w:cs="黑体"/>
          <w:kern w:val="0"/>
          <w:sz w:val="40"/>
          <w:szCs w:val="40"/>
        </w:rPr>
      </w:pPr>
      <w:r>
        <w:rPr>
          <w:rFonts w:hint="eastAsia" w:ascii="黑体" w:hAnsi="宋体" w:eastAsia="黑体" w:cs="黑体"/>
          <w:kern w:val="0"/>
          <w:sz w:val="40"/>
          <w:szCs w:val="40"/>
        </w:rPr>
        <w:t>招标文件信息</w:t>
      </w:r>
    </w:p>
    <w:tbl>
      <w:tblPr>
        <w:tblStyle w:val="42"/>
        <w:tblW w:w="7943" w:type="dxa"/>
        <w:jc w:val="center"/>
        <w:tblCellSpacing w:w="0" w:type="dxa"/>
        <w:tblLayout w:type="autofit"/>
        <w:tblCellMar>
          <w:top w:w="45" w:type="dxa"/>
          <w:left w:w="45" w:type="dxa"/>
          <w:bottom w:w="45" w:type="dxa"/>
          <w:right w:w="45" w:type="dxa"/>
        </w:tblCellMar>
      </w:tblPr>
      <w:tblGrid>
        <w:gridCol w:w="2723"/>
        <w:gridCol w:w="5220"/>
      </w:tblGrid>
      <w:tr>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pPr>
              <w:widowControl/>
              <w:jc w:val="right"/>
              <w:rPr>
                <w:sz w:val="30"/>
                <w:szCs w:val="30"/>
              </w:rPr>
            </w:pPr>
            <w:r>
              <w:rPr>
                <w:rFonts w:ascii="宋体" w:hAnsi="宋体" w:cs="宋体"/>
                <w:kern w:val="0"/>
                <w:sz w:val="30"/>
                <w:szCs w:val="30"/>
              </w:rPr>
              <w:t>项目编号：</w:t>
            </w:r>
          </w:p>
        </w:tc>
        <w:tc>
          <w:tcPr>
            <w:tcW w:w="0" w:type="auto"/>
            <w:shd w:val="clear" w:color="auto" w:fill="auto"/>
            <w:vAlign w:val="center"/>
          </w:tcPr>
          <w:p>
            <w:pPr>
              <w:widowControl/>
              <w:jc w:val="left"/>
              <w:rPr>
                <w:sz w:val="30"/>
                <w:szCs w:val="30"/>
              </w:rPr>
            </w:pPr>
            <w:r>
              <w:rPr>
                <w:rFonts w:ascii="宋体" w:hAnsi="宋体" w:cs="宋体"/>
                <w:kern w:val="0"/>
                <w:sz w:val="30"/>
                <w:szCs w:val="30"/>
              </w:rPr>
              <w:t>SZCG2021200859</w:t>
            </w:r>
          </w:p>
        </w:tc>
      </w:tr>
      <w:tr>
        <w:tblPrEx>
          <w:tblCellMar>
            <w:top w:w="45" w:type="dxa"/>
            <w:left w:w="45" w:type="dxa"/>
            <w:bottom w:w="45" w:type="dxa"/>
            <w:right w:w="45" w:type="dxa"/>
          </w:tblCellMar>
        </w:tblPrEx>
        <w:trPr>
          <w:trHeight w:val="738" w:hRule="atLeast"/>
          <w:tblCellSpacing w:w="0" w:type="dxa"/>
          <w:jc w:val="center"/>
        </w:trPr>
        <w:tc>
          <w:tcPr>
            <w:tcW w:w="0" w:type="auto"/>
            <w:shd w:val="clear" w:color="auto" w:fill="auto"/>
            <w:vAlign w:val="center"/>
          </w:tcPr>
          <w:p>
            <w:pPr>
              <w:widowControl/>
              <w:jc w:val="right"/>
              <w:rPr>
                <w:sz w:val="30"/>
                <w:szCs w:val="30"/>
              </w:rPr>
            </w:pPr>
            <w:r>
              <w:rPr>
                <w:rFonts w:ascii="宋体" w:hAnsi="宋体" w:cs="宋体"/>
                <w:kern w:val="0"/>
                <w:sz w:val="30"/>
                <w:szCs w:val="30"/>
              </w:rPr>
              <w:t>项目名称：</w:t>
            </w:r>
          </w:p>
        </w:tc>
        <w:tc>
          <w:tcPr>
            <w:tcW w:w="0" w:type="auto"/>
            <w:shd w:val="clear" w:color="auto" w:fill="auto"/>
            <w:vAlign w:val="center"/>
          </w:tcPr>
          <w:p>
            <w:pPr>
              <w:widowControl/>
              <w:jc w:val="left"/>
              <w:rPr>
                <w:sz w:val="30"/>
                <w:szCs w:val="30"/>
              </w:rPr>
            </w:pPr>
            <w:r>
              <w:rPr>
                <w:rFonts w:hint="eastAsia" w:ascii="宋体" w:hAnsi="宋体" w:cs="宋体"/>
                <w:kern w:val="0"/>
                <w:sz w:val="30"/>
                <w:szCs w:val="30"/>
              </w:rPr>
              <w:t>深圳市眼科医院全成本核算系统项目</w:t>
            </w:r>
          </w:p>
        </w:tc>
      </w:tr>
      <w:tr>
        <w:tblPrEx>
          <w:tblCellMar>
            <w:top w:w="45" w:type="dxa"/>
            <w:left w:w="45" w:type="dxa"/>
            <w:bottom w:w="45" w:type="dxa"/>
            <w:right w:w="45" w:type="dxa"/>
          </w:tblCellMar>
        </w:tblPrEx>
        <w:trPr>
          <w:trHeight w:val="738" w:hRule="atLeast"/>
          <w:tblCellSpacing w:w="0" w:type="dxa"/>
          <w:jc w:val="center"/>
        </w:trPr>
        <w:tc>
          <w:tcPr>
            <w:tcW w:w="0" w:type="auto"/>
            <w:shd w:val="clear" w:color="auto" w:fill="auto"/>
            <w:vAlign w:val="center"/>
          </w:tcPr>
          <w:p>
            <w:pPr>
              <w:widowControl/>
              <w:jc w:val="right"/>
              <w:rPr>
                <w:sz w:val="30"/>
                <w:szCs w:val="30"/>
              </w:rPr>
            </w:pPr>
            <w:r>
              <w:rPr>
                <w:rFonts w:ascii="宋体" w:hAnsi="宋体" w:cs="宋体"/>
                <w:kern w:val="0"/>
                <w:sz w:val="30"/>
                <w:szCs w:val="30"/>
              </w:rPr>
              <w:t>包 号：</w:t>
            </w:r>
          </w:p>
        </w:tc>
        <w:tc>
          <w:tcPr>
            <w:tcW w:w="0" w:type="auto"/>
            <w:shd w:val="clear" w:color="auto" w:fill="auto"/>
            <w:vAlign w:val="center"/>
          </w:tcPr>
          <w:p>
            <w:pPr>
              <w:widowControl/>
              <w:jc w:val="left"/>
              <w:rPr>
                <w:sz w:val="30"/>
                <w:szCs w:val="30"/>
              </w:rPr>
            </w:pPr>
            <w:r>
              <w:rPr>
                <w:rFonts w:ascii="宋体" w:hAnsi="宋体" w:cs="宋体"/>
                <w:kern w:val="0"/>
                <w:sz w:val="30"/>
                <w:szCs w:val="30"/>
              </w:rPr>
              <w:t>A</w:t>
            </w:r>
          </w:p>
        </w:tc>
      </w:tr>
      <w:tr>
        <w:tblPrEx>
          <w:tblCellMar>
            <w:top w:w="45" w:type="dxa"/>
            <w:left w:w="45" w:type="dxa"/>
            <w:bottom w:w="45" w:type="dxa"/>
            <w:right w:w="45" w:type="dxa"/>
          </w:tblCellMar>
        </w:tblPrEx>
        <w:trPr>
          <w:trHeight w:val="738" w:hRule="atLeast"/>
          <w:tblCellSpacing w:w="0" w:type="dxa"/>
          <w:jc w:val="center"/>
        </w:trPr>
        <w:tc>
          <w:tcPr>
            <w:tcW w:w="0" w:type="auto"/>
            <w:shd w:val="clear" w:color="auto" w:fill="auto"/>
            <w:vAlign w:val="center"/>
          </w:tcPr>
          <w:p>
            <w:pPr>
              <w:widowControl/>
              <w:jc w:val="right"/>
              <w:rPr>
                <w:sz w:val="30"/>
                <w:szCs w:val="30"/>
              </w:rPr>
            </w:pPr>
            <w:r>
              <w:rPr>
                <w:rFonts w:ascii="宋体" w:hAnsi="宋体" w:cs="宋体"/>
                <w:kern w:val="0"/>
                <w:sz w:val="30"/>
                <w:szCs w:val="30"/>
              </w:rPr>
              <w:t>项目类型：</w:t>
            </w:r>
          </w:p>
        </w:tc>
        <w:tc>
          <w:tcPr>
            <w:tcW w:w="0" w:type="auto"/>
            <w:shd w:val="clear" w:color="auto" w:fill="auto"/>
            <w:vAlign w:val="center"/>
          </w:tcPr>
          <w:p>
            <w:pPr>
              <w:widowControl/>
              <w:jc w:val="left"/>
              <w:rPr>
                <w:sz w:val="30"/>
                <w:szCs w:val="30"/>
              </w:rPr>
            </w:pPr>
            <w:r>
              <w:rPr>
                <w:rFonts w:hint="eastAsia" w:ascii="宋体" w:hAnsi="宋体" w:cs="宋体"/>
                <w:kern w:val="0"/>
                <w:sz w:val="30"/>
                <w:szCs w:val="30"/>
              </w:rPr>
              <w:t>服务</w:t>
            </w:r>
            <w:r>
              <w:rPr>
                <w:rFonts w:ascii="宋体" w:hAnsi="宋体" w:cs="宋体"/>
                <w:kern w:val="0"/>
                <w:sz w:val="30"/>
                <w:szCs w:val="30"/>
              </w:rPr>
              <w:t>类</w:t>
            </w:r>
          </w:p>
        </w:tc>
      </w:tr>
      <w:tr>
        <w:tblPrEx>
          <w:tblCellMar>
            <w:top w:w="45" w:type="dxa"/>
            <w:left w:w="45" w:type="dxa"/>
            <w:bottom w:w="45" w:type="dxa"/>
            <w:right w:w="45" w:type="dxa"/>
          </w:tblCellMar>
        </w:tblPrEx>
        <w:trPr>
          <w:trHeight w:val="738" w:hRule="atLeast"/>
          <w:tblCellSpacing w:w="0" w:type="dxa"/>
          <w:jc w:val="center"/>
        </w:trPr>
        <w:tc>
          <w:tcPr>
            <w:tcW w:w="0" w:type="auto"/>
            <w:shd w:val="clear" w:color="auto" w:fill="auto"/>
            <w:vAlign w:val="center"/>
          </w:tcPr>
          <w:p>
            <w:pPr>
              <w:widowControl/>
              <w:jc w:val="right"/>
              <w:rPr>
                <w:sz w:val="30"/>
                <w:szCs w:val="30"/>
              </w:rPr>
            </w:pPr>
            <w:r>
              <w:rPr>
                <w:rFonts w:ascii="宋体" w:hAnsi="宋体" w:cs="宋体"/>
                <w:kern w:val="0"/>
                <w:sz w:val="30"/>
                <w:szCs w:val="30"/>
              </w:rPr>
              <w:t>采购方式：</w:t>
            </w:r>
          </w:p>
        </w:tc>
        <w:tc>
          <w:tcPr>
            <w:tcW w:w="0" w:type="auto"/>
            <w:shd w:val="clear" w:color="auto" w:fill="auto"/>
            <w:vAlign w:val="center"/>
          </w:tcPr>
          <w:p>
            <w:pPr>
              <w:widowControl/>
              <w:jc w:val="left"/>
              <w:rPr>
                <w:sz w:val="30"/>
                <w:szCs w:val="30"/>
              </w:rPr>
            </w:pPr>
            <w:r>
              <w:rPr>
                <w:rFonts w:ascii="宋体" w:hAnsi="宋体" w:cs="宋体"/>
                <w:kern w:val="0"/>
                <w:sz w:val="30"/>
                <w:szCs w:val="30"/>
              </w:rPr>
              <w:t>公开招标</w:t>
            </w:r>
          </w:p>
        </w:tc>
      </w:tr>
      <w:tr>
        <w:tblPrEx>
          <w:tblCellMar>
            <w:top w:w="45" w:type="dxa"/>
            <w:left w:w="45" w:type="dxa"/>
            <w:bottom w:w="45" w:type="dxa"/>
            <w:right w:w="45" w:type="dxa"/>
          </w:tblCellMar>
        </w:tblPrEx>
        <w:trPr>
          <w:trHeight w:val="738" w:hRule="atLeast"/>
          <w:tblCellSpacing w:w="0" w:type="dxa"/>
          <w:jc w:val="center"/>
        </w:trPr>
        <w:tc>
          <w:tcPr>
            <w:tcW w:w="0" w:type="auto"/>
            <w:shd w:val="clear" w:color="auto" w:fill="auto"/>
            <w:vAlign w:val="center"/>
          </w:tcPr>
          <w:p>
            <w:pPr>
              <w:widowControl/>
              <w:jc w:val="right"/>
              <w:rPr>
                <w:sz w:val="30"/>
                <w:szCs w:val="30"/>
              </w:rPr>
            </w:pPr>
            <w:r>
              <w:rPr>
                <w:rFonts w:ascii="宋体" w:hAnsi="宋体" w:cs="宋体"/>
                <w:kern w:val="0"/>
                <w:sz w:val="30"/>
                <w:szCs w:val="30"/>
              </w:rPr>
              <w:t>货币类型：</w:t>
            </w:r>
          </w:p>
        </w:tc>
        <w:tc>
          <w:tcPr>
            <w:tcW w:w="0" w:type="auto"/>
            <w:shd w:val="clear" w:color="auto" w:fill="auto"/>
            <w:vAlign w:val="center"/>
          </w:tcPr>
          <w:p>
            <w:pPr>
              <w:widowControl/>
              <w:jc w:val="left"/>
              <w:rPr>
                <w:sz w:val="30"/>
                <w:szCs w:val="30"/>
              </w:rPr>
            </w:pPr>
            <w:r>
              <w:rPr>
                <w:rFonts w:ascii="宋体" w:hAnsi="宋体" w:cs="宋体"/>
                <w:kern w:val="0"/>
                <w:sz w:val="30"/>
                <w:szCs w:val="30"/>
              </w:rPr>
              <w:t>人民币</w:t>
            </w:r>
          </w:p>
        </w:tc>
      </w:tr>
      <w:tr>
        <w:tblPrEx>
          <w:tblCellMar>
            <w:top w:w="45" w:type="dxa"/>
            <w:left w:w="45" w:type="dxa"/>
            <w:bottom w:w="45" w:type="dxa"/>
            <w:right w:w="45" w:type="dxa"/>
          </w:tblCellMar>
        </w:tblPrEx>
        <w:trPr>
          <w:trHeight w:val="738" w:hRule="atLeast"/>
          <w:tblCellSpacing w:w="0" w:type="dxa"/>
          <w:jc w:val="center"/>
        </w:trPr>
        <w:tc>
          <w:tcPr>
            <w:tcW w:w="0" w:type="auto"/>
            <w:shd w:val="clear" w:color="auto" w:fill="auto"/>
            <w:vAlign w:val="center"/>
          </w:tcPr>
          <w:p>
            <w:pPr>
              <w:widowControl/>
              <w:jc w:val="right"/>
              <w:rPr>
                <w:sz w:val="30"/>
                <w:szCs w:val="30"/>
              </w:rPr>
            </w:pPr>
            <w:r>
              <w:rPr>
                <w:rFonts w:ascii="宋体" w:hAnsi="宋体" w:cs="宋体"/>
                <w:kern w:val="0"/>
                <w:sz w:val="30"/>
                <w:szCs w:val="30"/>
              </w:rPr>
              <w:t>评标方法：</w:t>
            </w:r>
          </w:p>
        </w:tc>
        <w:tc>
          <w:tcPr>
            <w:tcW w:w="0" w:type="auto"/>
            <w:shd w:val="clear" w:color="auto" w:fill="auto"/>
            <w:vAlign w:val="center"/>
          </w:tcPr>
          <w:p>
            <w:pPr>
              <w:widowControl/>
              <w:jc w:val="left"/>
              <w:rPr>
                <w:sz w:val="30"/>
                <w:szCs w:val="30"/>
              </w:rPr>
            </w:pPr>
            <w:r>
              <w:rPr>
                <w:rFonts w:ascii="宋体" w:hAnsi="宋体" w:cs="宋体"/>
                <w:kern w:val="0"/>
                <w:sz w:val="30"/>
                <w:szCs w:val="30"/>
              </w:rPr>
              <w:t>综合评分法（新价格分算法）</w:t>
            </w:r>
          </w:p>
        </w:tc>
      </w:tr>
    </w:tbl>
    <w:p>
      <w:pPr>
        <w:pStyle w:val="37"/>
        <w:jc w:val="center"/>
        <w:outlineLvl w:val="1"/>
        <w:rPr>
          <w:rFonts w:ascii="黑体" w:hAnsi="黑体" w:eastAsia="黑体"/>
          <w:sz w:val="40"/>
          <w:szCs w:val="40"/>
        </w:rPr>
      </w:pPr>
      <w:r>
        <w:rPr>
          <w:rFonts w:hint="eastAsia" w:ascii="黑体" w:hAnsi="黑体" w:eastAsia="黑体"/>
          <w:sz w:val="40"/>
          <w:szCs w:val="40"/>
        </w:rPr>
        <w:t>资格性审查表</w:t>
      </w:r>
    </w:p>
    <w:tbl>
      <w:tblPr>
        <w:tblStyle w:val="42"/>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794"/>
        <w:gridCol w:w="827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pPr>
              <w:jc w:val="center"/>
              <w:rPr>
                <w:rFonts w:ascii="宋体" w:hAnsi="宋体" w:cs="宋体"/>
                <w:sz w:val="28"/>
                <w:szCs w:val="28"/>
              </w:rPr>
            </w:pPr>
            <w:r>
              <w:rPr>
                <w:sz w:val="28"/>
                <w:szCs w:val="28"/>
              </w:rPr>
              <w:t>序号</w:t>
            </w:r>
          </w:p>
        </w:tc>
        <w:tc>
          <w:tcPr>
            <w:tcW w:w="0" w:type="auto"/>
            <w:tcBorders>
              <w:top w:val="single" w:color="000000" w:sz="8" w:space="0"/>
              <w:left w:val="single" w:color="000000" w:sz="8" w:space="0"/>
              <w:bottom w:val="single" w:color="000000" w:sz="8" w:space="0"/>
              <w:right w:val="single" w:color="000000" w:sz="8" w:space="0"/>
            </w:tcBorders>
            <w:shd w:val="clear" w:color="auto" w:fill="E6EFFA"/>
            <w:vAlign w:val="center"/>
          </w:tcPr>
          <w:p>
            <w:pPr>
              <w:jc w:val="center"/>
              <w:rPr>
                <w:rFonts w:ascii="宋体" w:hAnsi="宋体" w:cs="宋体"/>
                <w:sz w:val="28"/>
                <w:szCs w:val="28"/>
              </w:rPr>
            </w:pPr>
            <w:r>
              <w:rPr>
                <w:sz w:val="28"/>
                <w:szCs w:val="28"/>
              </w:rPr>
              <w:t>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jc w:val="center"/>
              <w:rPr>
                <w:rFonts w:ascii="宋体" w:hAnsi="宋体" w:cs="宋体"/>
                <w:szCs w:val="21"/>
              </w:rPr>
            </w:pPr>
            <w:r>
              <w:rPr>
                <w:szCs w:val="21"/>
              </w:rPr>
              <w:t>1</w:t>
            </w:r>
          </w:p>
        </w:tc>
        <w:tc>
          <w:tcPr>
            <w:tcW w:w="0" w:type="auto"/>
            <w:tcBorders>
              <w:top w:val="single" w:color="000000" w:sz="8" w:space="0"/>
              <w:left w:val="single" w:color="000000" w:sz="8" w:space="0"/>
              <w:bottom w:val="single" w:color="000000" w:sz="8" w:space="0"/>
              <w:right w:val="single" w:color="000000" w:sz="8" w:space="0"/>
            </w:tcBorders>
          </w:tcPr>
          <w:p>
            <w:pPr>
              <w:rPr>
                <w:rFonts w:ascii="宋体" w:hAnsi="宋体" w:cs="宋体"/>
                <w:szCs w:val="21"/>
              </w:rPr>
            </w:pPr>
            <w:r>
              <w:rPr>
                <w:rFonts w:ascii="宋体" w:hAnsi="宋体" w:cs="宋体"/>
                <w:kern w:val="0"/>
                <w:szCs w:val="21"/>
              </w:rPr>
              <w:t>投标人不</w:t>
            </w:r>
            <w:r>
              <w:rPr>
                <w:rFonts w:hint="eastAsia" w:ascii="宋体" w:hAnsi="宋体" w:cs="宋体"/>
                <w:kern w:val="0"/>
                <w:szCs w:val="21"/>
              </w:rPr>
              <w:t>符合</w:t>
            </w:r>
            <w:r>
              <w:rPr>
                <w:rFonts w:ascii="宋体" w:hAnsi="宋体" w:cs="宋体"/>
                <w:kern w:val="0"/>
                <w:szCs w:val="21"/>
              </w:rPr>
              <w:t>资格要求，或未提交相应的资格证明资料（详见招标公告</w:t>
            </w:r>
            <w:r>
              <w:rPr>
                <w:rFonts w:hint="eastAsia" w:ascii="宋体" w:hAnsi="宋体"/>
                <w:szCs w:val="21"/>
              </w:rPr>
              <w:t>投标人资格要求，即申请人的资格要求</w:t>
            </w:r>
            <w:r>
              <w:rPr>
                <w:rFonts w:ascii="宋体" w:hAnsi="宋体" w:cs="宋体"/>
                <w:kern w:val="0"/>
                <w:szCs w:val="21"/>
              </w:rPr>
              <w:t>）</w:t>
            </w:r>
          </w:p>
        </w:tc>
      </w:tr>
    </w:tbl>
    <w:p>
      <w:pPr>
        <w:pStyle w:val="37"/>
        <w:spacing w:before="280"/>
        <w:jc w:val="center"/>
        <w:outlineLvl w:val="1"/>
        <w:rPr>
          <w:rFonts w:ascii="黑体" w:hAnsi="黑体" w:eastAsia="黑体"/>
          <w:sz w:val="40"/>
          <w:szCs w:val="40"/>
        </w:rPr>
      </w:pPr>
      <w:r>
        <w:rPr>
          <w:rFonts w:hint="eastAsia" w:ascii="黑体" w:hAnsi="黑体" w:eastAsia="黑体"/>
          <w:sz w:val="40"/>
          <w:szCs w:val="40"/>
        </w:rPr>
        <w:t>符合性审查表</w:t>
      </w:r>
    </w:p>
    <w:tbl>
      <w:tblPr>
        <w:tblStyle w:val="42"/>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794"/>
        <w:gridCol w:w="827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pPr>
              <w:jc w:val="center"/>
              <w:rPr>
                <w:rFonts w:ascii="宋体" w:hAnsi="宋体" w:cs="宋体"/>
                <w:sz w:val="28"/>
                <w:szCs w:val="28"/>
              </w:rPr>
            </w:pPr>
            <w:r>
              <w:rPr>
                <w:sz w:val="28"/>
                <w:szCs w:val="28"/>
              </w:rPr>
              <w:t>序号</w:t>
            </w:r>
          </w:p>
        </w:tc>
        <w:tc>
          <w:tcPr>
            <w:tcW w:w="0" w:type="auto"/>
            <w:tcBorders>
              <w:top w:val="single" w:color="000000" w:sz="8" w:space="0"/>
              <w:left w:val="single" w:color="000000" w:sz="8" w:space="0"/>
              <w:bottom w:val="single" w:color="000000" w:sz="8" w:space="0"/>
              <w:right w:val="single" w:color="000000" w:sz="8" w:space="0"/>
            </w:tcBorders>
            <w:shd w:val="clear" w:color="auto" w:fill="E6EFFA"/>
            <w:vAlign w:val="center"/>
          </w:tcPr>
          <w:p>
            <w:pPr>
              <w:jc w:val="center"/>
              <w:rPr>
                <w:rFonts w:ascii="宋体" w:hAnsi="宋体" w:cs="宋体"/>
                <w:sz w:val="28"/>
                <w:szCs w:val="28"/>
              </w:rPr>
            </w:pPr>
            <w:r>
              <w:rPr>
                <w:sz w:val="28"/>
                <w:szCs w:val="28"/>
              </w:rPr>
              <w:t>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jc w:val="center"/>
              <w:rPr>
                <w:rFonts w:ascii="宋体" w:hAnsi="宋体" w:cs="宋体"/>
                <w:szCs w:val="21"/>
              </w:rPr>
            </w:pPr>
            <w:r>
              <w:rPr>
                <w:szCs w:val="21"/>
              </w:rPr>
              <w:t>1</w:t>
            </w:r>
          </w:p>
        </w:tc>
        <w:tc>
          <w:tcPr>
            <w:tcW w:w="0" w:type="auto"/>
            <w:tcBorders>
              <w:top w:val="single" w:color="000000" w:sz="8" w:space="0"/>
              <w:left w:val="single" w:color="000000" w:sz="8" w:space="0"/>
              <w:bottom w:val="single" w:color="000000" w:sz="8" w:space="0"/>
              <w:right w:val="single" w:color="000000" w:sz="8" w:space="0"/>
            </w:tcBorders>
          </w:tcPr>
          <w:p>
            <w:pPr>
              <w:rPr>
                <w:rFonts w:ascii="宋体" w:hAnsi="宋体" w:cs="宋体"/>
                <w:szCs w:val="21"/>
              </w:rPr>
            </w:pPr>
            <w:r>
              <w:rPr>
                <w:rFonts w:hint="eastAsia"/>
              </w:rPr>
              <w:t>将一个包或一个标段的内容拆开投标；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jc w:val="center"/>
              <w:rPr>
                <w:rFonts w:ascii="宋体" w:hAnsi="宋体" w:cs="宋体"/>
                <w:szCs w:val="21"/>
              </w:rPr>
            </w:pPr>
            <w:r>
              <w:rPr>
                <w:szCs w:val="21"/>
              </w:rPr>
              <w:t>2</w:t>
            </w:r>
          </w:p>
        </w:tc>
        <w:tc>
          <w:tcPr>
            <w:tcW w:w="0" w:type="auto"/>
            <w:tcBorders>
              <w:top w:val="single" w:color="000000" w:sz="8" w:space="0"/>
              <w:left w:val="single" w:color="000000" w:sz="8" w:space="0"/>
              <w:bottom w:val="single" w:color="000000" w:sz="8" w:space="0"/>
              <w:right w:val="single" w:color="000000" w:sz="8" w:space="0"/>
            </w:tcBorders>
          </w:tcPr>
          <w:p>
            <w:pPr>
              <w:rPr>
                <w:rFonts w:ascii="宋体" w:hAnsi="宋体" w:cs="宋体"/>
                <w:szCs w:val="21"/>
              </w:rPr>
            </w:pPr>
            <w:r>
              <w:rPr>
                <w:rFonts w:hint="eastAsia"/>
              </w:rPr>
              <w:t>对同一项目投标时，提供两套以上的投标方案（招标文件另有规定的除外）；</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jc w:val="center"/>
              <w:rPr>
                <w:rFonts w:ascii="宋体" w:hAnsi="宋体" w:cs="宋体"/>
                <w:szCs w:val="21"/>
              </w:rPr>
            </w:pPr>
            <w:r>
              <w:rPr>
                <w:szCs w:val="21"/>
              </w:rPr>
              <w:t>3</w:t>
            </w:r>
          </w:p>
        </w:tc>
        <w:tc>
          <w:tcPr>
            <w:tcW w:w="0" w:type="auto"/>
            <w:tcBorders>
              <w:top w:val="single" w:color="000000" w:sz="8" w:space="0"/>
              <w:left w:val="single" w:color="000000" w:sz="8" w:space="0"/>
              <w:bottom w:val="single" w:color="000000" w:sz="8" w:space="0"/>
              <w:right w:val="single" w:color="000000" w:sz="8" w:space="0"/>
            </w:tcBorders>
          </w:tcPr>
          <w:p>
            <w:pPr>
              <w:rPr>
                <w:rFonts w:ascii="宋体" w:hAnsi="宋体" w:cs="宋体"/>
                <w:szCs w:val="21"/>
                <w:highlight w:val="yellow"/>
              </w:rPr>
            </w:pPr>
            <w:r>
              <w:rPr>
                <w:rFonts w:hint="eastAsia"/>
                <w:highlight w:val="yellow"/>
              </w:rPr>
              <w:t>分项报价或投标总价高于相应财政预算金额（或设定的财政预算金额下的最高限价）；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jc w:val="center"/>
              <w:rPr>
                <w:rFonts w:ascii="宋体" w:hAnsi="宋体" w:cs="宋体"/>
                <w:szCs w:val="21"/>
              </w:rPr>
            </w:pPr>
            <w:r>
              <w:rPr>
                <w:szCs w:val="21"/>
              </w:rPr>
              <w:t>4</w:t>
            </w:r>
          </w:p>
        </w:tc>
        <w:tc>
          <w:tcPr>
            <w:tcW w:w="0" w:type="auto"/>
            <w:tcBorders>
              <w:top w:val="single" w:color="000000" w:sz="8" w:space="0"/>
              <w:left w:val="single" w:color="000000" w:sz="8" w:space="0"/>
              <w:bottom w:val="single" w:color="000000" w:sz="8" w:space="0"/>
              <w:right w:val="single" w:color="000000" w:sz="8" w:space="0"/>
            </w:tcBorders>
          </w:tcPr>
          <w:p>
            <w:pPr>
              <w:rPr>
                <w:rFonts w:ascii="宋体" w:hAnsi="宋体" w:cs="宋体"/>
                <w:szCs w:val="21"/>
              </w:rPr>
            </w:pPr>
            <w:r>
              <w:rPr>
                <w:rFonts w:hint="eastAsia"/>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jc w:val="center"/>
              <w:rPr>
                <w:rFonts w:ascii="宋体" w:hAnsi="宋体" w:cs="宋体"/>
                <w:szCs w:val="21"/>
              </w:rPr>
            </w:pPr>
            <w:r>
              <w:rPr>
                <w:szCs w:val="21"/>
              </w:rPr>
              <w:t>5</w:t>
            </w:r>
          </w:p>
        </w:tc>
        <w:tc>
          <w:tcPr>
            <w:tcW w:w="0" w:type="auto"/>
            <w:tcBorders>
              <w:top w:val="single" w:color="000000" w:sz="8" w:space="0"/>
              <w:left w:val="single" w:color="000000" w:sz="8" w:space="0"/>
              <w:bottom w:val="single" w:color="000000" w:sz="8" w:space="0"/>
              <w:right w:val="single" w:color="000000" w:sz="8" w:space="0"/>
            </w:tcBorders>
          </w:tcPr>
          <w:p>
            <w:pPr>
              <w:rPr>
                <w:rFonts w:ascii="宋体" w:hAnsi="宋体" w:cs="宋体"/>
                <w:szCs w:val="21"/>
              </w:rPr>
            </w:pPr>
            <w:r>
              <w:rPr>
                <w:rFonts w:hint="eastAsia"/>
              </w:rPr>
              <w:t>所投货物、服务在技术、商务等方面没有实质性满足招标文件要求的（是否实质性满足招标文件要求，由评审委员会根据《实质性条款响应情况表》做出评判）；</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jc w:val="center"/>
              <w:rPr>
                <w:rFonts w:ascii="宋体" w:hAnsi="宋体" w:cs="宋体"/>
                <w:szCs w:val="21"/>
              </w:rPr>
            </w:pPr>
            <w:r>
              <w:rPr>
                <w:szCs w:val="21"/>
              </w:rPr>
              <w:t>6</w:t>
            </w:r>
          </w:p>
        </w:tc>
        <w:tc>
          <w:tcPr>
            <w:tcW w:w="0" w:type="auto"/>
            <w:tcBorders>
              <w:top w:val="single" w:color="000000" w:sz="8" w:space="0"/>
              <w:left w:val="single" w:color="000000" w:sz="8" w:space="0"/>
              <w:bottom w:val="single" w:color="000000" w:sz="8" w:space="0"/>
              <w:right w:val="single" w:color="000000" w:sz="8" w:space="0"/>
            </w:tcBorders>
          </w:tcPr>
          <w:p>
            <w:pPr>
              <w:rPr>
                <w:rFonts w:ascii="宋体" w:hAnsi="宋体" w:cs="宋体"/>
                <w:szCs w:val="21"/>
              </w:rPr>
            </w:pPr>
            <w:r>
              <w:rPr>
                <w:rFonts w:hint="eastAsia"/>
              </w:rPr>
              <w:t>未按招标文件所提供的样式填写《投标函》；未按招标文件所提供的《政府采购投标及履约承诺函》进行承诺；未按招标文件对投标文件组成的要求提供投标文件；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jc w:val="center"/>
              <w:rPr>
                <w:rFonts w:ascii="宋体" w:hAnsi="宋体" w:cs="宋体"/>
                <w:szCs w:val="21"/>
              </w:rPr>
            </w:pPr>
            <w:r>
              <w:rPr>
                <w:szCs w:val="21"/>
              </w:rPr>
              <w:t>7</w:t>
            </w:r>
          </w:p>
        </w:tc>
        <w:tc>
          <w:tcPr>
            <w:tcW w:w="0" w:type="auto"/>
            <w:tcBorders>
              <w:top w:val="single" w:color="000000" w:sz="8" w:space="0"/>
              <w:left w:val="single" w:color="000000" w:sz="8" w:space="0"/>
              <w:bottom w:val="single" w:color="000000" w:sz="8" w:space="0"/>
              <w:right w:val="single" w:color="000000" w:sz="8" w:space="0"/>
            </w:tcBorders>
          </w:tcPr>
          <w:p>
            <w:pPr>
              <w:rPr>
                <w:rFonts w:ascii="宋体" w:hAnsi="宋体" w:cs="宋体"/>
                <w:szCs w:val="21"/>
              </w:rPr>
            </w:pPr>
            <w:r>
              <w:rPr>
                <w:rFonts w:hint="eastAsia"/>
              </w:rPr>
              <w:t>投标报价有缺漏项目,或者对招标文件规定的项目需求内容或者需求数量进行修改，评审委员会判定投标响应不满足采购需求；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jc w:val="center"/>
              <w:rPr>
                <w:rFonts w:ascii="宋体" w:hAnsi="宋体" w:cs="宋体"/>
                <w:szCs w:val="21"/>
              </w:rPr>
            </w:pPr>
            <w:r>
              <w:rPr>
                <w:szCs w:val="21"/>
              </w:rPr>
              <w:t>8</w:t>
            </w:r>
          </w:p>
        </w:tc>
        <w:tc>
          <w:tcPr>
            <w:tcW w:w="0" w:type="auto"/>
            <w:tcBorders>
              <w:top w:val="single" w:color="000000" w:sz="8" w:space="0"/>
              <w:left w:val="single" w:color="000000" w:sz="8" w:space="0"/>
              <w:bottom w:val="single" w:color="000000" w:sz="8" w:space="0"/>
              <w:right w:val="single" w:color="000000" w:sz="8" w:space="0"/>
            </w:tcBorders>
          </w:tcPr>
          <w:p>
            <w:pPr>
              <w:rPr>
                <w:rFonts w:ascii="宋体" w:hAnsi="宋体" w:cs="宋体"/>
                <w:szCs w:val="21"/>
              </w:rPr>
            </w:pPr>
            <w:r>
              <w:rPr>
                <w:rFonts w:hint="eastAsia"/>
              </w:rPr>
              <w:t>投标文件存在列放位置错误，导致属于信息公开情形的没有被公开；</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jc w:val="center"/>
              <w:rPr>
                <w:rFonts w:ascii="宋体" w:hAnsi="宋体" w:cs="宋体"/>
                <w:szCs w:val="21"/>
              </w:rPr>
            </w:pPr>
            <w:r>
              <w:rPr>
                <w:szCs w:val="21"/>
              </w:rPr>
              <w:t>9</w:t>
            </w:r>
          </w:p>
        </w:tc>
        <w:tc>
          <w:tcPr>
            <w:tcW w:w="0" w:type="auto"/>
            <w:tcBorders>
              <w:top w:val="single" w:color="000000" w:sz="8" w:space="0"/>
              <w:left w:val="single" w:color="000000" w:sz="8" w:space="0"/>
              <w:bottom w:val="single" w:color="000000" w:sz="8" w:space="0"/>
              <w:right w:val="single" w:color="000000" w:sz="8" w:space="0"/>
            </w:tcBorders>
          </w:tcPr>
          <w:p>
            <w:pPr>
              <w:rPr>
                <w:rFonts w:ascii="宋体" w:hAnsi="宋体" w:cs="宋体"/>
                <w:szCs w:val="21"/>
              </w:rPr>
            </w:pPr>
            <w:r>
              <w:rPr>
                <w:rFonts w:hint="eastAsia"/>
              </w:rPr>
              <w:t>投标文件电子文档带病毒；</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jc w:val="center"/>
              <w:rPr>
                <w:rFonts w:ascii="宋体" w:hAnsi="宋体" w:cs="宋体"/>
                <w:szCs w:val="21"/>
              </w:rPr>
            </w:pPr>
            <w:r>
              <w:rPr>
                <w:szCs w:val="21"/>
              </w:rPr>
              <w:t>10</w:t>
            </w:r>
          </w:p>
        </w:tc>
        <w:tc>
          <w:tcPr>
            <w:tcW w:w="0" w:type="auto"/>
            <w:tcBorders>
              <w:top w:val="single" w:color="000000" w:sz="8" w:space="0"/>
              <w:left w:val="single" w:color="000000" w:sz="8" w:space="0"/>
              <w:bottom w:val="single" w:color="000000" w:sz="8" w:space="0"/>
              <w:right w:val="single" w:color="000000" w:sz="8" w:space="0"/>
            </w:tcBorders>
          </w:tcPr>
          <w:p>
            <w:pPr>
              <w:rPr>
                <w:rFonts w:ascii="宋体" w:hAnsi="宋体" w:cs="宋体"/>
                <w:szCs w:val="21"/>
              </w:rPr>
            </w:pPr>
            <w:r>
              <w:rPr>
                <w:rFonts w:hint="eastAsia"/>
              </w:rPr>
              <w:t>投标文件用不属于本公司的电子密钥进行加密的；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jc w:val="center"/>
              <w:rPr>
                <w:rFonts w:ascii="宋体" w:hAnsi="宋体" w:cs="宋体"/>
                <w:szCs w:val="21"/>
              </w:rPr>
            </w:pPr>
            <w:r>
              <w:rPr>
                <w:szCs w:val="21"/>
              </w:rPr>
              <w:t>11</w:t>
            </w:r>
          </w:p>
        </w:tc>
        <w:tc>
          <w:tcPr>
            <w:tcW w:w="0" w:type="auto"/>
            <w:tcBorders>
              <w:top w:val="single" w:color="000000" w:sz="8" w:space="0"/>
              <w:left w:val="single" w:color="000000" w:sz="8" w:space="0"/>
              <w:bottom w:val="single" w:color="000000" w:sz="8" w:space="0"/>
              <w:right w:val="single" w:color="000000" w:sz="8" w:space="0"/>
            </w:tcBorders>
          </w:tcPr>
          <w:p>
            <w:pPr>
              <w:rPr>
                <w:rFonts w:ascii="宋体" w:hAnsi="宋体" w:cs="宋体"/>
                <w:szCs w:val="21"/>
              </w:rPr>
            </w:pPr>
            <w:r>
              <w:rPr>
                <w:rFonts w:hint="eastAsia"/>
              </w:rPr>
              <w:t>误选了非本项目的最新加密规则文件，导致投标文件不能在开标时解密；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jc w:val="center"/>
              <w:rPr>
                <w:rFonts w:ascii="宋体" w:hAnsi="宋体" w:cs="宋体"/>
                <w:szCs w:val="21"/>
              </w:rPr>
            </w:pPr>
            <w:r>
              <w:rPr>
                <w:szCs w:val="21"/>
              </w:rPr>
              <w:t>12</w:t>
            </w:r>
          </w:p>
        </w:tc>
        <w:tc>
          <w:tcPr>
            <w:tcW w:w="0" w:type="auto"/>
            <w:tcBorders>
              <w:top w:val="single" w:color="000000" w:sz="8" w:space="0"/>
              <w:left w:val="single" w:color="000000" w:sz="8" w:space="0"/>
              <w:bottom w:val="single" w:color="000000" w:sz="8" w:space="0"/>
              <w:right w:val="single" w:color="000000" w:sz="8" w:space="0"/>
            </w:tcBorders>
          </w:tcPr>
          <w:p>
            <w:pPr>
              <w:rPr>
                <w:rFonts w:ascii="宋体" w:hAnsi="宋体" w:cs="宋体"/>
                <w:szCs w:val="21"/>
              </w:rPr>
            </w:pPr>
            <w:r>
              <w:rPr>
                <w:rFonts w:hint="eastAsia"/>
              </w:rPr>
              <w:t>法律、法规、规章、规范性文件规定的其他情形。</w:t>
            </w:r>
          </w:p>
        </w:tc>
      </w:tr>
    </w:tbl>
    <w:p>
      <w:pPr>
        <w:pStyle w:val="37"/>
        <w:jc w:val="center"/>
        <w:outlineLvl w:val="1"/>
        <w:rPr>
          <w:rFonts w:ascii="黑体" w:hAnsi="黑体" w:eastAsia="黑体"/>
          <w:sz w:val="40"/>
          <w:szCs w:val="40"/>
        </w:rPr>
      </w:pPr>
      <w:r>
        <w:rPr>
          <w:rFonts w:hint="eastAsia" w:ascii="黑体" w:hAnsi="黑体" w:eastAsia="黑体"/>
          <w:sz w:val="40"/>
          <w:szCs w:val="40"/>
        </w:rPr>
        <w:t>评标信息</w:t>
      </w:r>
    </w:p>
    <w:tbl>
      <w:tblPr>
        <w:tblStyle w:val="42"/>
        <w:tblW w:w="9072" w:type="dxa"/>
        <w:jc w:val="center"/>
        <w:tblCellSpacing w:w="0" w:type="dxa"/>
        <w:tblLayout w:type="autofit"/>
        <w:tblCellMar>
          <w:top w:w="45" w:type="dxa"/>
          <w:left w:w="45" w:type="dxa"/>
          <w:bottom w:w="45" w:type="dxa"/>
          <w:right w:w="45" w:type="dxa"/>
        </w:tblCellMar>
      </w:tblPr>
      <w:tblGrid>
        <w:gridCol w:w="8867"/>
        <w:gridCol w:w="205"/>
      </w:tblGrid>
      <w:tr>
        <w:tblPrEx>
          <w:tblCellMar>
            <w:top w:w="45" w:type="dxa"/>
            <w:left w:w="45" w:type="dxa"/>
            <w:bottom w:w="45" w:type="dxa"/>
            <w:right w:w="45" w:type="dxa"/>
          </w:tblCellMar>
        </w:tblPrEx>
        <w:trPr>
          <w:tblCellSpacing w:w="0" w:type="dxa"/>
          <w:jc w:val="center"/>
        </w:trPr>
        <w:tc>
          <w:tcPr>
            <w:tcW w:w="0" w:type="auto"/>
            <w:tcBorders>
              <w:top w:val="nil"/>
              <w:left w:val="nil"/>
              <w:bottom w:val="nil"/>
              <w:right w:val="nil"/>
            </w:tcBorders>
            <w:vAlign w:val="center"/>
          </w:tcPr>
          <w:p>
            <w:pPr>
              <w:rPr>
                <w:rFonts w:ascii="宋体" w:hAnsi="宋体" w:cs="宋体"/>
                <w:b/>
                <w:bCs/>
                <w:sz w:val="24"/>
              </w:rPr>
            </w:pPr>
            <w:r>
              <w:rPr>
                <w:b/>
                <w:bCs/>
              </w:rPr>
              <w:t>评标方法：</w:t>
            </w:r>
            <w:r>
              <w:rPr>
                <w:rFonts w:hint="eastAsia"/>
                <w:b/>
                <w:bCs/>
              </w:rPr>
              <w:t>最低价法/</w:t>
            </w:r>
            <w:r>
              <w:rPr>
                <w:b/>
                <w:bCs/>
              </w:rPr>
              <w:t>综合评分法（新价格分算法）</w:t>
            </w:r>
          </w:p>
        </w:tc>
        <w:tc>
          <w:tcPr>
            <w:tcW w:w="0" w:type="auto"/>
            <w:tcBorders>
              <w:top w:val="nil"/>
              <w:left w:val="nil"/>
              <w:bottom w:val="nil"/>
              <w:right w:val="nil"/>
            </w:tcBorders>
            <w:vAlign w:val="center"/>
          </w:tcPr>
          <w:p>
            <w:pPr>
              <w:jc w:val="right"/>
              <w:rPr>
                <w:rFonts w:ascii="宋体" w:hAnsi="宋体" w:cs="宋体"/>
                <w:b/>
                <w:bCs/>
                <w:sz w:val="24"/>
              </w:rPr>
            </w:pPr>
          </w:p>
        </w:tc>
      </w:tr>
      <w:tr>
        <w:tblPrEx>
          <w:tblCellMar>
            <w:top w:w="45" w:type="dxa"/>
            <w:left w:w="45" w:type="dxa"/>
            <w:bottom w:w="45" w:type="dxa"/>
            <w:right w:w="45" w:type="dxa"/>
          </w:tblCellMar>
        </w:tblPrEx>
        <w:trPr>
          <w:tblCellSpacing w:w="0" w:type="dxa"/>
          <w:jc w:val="center"/>
        </w:trPr>
        <w:tc>
          <w:tcPr>
            <w:tcW w:w="0" w:type="auto"/>
            <w:gridSpan w:val="2"/>
            <w:tcBorders>
              <w:top w:val="nil"/>
              <w:left w:val="nil"/>
              <w:bottom w:val="nil"/>
              <w:right w:val="nil"/>
            </w:tcBorders>
            <w:vAlign w:val="center"/>
          </w:tcPr>
          <w:p>
            <w:pPr>
              <w:pStyle w:val="37"/>
              <w:spacing w:line="324" w:lineRule="auto"/>
              <w:ind w:firstLine="420"/>
              <w:rPr>
                <w:sz w:val="21"/>
                <w:szCs w:val="21"/>
              </w:rPr>
            </w:pPr>
            <w:r>
              <w:rPr>
                <w:sz w:val="21"/>
                <w:szCs w:val="21"/>
              </w:rPr>
              <w:t xml:space="preserve">综合评分法，是指投标文件满足招标文件全部实质性要求，且按照评审因素的量化指标评审得分最高的投标人为中标候选人的评标方法。 </w:t>
            </w:r>
          </w:p>
          <w:p>
            <w:pPr>
              <w:pStyle w:val="37"/>
              <w:ind w:firstLine="420"/>
              <w:rPr>
                <w:sz w:val="21"/>
                <w:szCs w:val="21"/>
              </w:rPr>
            </w:pPr>
            <w:r>
              <w:rPr>
                <w:sz w:val="21"/>
                <w:szCs w:val="21"/>
              </w:rPr>
              <w:t>价格分计算方法：</w:t>
            </w:r>
          </w:p>
          <w:p>
            <w:pPr>
              <w:pStyle w:val="37"/>
              <w:spacing w:line="324" w:lineRule="auto"/>
              <w:ind w:left="420"/>
              <w:rPr>
                <w:sz w:val="21"/>
                <w:szCs w:val="21"/>
              </w:rPr>
            </w:pPr>
            <w:r>
              <w:rPr>
                <w:sz w:val="21"/>
                <w:szCs w:val="21"/>
              </w:rPr>
              <w:t xml:space="preserve">采用低价优先法计算，即满足招标文件要求且投标价格最低的投标报价为评标基准价，其价格分为满分。其他投标人的价格分统一按照下列公式计算： </w:t>
            </w:r>
            <w:r>
              <w:rPr>
                <w:sz w:val="21"/>
                <w:szCs w:val="21"/>
              </w:rPr>
              <w:br w:type="textWrapping"/>
            </w:r>
            <w:r>
              <w:rPr>
                <w:sz w:val="21"/>
                <w:szCs w:val="21"/>
              </w:rPr>
              <w:t xml:space="preserve">投标报价得分=(评标基准价／投标报价)×100 </w:t>
            </w:r>
            <w:r>
              <w:rPr>
                <w:sz w:val="21"/>
                <w:szCs w:val="21"/>
              </w:rPr>
              <w:br w:type="textWrapping"/>
            </w:r>
            <w:r>
              <w:rPr>
                <w:sz w:val="21"/>
                <w:szCs w:val="21"/>
              </w:rPr>
              <w:t xml:space="preserve">评标总得分＝F1×A1＋F2×A2＋……＋Fn×An </w:t>
            </w:r>
            <w:r>
              <w:rPr>
                <w:sz w:val="21"/>
                <w:szCs w:val="21"/>
              </w:rPr>
              <w:br w:type="textWrapping"/>
            </w:r>
            <w:r>
              <w:rPr>
                <w:sz w:val="21"/>
                <w:szCs w:val="21"/>
              </w:rPr>
              <w:t xml:space="preserve">F1、F2……Fn分别为各项评审因素的得分； </w:t>
            </w:r>
            <w:r>
              <w:rPr>
                <w:sz w:val="21"/>
                <w:szCs w:val="21"/>
              </w:rPr>
              <w:br w:type="textWrapping"/>
            </w:r>
            <w:r>
              <w:rPr>
                <w:sz w:val="21"/>
                <w:szCs w:val="21"/>
              </w:rPr>
              <w:t xml:space="preserve">A1、A2、……An 分别为各项评审因素所占的权重(A1＋A2＋……＋An＝1)。 </w:t>
            </w:r>
            <w:r>
              <w:rPr>
                <w:sz w:val="21"/>
                <w:szCs w:val="21"/>
              </w:rPr>
              <w:br w:type="textWrapping"/>
            </w:r>
            <w:r>
              <w:rPr>
                <w:sz w:val="21"/>
                <w:szCs w:val="21"/>
              </w:rPr>
              <w:t xml:space="preserve">评标过程中，不得去掉报价中的最高报价和最低报价。 </w:t>
            </w:r>
            <w:r>
              <w:rPr>
                <w:sz w:val="21"/>
                <w:szCs w:val="21"/>
              </w:rPr>
              <w:br w:type="textWrapping"/>
            </w:r>
            <w:r>
              <w:rPr>
                <w:sz w:val="21"/>
                <w:szCs w:val="21"/>
              </w:rPr>
              <w:t xml:space="preserve">此方法适用于货物类、服务类、工程类项目。 </w:t>
            </w:r>
          </w:p>
        </w:tc>
      </w:tr>
    </w:tbl>
    <w:p>
      <w:pPr>
        <w:rPr>
          <w:vanish/>
        </w:rPr>
      </w:pPr>
    </w:p>
    <w:tbl>
      <w:tblPr>
        <w:tblStyle w:val="42"/>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676"/>
        <w:gridCol w:w="675"/>
        <w:gridCol w:w="2792"/>
        <w:gridCol w:w="776"/>
        <w:gridCol w:w="415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76" w:type="dxa"/>
            <w:tcBorders>
              <w:top w:val="single" w:color="000000" w:sz="8" w:space="0"/>
              <w:left w:val="single" w:color="000000" w:sz="8" w:space="0"/>
              <w:bottom w:val="single" w:color="000000" w:sz="8" w:space="0"/>
              <w:right w:val="single" w:color="000000" w:sz="8" w:space="0"/>
            </w:tcBorders>
            <w:shd w:val="clear" w:color="auto" w:fill="E6EFFA"/>
            <w:vAlign w:val="center"/>
          </w:tcPr>
          <w:p>
            <w:pPr>
              <w:wordWrap w:val="0"/>
              <w:jc w:val="center"/>
              <w:rPr>
                <w:rFonts w:ascii="宋体" w:hAnsi="宋体" w:cs="宋体"/>
                <w:b/>
                <w:bCs/>
                <w:sz w:val="24"/>
              </w:rPr>
            </w:pPr>
            <w:r>
              <w:rPr>
                <w:b/>
                <w:bCs/>
              </w:rPr>
              <w:t>序号</w:t>
            </w:r>
          </w:p>
        </w:tc>
        <w:tc>
          <w:tcPr>
            <w:tcW w:w="4243" w:type="dxa"/>
            <w:gridSpan w:val="3"/>
            <w:tcBorders>
              <w:top w:val="single" w:color="000000" w:sz="8" w:space="0"/>
              <w:left w:val="single" w:color="000000" w:sz="8" w:space="0"/>
              <w:bottom w:val="single" w:color="000000" w:sz="8" w:space="0"/>
              <w:right w:val="single" w:color="000000" w:sz="8" w:space="0"/>
            </w:tcBorders>
            <w:shd w:val="clear" w:color="auto" w:fill="E6EFFA"/>
            <w:vAlign w:val="center"/>
          </w:tcPr>
          <w:p>
            <w:pPr>
              <w:wordWrap w:val="0"/>
              <w:jc w:val="center"/>
              <w:rPr>
                <w:rFonts w:ascii="宋体" w:hAnsi="宋体" w:cs="宋体"/>
                <w:b/>
                <w:bCs/>
                <w:sz w:val="24"/>
              </w:rPr>
            </w:pPr>
            <w:r>
              <w:rPr>
                <w:b/>
                <w:bCs/>
              </w:rPr>
              <w:t>评分项</w:t>
            </w:r>
          </w:p>
        </w:tc>
        <w:tc>
          <w:tcPr>
            <w:tcW w:w="4153" w:type="dxa"/>
            <w:tcBorders>
              <w:top w:val="single" w:color="000000" w:sz="8" w:space="0"/>
              <w:left w:val="single" w:color="000000" w:sz="8" w:space="0"/>
              <w:bottom w:val="single" w:color="000000" w:sz="8" w:space="0"/>
              <w:right w:val="single" w:color="000000" w:sz="8" w:space="0"/>
            </w:tcBorders>
            <w:shd w:val="clear" w:color="auto" w:fill="E6EFFA"/>
            <w:vAlign w:val="center"/>
          </w:tcPr>
          <w:p>
            <w:pPr>
              <w:wordWrap w:val="0"/>
              <w:jc w:val="center"/>
              <w:rPr>
                <w:rFonts w:ascii="宋体" w:hAnsi="宋体" w:cs="宋体"/>
                <w:b/>
                <w:bCs/>
                <w:sz w:val="24"/>
              </w:rPr>
            </w:pPr>
            <w:r>
              <w:rPr>
                <w:b/>
                <w:bCs/>
              </w:rPr>
              <w:t>权重(%)</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76" w:type="dxa"/>
            <w:tcBorders>
              <w:top w:val="single" w:color="000000" w:sz="8" w:space="0"/>
              <w:left w:val="single" w:color="000000" w:sz="8" w:space="0"/>
              <w:bottom w:val="single" w:color="000000" w:sz="8" w:space="0"/>
              <w:right w:val="single" w:color="000000" w:sz="8" w:space="0"/>
            </w:tcBorders>
          </w:tcPr>
          <w:p>
            <w:pPr>
              <w:wordWrap w:val="0"/>
              <w:jc w:val="center"/>
              <w:rPr>
                <w:rFonts w:ascii="宋体" w:hAnsi="宋体" w:cs="宋体"/>
                <w:b/>
                <w:bCs/>
                <w:color w:val="0000FF"/>
                <w:sz w:val="24"/>
              </w:rPr>
            </w:pPr>
            <w:r>
              <w:rPr>
                <w:b/>
                <w:bCs/>
                <w:color w:val="0000FF"/>
              </w:rPr>
              <w:t>1</w:t>
            </w:r>
          </w:p>
        </w:tc>
        <w:tc>
          <w:tcPr>
            <w:tcW w:w="4243" w:type="dxa"/>
            <w:gridSpan w:val="3"/>
            <w:tcBorders>
              <w:top w:val="single" w:color="000000" w:sz="8" w:space="0"/>
              <w:left w:val="single" w:color="000000" w:sz="8" w:space="0"/>
              <w:bottom w:val="single" w:color="000000" w:sz="8" w:space="0"/>
              <w:right w:val="single" w:color="000000" w:sz="8" w:space="0"/>
            </w:tcBorders>
          </w:tcPr>
          <w:p>
            <w:pPr>
              <w:wordWrap w:val="0"/>
              <w:jc w:val="center"/>
              <w:rPr>
                <w:rFonts w:ascii="宋体" w:hAnsi="宋体" w:cs="宋体"/>
                <w:b/>
                <w:bCs/>
                <w:color w:val="0000FF"/>
                <w:sz w:val="24"/>
              </w:rPr>
            </w:pPr>
            <w:r>
              <w:rPr>
                <w:b/>
                <w:bCs/>
                <w:color w:val="0000FF"/>
              </w:rPr>
              <w:t>价格</w:t>
            </w:r>
          </w:p>
        </w:tc>
        <w:tc>
          <w:tcPr>
            <w:tcW w:w="4153" w:type="dxa"/>
            <w:tcBorders>
              <w:top w:val="single" w:color="000000" w:sz="8" w:space="0"/>
              <w:left w:val="single" w:color="000000" w:sz="8" w:space="0"/>
              <w:bottom w:val="single" w:color="000000" w:sz="8" w:space="0"/>
              <w:right w:val="single" w:color="000000" w:sz="8" w:space="0"/>
            </w:tcBorders>
          </w:tcPr>
          <w:p>
            <w:pPr>
              <w:wordWrap w:val="0"/>
              <w:jc w:val="center"/>
              <w:rPr>
                <w:rFonts w:ascii="宋体" w:hAnsi="宋体" w:cs="宋体"/>
                <w:b/>
                <w:bCs/>
                <w:color w:val="0000FF"/>
                <w:sz w:val="24"/>
              </w:rPr>
            </w:pPr>
            <w:r>
              <w:rPr>
                <w:rFonts w:hint="eastAsia"/>
                <w:b/>
                <w:bCs/>
                <w:color w:val="0000FF"/>
              </w:rPr>
              <w:t>20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76" w:type="dxa"/>
            <w:vMerge w:val="restart"/>
            <w:tcBorders>
              <w:top w:val="single" w:color="000000" w:sz="8" w:space="0"/>
              <w:left w:val="single" w:color="000000" w:sz="8" w:space="0"/>
              <w:bottom w:val="single" w:color="000000" w:sz="8" w:space="0"/>
              <w:right w:val="single" w:color="000000" w:sz="8" w:space="0"/>
            </w:tcBorders>
          </w:tcPr>
          <w:p>
            <w:pPr>
              <w:wordWrap w:val="0"/>
              <w:jc w:val="center"/>
              <w:rPr>
                <w:rFonts w:ascii="宋体" w:hAnsi="宋体" w:cs="宋体"/>
                <w:b/>
                <w:bCs/>
                <w:color w:val="0000FF"/>
                <w:sz w:val="24"/>
              </w:rPr>
            </w:pPr>
            <w:r>
              <w:rPr>
                <w:b/>
                <w:bCs/>
                <w:color w:val="0000FF"/>
              </w:rPr>
              <w:t>2</w:t>
            </w:r>
          </w:p>
        </w:tc>
        <w:tc>
          <w:tcPr>
            <w:tcW w:w="4243" w:type="dxa"/>
            <w:gridSpan w:val="3"/>
            <w:tcBorders>
              <w:top w:val="single" w:color="000000" w:sz="8" w:space="0"/>
              <w:left w:val="single" w:color="000000" w:sz="8" w:space="0"/>
              <w:bottom w:val="single" w:color="000000" w:sz="8" w:space="0"/>
              <w:right w:val="single" w:color="000000" w:sz="8" w:space="0"/>
            </w:tcBorders>
          </w:tcPr>
          <w:p>
            <w:pPr>
              <w:wordWrap w:val="0"/>
              <w:jc w:val="center"/>
              <w:rPr>
                <w:rFonts w:ascii="宋体" w:hAnsi="宋体" w:cs="宋体"/>
                <w:b/>
                <w:bCs/>
                <w:color w:val="0000FF"/>
                <w:sz w:val="24"/>
              </w:rPr>
            </w:pPr>
            <w:r>
              <w:rPr>
                <w:b/>
                <w:bCs/>
                <w:color w:val="0000FF"/>
              </w:rPr>
              <w:t>技术</w:t>
            </w:r>
            <w:r>
              <w:rPr>
                <w:rFonts w:hint="eastAsia"/>
                <w:b/>
                <w:bCs/>
                <w:color w:val="0000FF"/>
              </w:rPr>
              <w:t>部分</w:t>
            </w:r>
          </w:p>
        </w:tc>
        <w:tc>
          <w:tcPr>
            <w:tcW w:w="4153" w:type="dxa"/>
            <w:tcBorders>
              <w:top w:val="single" w:color="000000" w:sz="8" w:space="0"/>
              <w:left w:val="single" w:color="000000" w:sz="8" w:space="0"/>
              <w:bottom w:val="single" w:color="000000" w:sz="8" w:space="0"/>
              <w:right w:val="single" w:color="000000" w:sz="8" w:space="0"/>
            </w:tcBorders>
          </w:tcPr>
          <w:p>
            <w:pPr>
              <w:wordWrap w:val="0"/>
              <w:jc w:val="center"/>
              <w:rPr>
                <w:rFonts w:ascii="宋体" w:hAnsi="宋体" w:cs="宋体"/>
                <w:b/>
                <w:bCs/>
                <w:color w:val="0000FF"/>
                <w:sz w:val="24"/>
              </w:rPr>
            </w:pPr>
            <w:r>
              <w:rPr>
                <w:rFonts w:hint="eastAsia" w:ascii="宋体" w:hAnsi="宋体"/>
                <w:szCs w:val="21"/>
              </w:rPr>
              <w:t>53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E6EFFA"/>
            <w:vAlign w:val="center"/>
          </w:tcPr>
          <w:p>
            <w:pPr>
              <w:rPr>
                <w:rFonts w:ascii="宋体" w:hAnsi="宋体" w:cs="宋体"/>
                <w:b/>
                <w:bCs/>
                <w:color w:val="0000FF"/>
                <w:sz w:val="24"/>
              </w:rPr>
            </w:pPr>
          </w:p>
        </w:tc>
        <w:tc>
          <w:tcPr>
            <w:tcW w:w="675" w:type="dxa"/>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jc w:val="center"/>
              <w:rPr>
                <w:rFonts w:ascii="宋体" w:hAnsi="宋体" w:cs="宋体"/>
                <w:szCs w:val="21"/>
              </w:rPr>
            </w:pPr>
            <w:r>
              <w:rPr>
                <w:szCs w:val="21"/>
              </w:rPr>
              <w:t>序号</w:t>
            </w:r>
          </w:p>
        </w:tc>
        <w:tc>
          <w:tcPr>
            <w:tcW w:w="2792" w:type="dxa"/>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jc w:val="center"/>
              <w:rPr>
                <w:rFonts w:ascii="宋体" w:hAnsi="宋体" w:cs="宋体"/>
                <w:szCs w:val="21"/>
              </w:rPr>
            </w:pPr>
            <w:r>
              <w:rPr>
                <w:szCs w:val="21"/>
              </w:rPr>
              <w:t>评分因素</w:t>
            </w:r>
          </w:p>
        </w:tc>
        <w:tc>
          <w:tcPr>
            <w:tcW w:w="776" w:type="dxa"/>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jc w:val="center"/>
              <w:rPr>
                <w:rFonts w:ascii="宋体" w:hAnsi="宋体" w:cs="宋体"/>
                <w:szCs w:val="21"/>
              </w:rPr>
            </w:pPr>
            <w:r>
              <w:rPr>
                <w:szCs w:val="21"/>
              </w:rPr>
              <w:t>权重(%)</w:t>
            </w:r>
          </w:p>
        </w:tc>
        <w:tc>
          <w:tcPr>
            <w:tcW w:w="4153" w:type="dxa"/>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jc w:val="center"/>
              <w:rPr>
                <w:rFonts w:ascii="宋体" w:hAnsi="宋体" w:cs="宋体"/>
                <w:szCs w:val="21"/>
              </w:rPr>
            </w:pPr>
            <w:r>
              <w:rPr>
                <w:szCs w:val="21"/>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0" w:type="auto"/>
            <w:vMerge w:val="continue"/>
            <w:tcBorders>
              <w:top w:val="single" w:color="000000" w:sz="8" w:space="0"/>
              <w:left w:val="single" w:color="000000" w:sz="8" w:space="0"/>
              <w:bottom w:val="single" w:color="000000" w:sz="8" w:space="0"/>
              <w:right w:val="single" w:color="000000" w:sz="8" w:space="0"/>
            </w:tcBorders>
            <w:vAlign w:val="center"/>
          </w:tcPr>
          <w:p>
            <w:pPr>
              <w:rPr>
                <w:rFonts w:ascii="宋体" w:hAnsi="宋体" w:cs="宋体"/>
                <w:b/>
                <w:bCs/>
                <w:color w:val="0000FF"/>
                <w:sz w:val="24"/>
              </w:rPr>
            </w:pPr>
          </w:p>
        </w:tc>
        <w:tc>
          <w:tcPr>
            <w:tcW w:w="675" w:type="dxa"/>
            <w:tcBorders>
              <w:top w:val="single" w:color="000000" w:sz="8" w:space="0"/>
              <w:left w:val="single" w:color="000000" w:sz="8" w:space="0"/>
              <w:bottom w:val="single" w:color="000000" w:sz="8" w:space="0"/>
              <w:right w:val="single" w:color="000000" w:sz="8" w:space="0"/>
            </w:tcBorders>
            <w:vAlign w:val="center"/>
          </w:tcPr>
          <w:p>
            <w:pPr>
              <w:wordWrap w:val="0"/>
              <w:jc w:val="center"/>
              <w:rPr>
                <w:rFonts w:ascii="宋体" w:hAnsi="宋体" w:cs="宋体"/>
                <w:szCs w:val="21"/>
              </w:rPr>
            </w:pPr>
            <w:r>
              <w:rPr>
                <w:rFonts w:ascii="宋体" w:hAnsi="宋体"/>
                <w:szCs w:val="21"/>
              </w:rPr>
              <w:t>1</w:t>
            </w:r>
          </w:p>
        </w:tc>
        <w:tc>
          <w:tcPr>
            <w:tcW w:w="2792" w:type="dxa"/>
            <w:tcBorders>
              <w:top w:val="single" w:color="000000" w:sz="8" w:space="0"/>
              <w:left w:val="single" w:color="000000" w:sz="8" w:space="0"/>
              <w:bottom w:val="single" w:color="000000" w:sz="8" w:space="0"/>
              <w:right w:val="single" w:color="000000" w:sz="8" w:space="0"/>
            </w:tcBorders>
            <w:vAlign w:val="center"/>
          </w:tcPr>
          <w:p>
            <w:pPr>
              <w:wordWrap w:val="0"/>
              <w:jc w:val="center"/>
              <w:rPr>
                <w:rFonts w:ascii="宋体" w:hAnsi="宋体" w:cs="宋体"/>
                <w:szCs w:val="21"/>
              </w:rPr>
            </w:pPr>
            <w:r>
              <w:rPr>
                <w:rFonts w:hint="eastAsia" w:ascii="宋体" w:hAnsi="宋体"/>
                <w:szCs w:val="21"/>
              </w:rPr>
              <w:t>实施方案</w:t>
            </w:r>
          </w:p>
        </w:tc>
        <w:tc>
          <w:tcPr>
            <w:tcW w:w="776" w:type="dxa"/>
            <w:tcBorders>
              <w:top w:val="single" w:color="000000" w:sz="8" w:space="0"/>
              <w:left w:val="single" w:color="000000" w:sz="8" w:space="0"/>
              <w:bottom w:val="single" w:color="000000" w:sz="8" w:space="0"/>
              <w:right w:val="single" w:color="000000" w:sz="8" w:space="0"/>
            </w:tcBorders>
            <w:vAlign w:val="center"/>
          </w:tcPr>
          <w:p>
            <w:pPr>
              <w:wordWrap w:val="0"/>
              <w:jc w:val="center"/>
              <w:rPr>
                <w:rFonts w:ascii="宋体" w:hAnsi="宋体" w:cs="宋体"/>
                <w:szCs w:val="21"/>
              </w:rPr>
            </w:pPr>
            <w:r>
              <w:rPr>
                <w:rFonts w:hint="eastAsia" w:ascii="宋体" w:hAnsi="宋体"/>
                <w:szCs w:val="21"/>
              </w:rPr>
              <w:t>10</w:t>
            </w:r>
          </w:p>
        </w:tc>
        <w:tc>
          <w:tcPr>
            <w:tcW w:w="4153" w:type="dxa"/>
            <w:tcBorders>
              <w:top w:val="single" w:color="000000" w:sz="8" w:space="0"/>
              <w:left w:val="single" w:color="000000" w:sz="8" w:space="0"/>
              <w:bottom w:val="single" w:color="000000" w:sz="8" w:space="0"/>
              <w:right w:val="single" w:color="000000" w:sz="8" w:space="0"/>
            </w:tcBorders>
          </w:tcPr>
          <w:p>
            <w:pPr>
              <w:jc w:val="left"/>
              <w:rPr>
                <w:rFonts w:ascii="宋体" w:hAnsi="宋体"/>
                <w:szCs w:val="21"/>
              </w:rPr>
            </w:pPr>
            <w:r>
              <w:rPr>
                <w:rFonts w:hint="eastAsia" w:ascii="宋体" w:hAnsi="宋体"/>
                <w:szCs w:val="21"/>
              </w:rPr>
              <w:t>评审内容：投标文件的完整性。</w:t>
            </w:r>
          </w:p>
          <w:p>
            <w:pPr>
              <w:jc w:val="left"/>
              <w:rPr>
                <w:rFonts w:ascii="宋体" w:hAnsi="宋体"/>
                <w:color w:val="0000FF"/>
                <w:szCs w:val="21"/>
              </w:rPr>
            </w:pPr>
            <w:r>
              <w:rPr>
                <w:rFonts w:hint="eastAsia" w:ascii="宋体" w:hAnsi="宋体"/>
                <w:szCs w:val="21"/>
              </w:rPr>
              <w:t>（一）1、</w:t>
            </w:r>
            <w:r>
              <w:rPr>
                <w:rFonts w:hint="eastAsia" w:ascii="宋体" w:hAnsi="宋体"/>
                <w:b/>
                <w:bCs/>
                <w:szCs w:val="21"/>
                <w:u w:val="single"/>
              </w:rPr>
              <w:t>优评分标准：</w:t>
            </w:r>
            <w:r>
              <w:rPr>
                <w:rFonts w:hint="eastAsia" w:ascii="宋体" w:hAnsi="宋体"/>
                <w:szCs w:val="21"/>
              </w:rPr>
              <w:t>投标响应完整合理，即详细响应本次项目需要建设的科室成本、项目成本、病种成本各分系统。</w:t>
            </w:r>
          </w:p>
          <w:p>
            <w:pPr>
              <w:numPr>
                <w:ilvl w:val="0"/>
                <w:numId w:val="8"/>
              </w:numPr>
              <w:jc w:val="left"/>
              <w:rPr>
                <w:rFonts w:ascii="宋体" w:hAnsi="宋体"/>
                <w:szCs w:val="21"/>
              </w:rPr>
            </w:pPr>
            <w:r>
              <w:rPr>
                <w:rFonts w:hint="eastAsia" w:ascii="宋体" w:hAnsi="宋体"/>
                <w:b/>
                <w:bCs/>
                <w:szCs w:val="21"/>
                <w:u w:val="single"/>
              </w:rPr>
              <w:t>良评分标准：</w:t>
            </w:r>
            <w:r>
              <w:rPr>
                <w:rFonts w:hint="eastAsia" w:ascii="宋体" w:hAnsi="宋体"/>
                <w:szCs w:val="21"/>
              </w:rPr>
              <w:t>投标响应比较合理，即响应本次项目需要建设的科室成本、项目成本、病种成本各分系统。</w:t>
            </w:r>
          </w:p>
          <w:p>
            <w:pPr>
              <w:numPr>
                <w:ilvl w:val="0"/>
                <w:numId w:val="8"/>
              </w:numPr>
              <w:jc w:val="left"/>
              <w:rPr>
                <w:rFonts w:ascii="宋体" w:hAnsi="宋体"/>
                <w:szCs w:val="21"/>
              </w:rPr>
            </w:pPr>
            <w:r>
              <w:rPr>
                <w:rFonts w:hint="eastAsia" w:ascii="宋体" w:hAnsi="宋体"/>
                <w:b/>
                <w:bCs/>
                <w:szCs w:val="21"/>
                <w:u w:val="single"/>
              </w:rPr>
              <w:t>中评分标准：</w:t>
            </w:r>
            <w:r>
              <w:rPr>
                <w:rFonts w:hint="eastAsia" w:ascii="宋体" w:hAnsi="宋体"/>
                <w:szCs w:val="21"/>
              </w:rPr>
              <w:t>投标响应一般，即响应本次项目需要建设的科室成本、项目成本、病种成本各分系统。</w:t>
            </w:r>
          </w:p>
          <w:p>
            <w:pPr>
              <w:numPr>
                <w:ilvl w:val="0"/>
                <w:numId w:val="8"/>
              </w:numPr>
              <w:jc w:val="left"/>
              <w:rPr>
                <w:rFonts w:ascii="宋体" w:hAnsi="宋体"/>
                <w:szCs w:val="21"/>
              </w:rPr>
            </w:pPr>
            <w:r>
              <w:rPr>
                <w:rFonts w:hint="eastAsia" w:ascii="宋体" w:hAnsi="宋体"/>
                <w:b/>
                <w:bCs/>
                <w:szCs w:val="21"/>
                <w:u w:val="single"/>
              </w:rPr>
              <w:t>差评分标准：</w:t>
            </w:r>
            <w:r>
              <w:rPr>
                <w:rFonts w:hint="eastAsia" w:ascii="宋体" w:hAnsi="宋体"/>
                <w:szCs w:val="21"/>
              </w:rPr>
              <w:t>投标响应较差，即响应本次项目需要建设的科室成本、项目成本、病种成本各分系统。</w:t>
            </w:r>
          </w:p>
          <w:p>
            <w:pPr>
              <w:jc w:val="left"/>
              <w:rPr>
                <w:rStyle w:val="49"/>
                <w:rFonts w:ascii="宋体"/>
                <w:kern w:val="0"/>
              </w:rPr>
            </w:pPr>
            <w:r>
              <w:rPr>
                <w:rFonts w:hint="eastAsia" w:ascii="宋体" w:hAnsi="宋体"/>
                <w:szCs w:val="21"/>
              </w:rPr>
              <w:t>评价为优得30分；评价为良得20分；评价为中得10分；评价为差不得分。专家按百分制打分。</w:t>
            </w:r>
          </w:p>
          <w:p>
            <w:pPr>
              <w:jc w:val="left"/>
              <w:rPr>
                <w:rFonts w:ascii="宋体" w:hAnsi="宋体"/>
                <w:szCs w:val="21"/>
              </w:rPr>
            </w:pPr>
            <w:r>
              <w:rPr>
                <w:rStyle w:val="49"/>
                <w:rFonts w:hint="eastAsia" w:ascii="宋体"/>
                <w:kern w:val="0"/>
              </w:rPr>
              <w:t>（二）</w:t>
            </w:r>
            <w:r>
              <w:rPr>
                <w:rFonts w:hint="eastAsia" w:ascii="宋体" w:hAnsi="宋体"/>
                <w:szCs w:val="21"/>
              </w:rPr>
              <w:t>1、清晰展示所有标▲项的产品功能截图，得70分；</w:t>
            </w:r>
          </w:p>
          <w:p>
            <w:pPr>
              <w:jc w:val="left"/>
              <w:rPr>
                <w:rFonts w:ascii="宋体" w:hAnsi="宋体"/>
                <w:szCs w:val="21"/>
              </w:rPr>
            </w:pPr>
            <w:r>
              <w:rPr>
                <w:rFonts w:hint="eastAsia" w:ascii="宋体" w:hAnsi="宋体"/>
                <w:szCs w:val="21"/>
              </w:rPr>
              <w:t xml:space="preserve">2、展示8个及以上标▲项的产品功能截图，得50分； </w:t>
            </w:r>
          </w:p>
          <w:p>
            <w:pPr>
              <w:jc w:val="left"/>
              <w:rPr>
                <w:rFonts w:ascii="宋体" w:hAnsi="宋体"/>
                <w:szCs w:val="21"/>
              </w:rPr>
            </w:pPr>
            <w:r>
              <w:rPr>
                <w:rFonts w:hint="eastAsia" w:ascii="宋体" w:hAnsi="宋体"/>
                <w:szCs w:val="21"/>
              </w:rPr>
              <w:t xml:space="preserve">3、展示6个及以上标▲项的产品功能截图，得30分； </w:t>
            </w:r>
          </w:p>
          <w:p>
            <w:pPr>
              <w:jc w:val="left"/>
              <w:rPr>
                <w:rFonts w:ascii="宋体" w:hAnsi="宋体"/>
                <w:szCs w:val="21"/>
              </w:rPr>
            </w:pPr>
            <w:r>
              <w:rPr>
                <w:rFonts w:hint="eastAsia" w:ascii="宋体" w:hAnsi="宋体"/>
                <w:szCs w:val="21"/>
              </w:rPr>
              <w:t>4、展示不足6个标▲项的产品功能截图，内容缺乏重点，与实际情况有偏差，得10分，未提供截图不得分。</w:t>
            </w:r>
          </w:p>
          <w:p>
            <w:pPr>
              <w:jc w:val="left"/>
              <w:rPr>
                <w:rFonts w:ascii="宋体" w:hAnsi="宋体"/>
                <w:color w:val="FF0000"/>
                <w:szCs w:val="21"/>
              </w:rPr>
            </w:pPr>
            <w:r>
              <w:rPr>
                <w:rFonts w:hint="eastAsia" w:ascii="宋体" w:hAnsi="宋体"/>
                <w:szCs w:val="21"/>
              </w:rPr>
              <w:t>评分依据：（一）、</w:t>
            </w:r>
            <w:r>
              <w:rPr>
                <w:rStyle w:val="49"/>
                <w:rFonts w:hint="eastAsia" w:ascii="宋体"/>
                <w:kern w:val="0"/>
              </w:rPr>
              <w:t>（二）两项总分为100分；</w:t>
            </w:r>
            <w:r>
              <w:rPr>
                <w:rFonts w:hint="eastAsia" w:ascii="宋体" w:hAnsi="宋体"/>
                <w:szCs w:val="21"/>
              </w:rPr>
              <w:t>（二）按要求提供相关截图证明资料。产品功能截图需为所投产品，投标人响应情况与评审委员会判定不一致时，以评审委员会意见为主。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0" w:type="auto"/>
            <w:vMerge w:val="continue"/>
            <w:tcBorders>
              <w:top w:val="single" w:color="000000" w:sz="8" w:space="0"/>
              <w:left w:val="single" w:color="000000" w:sz="8" w:space="0"/>
              <w:bottom w:val="single" w:color="000000" w:sz="8" w:space="0"/>
              <w:right w:val="single" w:color="000000" w:sz="8" w:space="0"/>
            </w:tcBorders>
            <w:vAlign w:val="center"/>
          </w:tcPr>
          <w:p>
            <w:pPr>
              <w:rPr>
                <w:rFonts w:ascii="宋体" w:hAnsi="宋体" w:cs="宋体"/>
                <w:b/>
                <w:bCs/>
                <w:color w:val="0000FF"/>
                <w:sz w:val="24"/>
              </w:rPr>
            </w:pPr>
          </w:p>
        </w:tc>
        <w:tc>
          <w:tcPr>
            <w:tcW w:w="675" w:type="dxa"/>
            <w:tcBorders>
              <w:top w:val="single" w:color="000000" w:sz="8" w:space="0"/>
              <w:left w:val="single" w:color="000000" w:sz="8" w:space="0"/>
              <w:bottom w:val="single" w:color="000000" w:sz="8" w:space="0"/>
              <w:right w:val="single" w:color="000000" w:sz="8" w:space="0"/>
            </w:tcBorders>
            <w:vAlign w:val="center"/>
          </w:tcPr>
          <w:p>
            <w:pPr>
              <w:wordWrap w:val="0"/>
              <w:jc w:val="center"/>
              <w:rPr>
                <w:rFonts w:ascii="宋体" w:hAnsi="宋体" w:cs="宋体"/>
                <w:szCs w:val="21"/>
              </w:rPr>
            </w:pPr>
            <w:r>
              <w:rPr>
                <w:rFonts w:ascii="宋体" w:hAnsi="宋体"/>
                <w:szCs w:val="21"/>
              </w:rPr>
              <w:t>2</w:t>
            </w:r>
          </w:p>
        </w:tc>
        <w:tc>
          <w:tcPr>
            <w:tcW w:w="2792" w:type="dxa"/>
            <w:tcBorders>
              <w:top w:val="single" w:color="000000" w:sz="8" w:space="0"/>
              <w:left w:val="single" w:color="000000" w:sz="8" w:space="0"/>
              <w:bottom w:val="single" w:color="000000" w:sz="8" w:space="0"/>
              <w:right w:val="single" w:color="000000" w:sz="8" w:space="0"/>
            </w:tcBorders>
            <w:vAlign w:val="center"/>
          </w:tcPr>
          <w:p>
            <w:pPr>
              <w:wordWrap w:val="0"/>
              <w:jc w:val="center"/>
              <w:rPr>
                <w:rFonts w:ascii="宋体" w:hAnsi="宋体" w:cs="宋体"/>
                <w:szCs w:val="21"/>
              </w:rPr>
            </w:pPr>
            <w:r>
              <w:rPr>
                <w:rFonts w:hint="eastAsia" w:ascii="宋体" w:hAnsi="宋体"/>
                <w:szCs w:val="21"/>
              </w:rPr>
              <w:t>项目重点难点分析、应对措施及相关的合理化建议</w:t>
            </w:r>
          </w:p>
        </w:tc>
        <w:tc>
          <w:tcPr>
            <w:tcW w:w="776" w:type="dxa"/>
            <w:tcBorders>
              <w:top w:val="single" w:color="000000" w:sz="8" w:space="0"/>
              <w:left w:val="single" w:color="000000" w:sz="8" w:space="0"/>
              <w:bottom w:val="single" w:color="000000" w:sz="8" w:space="0"/>
              <w:right w:val="single" w:color="000000" w:sz="8" w:space="0"/>
            </w:tcBorders>
            <w:vAlign w:val="center"/>
          </w:tcPr>
          <w:p>
            <w:pPr>
              <w:wordWrap w:val="0"/>
              <w:jc w:val="center"/>
              <w:rPr>
                <w:rFonts w:ascii="宋体" w:hAnsi="宋体" w:cs="宋体"/>
                <w:szCs w:val="21"/>
              </w:rPr>
            </w:pPr>
            <w:r>
              <w:rPr>
                <w:rFonts w:hint="eastAsia" w:ascii="宋体" w:hAnsi="宋体"/>
                <w:szCs w:val="21"/>
              </w:rPr>
              <w:t>10</w:t>
            </w:r>
          </w:p>
        </w:tc>
        <w:tc>
          <w:tcPr>
            <w:tcW w:w="4153" w:type="dxa"/>
            <w:tcBorders>
              <w:top w:val="single" w:color="000000" w:sz="8" w:space="0"/>
              <w:left w:val="single" w:color="000000" w:sz="8" w:space="0"/>
              <w:bottom w:val="single" w:color="000000" w:sz="8" w:space="0"/>
              <w:right w:val="single" w:color="000000" w:sz="8" w:space="0"/>
            </w:tcBorders>
            <w:vAlign w:val="center"/>
          </w:tcPr>
          <w:p>
            <w:pPr>
              <w:rPr>
                <w:rFonts w:ascii="宋体" w:hAnsi="宋体"/>
                <w:szCs w:val="21"/>
              </w:rPr>
            </w:pPr>
            <w:r>
              <w:rPr>
                <w:rFonts w:hint="eastAsia" w:ascii="宋体" w:hAnsi="宋体"/>
                <w:szCs w:val="21"/>
              </w:rPr>
              <w:t xml:space="preserve">评审内容： </w:t>
            </w:r>
          </w:p>
          <w:p>
            <w:pPr>
              <w:rPr>
                <w:rFonts w:ascii="宋体" w:hAnsi="宋体"/>
                <w:szCs w:val="21"/>
              </w:rPr>
            </w:pPr>
            <w:r>
              <w:rPr>
                <w:rFonts w:hint="eastAsia" w:ascii="宋体" w:hAnsi="宋体"/>
                <w:szCs w:val="21"/>
              </w:rPr>
              <w:t>对项目重点难点分析、及应对措施，及项目的合理化建议响应情况进行评审</w:t>
            </w:r>
          </w:p>
          <w:p>
            <w:pPr>
              <w:rPr>
                <w:rFonts w:ascii="宋体" w:hAnsi="宋体"/>
                <w:szCs w:val="21"/>
              </w:rPr>
            </w:pPr>
            <w:r>
              <w:rPr>
                <w:rFonts w:hint="eastAsia" w:ascii="宋体" w:hAnsi="宋体"/>
                <w:szCs w:val="21"/>
              </w:rPr>
              <w:t>内容至少应包括：</w:t>
            </w:r>
          </w:p>
          <w:p>
            <w:pPr>
              <w:pStyle w:val="70"/>
              <w:numPr>
                <w:ilvl w:val="0"/>
                <w:numId w:val="9"/>
              </w:numPr>
              <w:ind w:firstLineChars="0"/>
              <w:rPr>
                <w:rFonts w:ascii="宋体" w:hAnsi="宋体"/>
                <w:szCs w:val="21"/>
              </w:rPr>
            </w:pPr>
            <w:r>
              <w:rPr>
                <w:rFonts w:hint="eastAsia" w:ascii="宋体" w:hAnsi="宋体"/>
                <w:szCs w:val="21"/>
              </w:rPr>
              <w:t>数据集成与治理</w:t>
            </w:r>
          </w:p>
          <w:p>
            <w:pPr>
              <w:pStyle w:val="70"/>
              <w:numPr>
                <w:ilvl w:val="0"/>
                <w:numId w:val="9"/>
              </w:numPr>
              <w:ind w:firstLineChars="0"/>
              <w:rPr>
                <w:rFonts w:ascii="宋体" w:hAnsi="宋体"/>
                <w:szCs w:val="21"/>
              </w:rPr>
            </w:pPr>
            <w:r>
              <w:rPr>
                <w:rFonts w:hint="eastAsia" w:ascii="宋体" w:hAnsi="宋体"/>
                <w:szCs w:val="21"/>
              </w:rPr>
              <w:t>运行环境</w:t>
            </w:r>
          </w:p>
          <w:p>
            <w:pPr>
              <w:pStyle w:val="70"/>
              <w:numPr>
                <w:ilvl w:val="0"/>
                <w:numId w:val="9"/>
              </w:numPr>
              <w:ind w:firstLineChars="0"/>
              <w:rPr>
                <w:rFonts w:ascii="宋体" w:hAnsi="宋体"/>
                <w:szCs w:val="21"/>
              </w:rPr>
            </w:pPr>
            <w:r>
              <w:rPr>
                <w:rFonts w:hint="eastAsia" w:ascii="宋体" w:hAnsi="宋体"/>
                <w:szCs w:val="21"/>
              </w:rPr>
              <w:t>软硬件配置</w:t>
            </w:r>
          </w:p>
          <w:p>
            <w:pPr>
              <w:pStyle w:val="70"/>
              <w:numPr>
                <w:ilvl w:val="0"/>
                <w:numId w:val="9"/>
              </w:numPr>
              <w:ind w:firstLineChars="0"/>
              <w:rPr>
                <w:rFonts w:ascii="宋体" w:hAnsi="宋体"/>
                <w:szCs w:val="21"/>
              </w:rPr>
            </w:pPr>
            <w:r>
              <w:rPr>
                <w:rFonts w:hint="eastAsia" w:ascii="宋体" w:hAnsi="宋体"/>
                <w:szCs w:val="21"/>
              </w:rPr>
              <w:t>系统安全</w:t>
            </w:r>
          </w:p>
          <w:p>
            <w:pPr>
              <w:pStyle w:val="70"/>
              <w:numPr>
                <w:ilvl w:val="0"/>
                <w:numId w:val="9"/>
              </w:numPr>
              <w:ind w:firstLineChars="0"/>
              <w:rPr>
                <w:rFonts w:ascii="宋体" w:hAnsi="宋体"/>
                <w:szCs w:val="21"/>
              </w:rPr>
            </w:pPr>
            <w:r>
              <w:rPr>
                <w:rFonts w:hint="eastAsia" w:ascii="宋体" w:hAnsi="宋体"/>
                <w:szCs w:val="21"/>
              </w:rPr>
              <w:t>客户满意度提升</w:t>
            </w:r>
          </w:p>
          <w:p>
            <w:pPr>
              <w:rPr>
                <w:rFonts w:ascii="宋体" w:hAnsi="宋体"/>
                <w:szCs w:val="21"/>
              </w:rPr>
            </w:pPr>
            <w:r>
              <w:rPr>
                <w:rFonts w:hint="eastAsia" w:ascii="宋体" w:hAnsi="宋体"/>
                <w:szCs w:val="21"/>
              </w:rPr>
              <w:t>评分依据：</w:t>
            </w:r>
          </w:p>
          <w:p>
            <w:pPr>
              <w:rPr>
                <w:rFonts w:ascii="宋体" w:hAnsi="宋体"/>
                <w:szCs w:val="21"/>
              </w:rPr>
            </w:pPr>
            <w:r>
              <w:rPr>
                <w:rFonts w:hint="eastAsia" w:ascii="宋体" w:hAnsi="宋体"/>
                <w:szCs w:val="21"/>
              </w:rPr>
              <w:t>满足以上内容五项得8</w:t>
            </w:r>
            <w:r>
              <w:rPr>
                <w:rFonts w:ascii="宋体" w:hAnsi="宋体"/>
                <w:szCs w:val="21"/>
              </w:rPr>
              <w:t>0</w:t>
            </w:r>
            <w:r>
              <w:rPr>
                <w:rFonts w:hint="eastAsia" w:ascii="宋体" w:hAnsi="宋体"/>
                <w:szCs w:val="21"/>
              </w:rPr>
              <w:t>分，两项得6</w:t>
            </w:r>
            <w:r>
              <w:rPr>
                <w:rFonts w:ascii="宋体" w:hAnsi="宋体"/>
                <w:szCs w:val="21"/>
              </w:rPr>
              <w:t>0</w:t>
            </w:r>
            <w:r>
              <w:rPr>
                <w:rFonts w:hint="eastAsia" w:ascii="宋体" w:hAnsi="宋体"/>
                <w:szCs w:val="21"/>
              </w:rPr>
              <w:t>分，一项得3</w:t>
            </w:r>
            <w:r>
              <w:rPr>
                <w:rFonts w:ascii="宋体" w:hAnsi="宋体"/>
                <w:szCs w:val="21"/>
              </w:rPr>
              <w:t>0</w:t>
            </w:r>
            <w:r>
              <w:rPr>
                <w:rFonts w:hint="eastAsia" w:ascii="宋体" w:hAnsi="宋体"/>
                <w:szCs w:val="21"/>
              </w:rPr>
              <w:t>分，</w:t>
            </w:r>
          </w:p>
          <w:p>
            <w:pPr>
              <w:rPr>
                <w:rFonts w:ascii="宋体" w:hAnsi="宋体"/>
                <w:szCs w:val="21"/>
              </w:rPr>
            </w:pPr>
            <w:r>
              <w:rPr>
                <w:rFonts w:hint="eastAsia" w:ascii="宋体" w:hAnsi="宋体"/>
                <w:szCs w:val="21"/>
              </w:rPr>
              <w:t>专家根据供应商的具体响应内容按照量化的评审因素指标进一步评审，评价为优得2</w:t>
            </w:r>
            <w:r>
              <w:rPr>
                <w:rFonts w:ascii="宋体" w:hAnsi="宋体"/>
                <w:szCs w:val="21"/>
              </w:rPr>
              <w:t>0</w:t>
            </w:r>
            <w:r>
              <w:rPr>
                <w:rFonts w:hint="eastAsia" w:ascii="宋体" w:hAnsi="宋体"/>
                <w:szCs w:val="21"/>
              </w:rPr>
              <w:t>分，评价为良得1</w:t>
            </w:r>
            <w:r>
              <w:rPr>
                <w:rFonts w:ascii="宋体" w:hAnsi="宋体"/>
                <w:szCs w:val="21"/>
              </w:rPr>
              <w:t>0</w:t>
            </w:r>
            <w:r>
              <w:rPr>
                <w:rFonts w:hint="eastAsia" w:ascii="宋体" w:hAnsi="宋体"/>
                <w:szCs w:val="21"/>
              </w:rPr>
              <w:t>分，为中得5分，评审为差得0分。如果评审为差，要求专家书面说明理由，并记录在档。</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0" w:type="auto"/>
            <w:vMerge w:val="continue"/>
            <w:tcBorders>
              <w:top w:val="single" w:color="000000" w:sz="8" w:space="0"/>
              <w:left w:val="single" w:color="000000" w:sz="8" w:space="0"/>
              <w:bottom w:val="single" w:color="000000" w:sz="8" w:space="0"/>
              <w:right w:val="single" w:color="000000" w:sz="8" w:space="0"/>
            </w:tcBorders>
            <w:vAlign w:val="center"/>
          </w:tcPr>
          <w:p>
            <w:pPr>
              <w:rPr>
                <w:rFonts w:ascii="宋体" w:hAnsi="宋体" w:cs="宋体"/>
                <w:b/>
                <w:bCs/>
                <w:color w:val="0000FF"/>
                <w:sz w:val="24"/>
              </w:rPr>
            </w:pPr>
          </w:p>
        </w:tc>
        <w:tc>
          <w:tcPr>
            <w:tcW w:w="675" w:type="dxa"/>
            <w:tcBorders>
              <w:top w:val="single" w:color="000000" w:sz="8" w:space="0"/>
              <w:left w:val="single" w:color="000000" w:sz="8" w:space="0"/>
              <w:bottom w:val="single" w:color="000000" w:sz="8" w:space="0"/>
              <w:right w:val="single" w:color="000000" w:sz="8" w:space="0"/>
            </w:tcBorders>
            <w:vAlign w:val="center"/>
          </w:tcPr>
          <w:p>
            <w:pPr>
              <w:wordWrap w:val="0"/>
              <w:jc w:val="center"/>
              <w:rPr>
                <w:rFonts w:ascii="宋体" w:hAnsi="宋体" w:cs="宋体"/>
                <w:szCs w:val="21"/>
              </w:rPr>
            </w:pPr>
            <w:r>
              <w:rPr>
                <w:rFonts w:ascii="宋体" w:hAnsi="宋体"/>
                <w:szCs w:val="21"/>
              </w:rPr>
              <w:t>3</w:t>
            </w:r>
          </w:p>
        </w:tc>
        <w:tc>
          <w:tcPr>
            <w:tcW w:w="2792" w:type="dxa"/>
            <w:tcBorders>
              <w:top w:val="single" w:color="000000" w:sz="8" w:space="0"/>
              <w:left w:val="single" w:color="000000" w:sz="8" w:space="0"/>
              <w:bottom w:val="single" w:color="000000" w:sz="8" w:space="0"/>
              <w:right w:val="single" w:color="000000" w:sz="8" w:space="0"/>
            </w:tcBorders>
            <w:vAlign w:val="center"/>
          </w:tcPr>
          <w:p>
            <w:pPr>
              <w:wordWrap w:val="0"/>
              <w:jc w:val="center"/>
              <w:rPr>
                <w:rFonts w:ascii="宋体" w:hAnsi="宋体" w:cs="宋体"/>
                <w:szCs w:val="21"/>
              </w:rPr>
            </w:pPr>
            <w:r>
              <w:rPr>
                <w:rFonts w:hint="eastAsia" w:ascii="宋体" w:hAnsi="宋体"/>
                <w:szCs w:val="21"/>
              </w:rPr>
              <w:t>质量（完成时间、安全、环保）保障措施及方案</w:t>
            </w:r>
          </w:p>
        </w:tc>
        <w:tc>
          <w:tcPr>
            <w:tcW w:w="776" w:type="dxa"/>
            <w:tcBorders>
              <w:top w:val="single" w:color="000000" w:sz="8" w:space="0"/>
              <w:left w:val="single" w:color="000000" w:sz="8" w:space="0"/>
              <w:bottom w:val="single" w:color="000000" w:sz="8" w:space="0"/>
              <w:right w:val="single" w:color="000000" w:sz="8" w:space="0"/>
            </w:tcBorders>
            <w:vAlign w:val="center"/>
          </w:tcPr>
          <w:p>
            <w:pPr>
              <w:wordWrap w:val="0"/>
              <w:jc w:val="center"/>
              <w:rPr>
                <w:rFonts w:ascii="宋体" w:hAnsi="宋体" w:cs="宋体"/>
                <w:szCs w:val="21"/>
              </w:rPr>
            </w:pPr>
            <w:r>
              <w:rPr>
                <w:rFonts w:hint="eastAsia" w:ascii="宋体" w:hAnsi="宋体"/>
                <w:szCs w:val="21"/>
              </w:rPr>
              <w:t>10</w:t>
            </w:r>
          </w:p>
        </w:tc>
        <w:tc>
          <w:tcPr>
            <w:tcW w:w="4153" w:type="dxa"/>
            <w:tcBorders>
              <w:top w:val="single" w:color="000000" w:sz="8" w:space="0"/>
              <w:left w:val="single" w:color="000000" w:sz="8" w:space="0"/>
              <w:bottom w:val="single" w:color="000000" w:sz="8" w:space="0"/>
              <w:right w:val="single" w:color="000000" w:sz="8" w:space="0"/>
            </w:tcBorders>
            <w:vAlign w:val="center"/>
          </w:tcPr>
          <w:p>
            <w:pPr>
              <w:rPr>
                <w:rFonts w:ascii="宋体" w:hAnsi="宋体"/>
                <w:szCs w:val="21"/>
              </w:rPr>
            </w:pPr>
            <w:r>
              <w:rPr>
                <w:rFonts w:hint="eastAsia" w:ascii="宋体" w:hAnsi="宋体"/>
                <w:szCs w:val="21"/>
              </w:rPr>
              <w:t xml:space="preserve">评审内容： </w:t>
            </w:r>
          </w:p>
          <w:p>
            <w:pPr>
              <w:rPr>
                <w:rFonts w:ascii="宋体" w:hAnsi="宋体"/>
                <w:szCs w:val="21"/>
              </w:rPr>
            </w:pPr>
            <w:r>
              <w:rPr>
                <w:rFonts w:hint="eastAsia" w:ascii="宋体" w:hAnsi="宋体"/>
                <w:szCs w:val="21"/>
              </w:rPr>
              <w:t>对项目完成时间、安全、质量等方面进行评审,包括</w:t>
            </w:r>
            <w:r>
              <w:rPr>
                <w:rFonts w:ascii="宋体" w:hAnsi="宋体"/>
                <w:szCs w:val="21"/>
              </w:rPr>
              <w:t>:</w:t>
            </w:r>
          </w:p>
          <w:p>
            <w:pPr>
              <w:pStyle w:val="70"/>
              <w:numPr>
                <w:ilvl w:val="0"/>
                <w:numId w:val="10"/>
              </w:numPr>
              <w:ind w:firstLineChars="0"/>
              <w:rPr>
                <w:rFonts w:ascii="宋体" w:hAnsi="宋体"/>
                <w:szCs w:val="21"/>
              </w:rPr>
            </w:pPr>
            <w:r>
              <w:rPr>
                <w:rFonts w:hint="eastAsia" w:ascii="宋体" w:hAnsi="宋体"/>
                <w:szCs w:val="21"/>
              </w:rPr>
              <w:t>项目人员配置</w:t>
            </w:r>
          </w:p>
          <w:p>
            <w:pPr>
              <w:pStyle w:val="70"/>
              <w:numPr>
                <w:ilvl w:val="0"/>
                <w:numId w:val="10"/>
              </w:numPr>
              <w:ind w:firstLineChars="0"/>
              <w:rPr>
                <w:rFonts w:ascii="宋体" w:hAnsi="宋体"/>
                <w:szCs w:val="21"/>
              </w:rPr>
            </w:pPr>
            <w:r>
              <w:rPr>
                <w:rFonts w:hint="eastAsia" w:ascii="宋体" w:hAnsi="宋体"/>
                <w:szCs w:val="21"/>
              </w:rPr>
              <w:t>实施进度计划</w:t>
            </w:r>
          </w:p>
          <w:p>
            <w:pPr>
              <w:pStyle w:val="70"/>
              <w:numPr>
                <w:ilvl w:val="0"/>
                <w:numId w:val="10"/>
              </w:numPr>
              <w:ind w:firstLineChars="0"/>
              <w:rPr>
                <w:rFonts w:ascii="宋体" w:hAnsi="宋体"/>
                <w:szCs w:val="21"/>
              </w:rPr>
            </w:pPr>
            <w:r>
              <w:rPr>
                <w:rFonts w:hint="eastAsia" w:ascii="宋体" w:hAnsi="宋体"/>
                <w:szCs w:val="21"/>
              </w:rPr>
              <w:t>进度控制方案</w:t>
            </w:r>
          </w:p>
          <w:p>
            <w:pPr>
              <w:pStyle w:val="70"/>
              <w:numPr>
                <w:ilvl w:val="0"/>
                <w:numId w:val="10"/>
              </w:numPr>
              <w:ind w:firstLineChars="0"/>
              <w:rPr>
                <w:rFonts w:ascii="宋体" w:hAnsi="宋体"/>
                <w:szCs w:val="21"/>
              </w:rPr>
            </w:pPr>
            <w:r>
              <w:rPr>
                <w:rFonts w:hint="eastAsia" w:ascii="宋体" w:hAnsi="宋体"/>
                <w:szCs w:val="21"/>
              </w:rPr>
              <w:t>质量管理措施</w:t>
            </w:r>
          </w:p>
          <w:p>
            <w:pPr>
              <w:pStyle w:val="70"/>
              <w:numPr>
                <w:ilvl w:val="0"/>
                <w:numId w:val="10"/>
              </w:numPr>
              <w:ind w:firstLineChars="0"/>
              <w:rPr>
                <w:rFonts w:ascii="宋体" w:hAnsi="宋体"/>
                <w:szCs w:val="21"/>
              </w:rPr>
            </w:pPr>
            <w:r>
              <w:rPr>
                <w:rFonts w:hint="eastAsia" w:ascii="宋体" w:hAnsi="宋体"/>
                <w:szCs w:val="21"/>
              </w:rPr>
              <w:t>对集中培训、现场培训以及不同培训对象的培训周期、课程安排等方案</w:t>
            </w:r>
          </w:p>
          <w:p>
            <w:pPr>
              <w:rPr>
                <w:rFonts w:ascii="宋体" w:hAnsi="宋体"/>
                <w:szCs w:val="21"/>
              </w:rPr>
            </w:pPr>
            <w:r>
              <w:rPr>
                <w:rFonts w:hint="eastAsia" w:ascii="宋体" w:hAnsi="宋体"/>
                <w:szCs w:val="21"/>
              </w:rPr>
              <w:t>评分依据：</w:t>
            </w:r>
          </w:p>
          <w:p>
            <w:pPr>
              <w:rPr>
                <w:rFonts w:ascii="宋体" w:hAnsi="宋体"/>
                <w:szCs w:val="21"/>
              </w:rPr>
            </w:pPr>
            <w:r>
              <w:rPr>
                <w:rFonts w:hint="eastAsia" w:ascii="宋体" w:hAnsi="宋体"/>
                <w:szCs w:val="21"/>
              </w:rPr>
              <w:t>满足以上内容五项得8</w:t>
            </w:r>
            <w:r>
              <w:rPr>
                <w:rFonts w:ascii="宋体" w:hAnsi="宋体"/>
                <w:szCs w:val="21"/>
              </w:rPr>
              <w:t>0</w:t>
            </w:r>
            <w:r>
              <w:rPr>
                <w:rFonts w:hint="eastAsia" w:ascii="宋体" w:hAnsi="宋体"/>
                <w:szCs w:val="21"/>
              </w:rPr>
              <w:t>分，两项得6</w:t>
            </w:r>
            <w:r>
              <w:rPr>
                <w:rFonts w:ascii="宋体" w:hAnsi="宋体"/>
                <w:szCs w:val="21"/>
              </w:rPr>
              <w:t>0</w:t>
            </w:r>
            <w:r>
              <w:rPr>
                <w:rFonts w:hint="eastAsia" w:ascii="宋体" w:hAnsi="宋体"/>
                <w:szCs w:val="21"/>
              </w:rPr>
              <w:t>分，一项得3</w:t>
            </w:r>
            <w:r>
              <w:rPr>
                <w:rFonts w:ascii="宋体" w:hAnsi="宋体"/>
                <w:szCs w:val="21"/>
              </w:rPr>
              <w:t>0</w:t>
            </w:r>
            <w:r>
              <w:rPr>
                <w:rFonts w:hint="eastAsia" w:ascii="宋体" w:hAnsi="宋体"/>
                <w:szCs w:val="21"/>
              </w:rPr>
              <w:t>分，</w:t>
            </w:r>
          </w:p>
          <w:p>
            <w:pPr>
              <w:rPr>
                <w:rFonts w:ascii="宋体" w:hAnsi="宋体"/>
                <w:szCs w:val="21"/>
              </w:rPr>
            </w:pPr>
            <w:r>
              <w:rPr>
                <w:rFonts w:hint="eastAsia" w:ascii="宋体" w:hAnsi="宋体"/>
                <w:szCs w:val="21"/>
              </w:rPr>
              <w:t>专家根据供应商的具体响应内容按照量化的评审因素指标进一步评审，评价为优得2</w:t>
            </w:r>
            <w:r>
              <w:rPr>
                <w:rFonts w:ascii="宋体" w:hAnsi="宋体"/>
                <w:szCs w:val="21"/>
              </w:rPr>
              <w:t>0</w:t>
            </w:r>
            <w:r>
              <w:rPr>
                <w:rFonts w:hint="eastAsia" w:ascii="宋体" w:hAnsi="宋体"/>
                <w:szCs w:val="21"/>
              </w:rPr>
              <w:t>分，评价为良得1</w:t>
            </w:r>
            <w:r>
              <w:rPr>
                <w:rFonts w:ascii="宋体" w:hAnsi="宋体"/>
                <w:szCs w:val="21"/>
              </w:rPr>
              <w:t>0</w:t>
            </w:r>
            <w:r>
              <w:rPr>
                <w:rFonts w:hint="eastAsia" w:ascii="宋体" w:hAnsi="宋体"/>
                <w:szCs w:val="21"/>
              </w:rPr>
              <w:t>分，为中得5分，评审为差得0分。如果评审为差，要求专家书面说明理由，并记录在档。</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0" w:type="auto"/>
            <w:vMerge w:val="continue"/>
            <w:tcBorders>
              <w:top w:val="single" w:color="000000" w:sz="8" w:space="0"/>
              <w:left w:val="single" w:color="000000" w:sz="8" w:space="0"/>
              <w:bottom w:val="single" w:color="000000" w:sz="8" w:space="0"/>
              <w:right w:val="single" w:color="000000" w:sz="8" w:space="0"/>
            </w:tcBorders>
            <w:vAlign w:val="center"/>
          </w:tcPr>
          <w:p>
            <w:pPr>
              <w:rPr>
                <w:rFonts w:ascii="宋体" w:hAnsi="宋体" w:cs="宋体"/>
                <w:b/>
                <w:bCs/>
                <w:color w:val="0000FF"/>
                <w:sz w:val="24"/>
              </w:rPr>
            </w:pPr>
          </w:p>
        </w:tc>
        <w:tc>
          <w:tcPr>
            <w:tcW w:w="675" w:type="dxa"/>
            <w:tcBorders>
              <w:top w:val="single" w:color="000000" w:sz="8" w:space="0"/>
              <w:left w:val="single" w:color="000000" w:sz="8" w:space="0"/>
              <w:bottom w:val="single" w:color="000000" w:sz="8" w:space="0"/>
              <w:right w:val="single" w:color="000000" w:sz="8" w:space="0"/>
            </w:tcBorders>
            <w:vAlign w:val="center"/>
          </w:tcPr>
          <w:p>
            <w:pPr>
              <w:wordWrap w:val="0"/>
              <w:jc w:val="center"/>
              <w:rPr>
                <w:rFonts w:ascii="宋体" w:hAnsi="宋体" w:cs="宋体"/>
                <w:szCs w:val="21"/>
              </w:rPr>
            </w:pPr>
            <w:r>
              <w:rPr>
                <w:rFonts w:hint="eastAsia" w:ascii="宋体" w:hAnsi="宋体"/>
                <w:szCs w:val="21"/>
              </w:rPr>
              <w:t>4</w:t>
            </w:r>
          </w:p>
        </w:tc>
        <w:tc>
          <w:tcPr>
            <w:tcW w:w="2792" w:type="dxa"/>
            <w:tcBorders>
              <w:top w:val="single" w:color="000000" w:sz="8" w:space="0"/>
              <w:left w:val="single" w:color="000000" w:sz="8" w:space="0"/>
              <w:bottom w:val="single" w:color="000000" w:sz="8" w:space="0"/>
              <w:right w:val="single" w:color="000000" w:sz="8" w:space="0"/>
            </w:tcBorders>
            <w:vAlign w:val="center"/>
          </w:tcPr>
          <w:p>
            <w:pPr>
              <w:wordWrap w:val="0"/>
              <w:jc w:val="center"/>
              <w:rPr>
                <w:rFonts w:ascii="宋体" w:hAnsi="宋体" w:cs="宋体"/>
                <w:szCs w:val="21"/>
              </w:rPr>
            </w:pPr>
            <w:r>
              <w:rPr>
                <w:rFonts w:hint="eastAsia" w:ascii="宋体" w:hAnsi="宋体"/>
                <w:szCs w:val="21"/>
              </w:rPr>
              <w:t>项目完成（服务期满）后的服务承诺</w:t>
            </w:r>
          </w:p>
        </w:tc>
        <w:tc>
          <w:tcPr>
            <w:tcW w:w="776" w:type="dxa"/>
            <w:tcBorders>
              <w:top w:val="single" w:color="000000" w:sz="8" w:space="0"/>
              <w:left w:val="single" w:color="000000" w:sz="8" w:space="0"/>
              <w:bottom w:val="single" w:color="000000" w:sz="8" w:space="0"/>
              <w:right w:val="single" w:color="000000" w:sz="8" w:space="0"/>
            </w:tcBorders>
            <w:vAlign w:val="center"/>
          </w:tcPr>
          <w:p>
            <w:pPr>
              <w:wordWrap w:val="0"/>
              <w:jc w:val="center"/>
              <w:rPr>
                <w:rFonts w:ascii="宋体" w:hAnsi="宋体" w:cs="宋体"/>
                <w:szCs w:val="21"/>
              </w:rPr>
            </w:pPr>
            <w:r>
              <w:rPr>
                <w:rFonts w:hint="eastAsia" w:ascii="宋体" w:hAnsi="宋体"/>
                <w:szCs w:val="21"/>
              </w:rPr>
              <w:t>5</w:t>
            </w:r>
          </w:p>
        </w:tc>
        <w:tc>
          <w:tcPr>
            <w:tcW w:w="4153" w:type="dxa"/>
            <w:tcBorders>
              <w:top w:val="single" w:color="000000" w:sz="8" w:space="0"/>
              <w:left w:val="single" w:color="000000" w:sz="8" w:space="0"/>
              <w:bottom w:val="single" w:color="000000" w:sz="8" w:space="0"/>
              <w:right w:val="single" w:color="000000" w:sz="8" w:space="0"/>
            </w:tcBorders>
          </w:tcPr>
          <w:p>
            <w:pPr>
              <w:jc w:val="left"/>
              <w:rPr>
                <w:rFonts w:hAnsi="宋体" w:cs="宋体"/>
                <w:szCs w:val="21"/>
              </w:rPr>
            </w:pPr>
            <w:r>
              <w:rPr>
                <w:rFonts w:hint="eastAsia" w:hAnsi="宋体" w:cs="宋体"/>
                <w:szCs w:val="21"/>
              </w:rPr>
              <w:t xml:space="preserve">评审内容： </w:t>
            </w:r>
          </w:p>
          <w:p>
            <w:pPr>
              <w:jc w:val="left"/>
              <w:rPr>
                <w:rFonts w:hAnsi="宋体" w:cs="宋体"/>
                <w:szCs w:val="21"/>
              </w:rPr>
            </w:pPr>
            <w:r>
              <w:rPr>
                <w:rFonts w:hint="eastAsia" w:hAnsi="宋体" w:cs="宋体"/>
                <w:szCs w:val="21"/>
              </w:rPr>
              <w:t>包括：</w:t>
            </w:r>
          </w:p>
          <w:p>
            <w:pPr>
              <w:pStyle w:val="70"/>
              <w:numPr>
                <w:ilvl w:val="0"/>
                <w:numId w:val="11"/>
              </w:numPr>
              <w:tabs>
                <w:tab w:val="left" w:pos="360"/>
              </w:tabs>
              <w:ind w:firstLineChars="0"/>
              <w:jc w:val="left"/>
              <w:rPr>
                <w:rFonts w:hAnsi="宋体" w:cs="宋体"/>
                <w:szCs w:val="21"/>
              </w:rPr>
            </w:pPr>
            <w:r>
              <w:rPr>
                <w:rFonts w:hint="eastAsia" w:hAnsi="宋体" w:cs="宋体"/>
                <w:szCs w:val="21"/>
              </w:rPr>
              <w:t>本地化售后服务承诺</w:t>
            </w:r>
          </w:p>
          <w:p>
            <w:pPr>
              <w:pStyle w:val="70"/>
              <w:numPr>
                <w:ilvl w:val="0"/>
                <w:numId w:val="11"/>
              </w:numPr>
              <w:ind w:firstLineChars="0"/>
              <w:jc w:val="left"/>
              <w:rPr>
                <w:rFonts w:hAnsi="宋体" w:cs="宋体"/>
                <w:szCs w:val="21"/>
              </w:rPr>
            </w:pPr>
            <w:r>
              <w:rPr>
                <w:rFonts w:hint="eastAsia" w:hAnsi="宋体" w:cs="宋体"/>
                <w:szCs w:val="21"/>
              </w:rPr>
              <w:t>技术支持方案</w:t>
            </w:r>
          </w:p>
          <w:p>
            <w:pPr>
              <w:pStyle w:val="70"/>
              <w:numPr>
                <w:ilvl w:val="0"/>
                <w:numId w:val="11"/>
              </w:numPr>
              <w:ind w:firstLineChars="0"/>
              <w:jc w:val="left"/>
              <w:rPr>
                <w:rFonts w:hAnsi="宋体" w:cs="宋体"/>
                <w:szCs w:val="21"/>
              </w:rPr>
            </w:pPr>
            <w:r>
              <w:rPr>
                <w:rFonts w:hint="eastAsia" w:hAnsi="宋体" w:cs="宋体"/>
                <w:szCs w:val="21"/>
              </w:rPr>
              <w:t>服务与支持方式</w:t>
            </w:r>
          </w:p>
          <w:p>
            <w:pPr>
              <w:pStyle w:val="70"/>
              <w:numPr>
                <w:ilvl w:val="0"/>
                <w:numId w:val="11"/>
              </w:numPr>
              <w:ind w:firstLineChars="0"/>
              <w:jc w:val="left"/>
              <w:rPr>
                <w:rFonts w:hAnsi="宋体" w:cs="宋体"/>
                <w:szCs w:val="21"/>
              </w:rPr>
            </w:pPr>
            <w:r>
              <w:rPr>
                <w:rFonts w:hint="eastAsia" w:hAnsi="宋体" w:cs="宋体"/>
                <w:szCs w:val="21"/>
              </w:rPr>
              <w:t>突发事件应急处理流程</w:t>
            </w:r>
          </w:p>
          <w:p>
            <w:pPr>
              <w:pStyle w:val="70"/>
              <w:numPr>
                <w:ilvl w:val="0"/>
                <w:numId w:val="11"/>
              </w:numPr>
              <w:ind w:firstLineChars="0"/>
              <w:jc w:val="left"/>
              <w:rPr>
                <w:rFonts w:hAnsi="宋体" w:cs="宋体"/>
                <w:szCs w:val="21"/>
              </w:rPr>
            </w:pPr>
            <w:r>
              <w:rPr>
                <w:rFonts w:hint="eastAsia" w:hAnsi="宋体" w:cs="宋体"/>
                <w:szCs w:val="21"/>
              </w:rPr>
              <w:t>突发时间应急人员配置</w:t>
            </w:r>
          </w:p>
          <w:p>
            <w:pPr>
              <w:rPr>
                <w:rFonts w:ascii="宋体" w:hAnsi="宋体"/>
                <w:szCs w:val="21"/>
              </w:rPr>
            </w:pPr>
            <w:r>
              <w:rPr>
                <w:rFonts w:hint="eastAsia" w:ascii="宋体" w:hAnsi="宋体"/>
                <w:szCs w:val="21"/>
              </w:rPr>
              <w:t>评分依据：</w:t>
            </w:r>
          </w:p>
          <w:p>
            <w:pPr>
              <w:rPr>
                <w:rFonts w:ascii="宋体" w:hAnsi="宋体"/>
                <w:szCs w:val="21"/>
              </w:rPr>
            </w:pPr>
            <w:r>
              <w:rPr>
                <w:rFonts w:hint="eastAsia" w:ascii="宋体" w:hAnsi="宋体"/>
                <w:szCs w:val="21"/>
              </w:rPr>
              <w:t>满足以上内容五项得8</w:t>
            </w:r>
            <w:r>
              <w:rPr>
                <w:rFonts w:ascii="宋体" w:hAnsi="宋体"/>
                <w:szCs w:val="21"/>
              </w:rPr>
              <w:t>0</w:t>
            </w:r>
            <w:r>
              <w:rPr>
                <w:rFonts w:hint="eastAsia" w:ascii="宋体" w:hAnsi="宋体"/>
                <w:szCs w:val="21"/>
              </w:rPr>
              <w:t>分，两项得6</w:t>
            </w:r>
            <w:r>
              <w:rPr>
                <w:rFonts w:ascii="宋体" w:hAnsi="宋体"/>
                <w:szCs w:val="21"/>
              </w:rPr>
              <w:t>0</w:t>
            </w:r>
            <w:r>
              <w:rPr>
                <w:rFonts w:hint="eastAsia" w:ascii="宋体" w:hAnsi="宋体"/>
                <w:szCs w:val="21"/>
              </w:rPr>
              <w:t>分，一项得3</w:t>
            </w:r>
            <w:r>
              <w:rPr>
                <w:rFonts w:ascii="宋体" w:hAnsi="宋体"/>
                <w:szCs w:val="21"/>
              </w:rPr>
              <w:t>0</w:t>
            </w:r>
            <w:r>
              <w:rPr>
                <w:rFonts w:hint="eastAsia" w:ascii="宋体" w:hAnsi="宋体"/>
                <w:szCs w:val="21"/>
              </w:rPr>
              <w:t>分，</w:t>
            </w:r>
          </w:p>
          <w:p>
            <w:pPr>
              <w:rPr>
                <w:rFonts w:ascii="宋体" w:hAnsi="宋体"/>
                <w:szCs w:val="21"/>
              </w:rPr>
            </w:pPr>
            <w:r>
              <w:rPr>
                <w:rFonts w:hint="eastAsia" w:ascii="宋体" w:hAnsi="宋体"/>
                <w:szCs w:val="21"/>
              </w:rPr>
              <w:t>专家根据供应商的具体响应内容按照量化的评审因素指标进一步评审，评价为优得2</w:t>
            </w:r>
            <w:r>
              <w:rPr>
                <w:rFonts w:ascii="宋体" w:hAnsi="宋体"/>
                <w:szCs w:val="21"/>
              </w:rPr>
              <w:t>0</w:t>
            </w:r>
            <w:r>
              <w:rPr>
                <w:rFonts w:hint="eastAsia" w:ascii="宋体" w:hAnsi="宋体"/>
                <w:szCs w:val="21"/>
              </w:rPr>
              <w:t>分，评价为良得1</w:t>
            </w:r>
            <w:r>
              <w:rPr>
                <w:rFonts w:ascii="宋体" w:hAnsi="宋体"/>
                <w:szCs w:val="21"/>
              </w:rPr>
              <w:t>0</w:t>
            </w:r>
            <w:r>
              <w:rPr>
                <w:rFonts w:hint="eastAsia" w:ascii="宋体" w:hAnsi="宋体"/>
                <w:szCs w:val="21"/>
              </w:rPr>
              <w:t>分，为中得5分，评审为差得0分。如果评审为差，要求专家书面说明理由，并记录在档。</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0" w:type="auto"/>
            <w:vMerge w:val="continue"/>
            <w:tcBorders>
              <w:top w:val="single" w:color="000000" w:sz="8" w:space="0"/>
              <w:left w:val="single" w:color="000000" w:sz="8" w:space="0"/>
              <w:bottom w:val="single" w:color="000000" w:sz="8" w:space="0"/>
              <w:right w:val="single" w:color="000000" w:sz="8" w:space="0"/>
            </w:tcBorders>
            <w:vAlign w:val="center"/>
          </w:tcPr>
          <w:p>
            <w:pPr>
              <w:rPr>
                <w:rFonts w:ascii="宋体" w:hAnsi="宋体" w:cs="宋体"/>
                <w:b/>
                <w:bCs/>
                <w:color w:val="0000FF"/>
                <w:sz w:val="24"/>
              </w:rPr>
            </w:pPr>
          </w:p>
        </w:tc>
        <w:tc>
          <w:tcPr>
            <w:tcW w:w="675"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cs="宋体"/>
                <w:szCs w:val="21"/>
              </w:rPr>
            </w:pPr>
            <w:r>
              <w:rPr>
                <w:rFonts w:hint="eastAsia" w:ascii="宋体" w:hAnsi="宋体"/>
                <w:szCs w:val="21"/>
              </w:rPr>
              <w:t>5</w:t>
            </w:r>
          </w:p>
        </w:tc>
        <w:tc>
          <w:tcPr>
            <w:tcW w:w="2792"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cs="宋体"/>
                <w:szCs w:val="21"/>
              </w:rPr>
            </w:pPr>
            <w:r>
              <w:rPr>
                <w:rFonts w:hint="eastAsia" w:ascii="宋体" w:hAnsi="宋体"/>
                <w:szCs w:val="21"/>
              </w:rPr>
              <w:t>违约承诺</w:t>
            </w:r>
          </w:p>
        </w:tc>
        <w:tc>
          <w:tcPr>
            <w:tcW w:w="776"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cs="宋体"/>
                <w:szCs w:val="21"/>
              </w:rPr>
            </w:pPr>
            <w:r>
              <w:rPr>
                <w:rFonts w:hint="eastAsia" w:ascii="宋体" w:hAnsi="宋体"/>
                <w:szCs w:val="21"/>
              </w:rPr>
              <w:t>3</w:t>
            </w:r>
          </w:p>
        </w:tc>
        <w:tc>
          <w:tcPr>
            <w:tcW w:w="4153" w:type="dxa"/>
            <w:tcBorders>
              <w:top w:val="single" w:color="auto" w:sz="4" w:space="0"/>
              <w:left w:val="single" w:color="auto" w:sz="4" w:space="0"/>
              <w:bottom w:val="single" w:color="auto" w:sz="4" w:space="0"/>
              <w:right w:val="single" w:color="auto" w:sz="4" w:space="0"/>
            </w:tcBorders>
          </w:tcPr>
          <w:p>
            <w:pPr>
              <w:jc w:val="left"/>
              <w:rPr>
                <w:rFonts w:hAnsi="宋体" w:cs="宋体"/>
                <w:szCs w:val="21"/>
              </w:rPr>
            </w:pPr>
            <w:r>
              <w:rPr>
                <w:rFonts w:hint="eastAsia" w:hAnsi="宋体" w:cs="宋体"/>
                <w:szCs w:val="21"/>
              </w:rPr>
              <w:t xml:space="preserve">评审内容： </w:t>
            </w:r>
          </w:p>
          <w:p>
            <w:pPr>
              <w:jc w:val="left"/>
              <w:rPr>
                <w:rFonts w:hAnsi="宋体" w:cs="宋体"/>
                <w:szCs w:val="21"/>
              </w:rPr>
            </w:pPr>
            <w:r>
              <w:rPr>
                <w:rFonts w:hint="eastAsia" w:hAnsi="宋体" w:cs="宋体"/>
                <w:szCs w:val="21"/>
              </w:rPr>
              <w:t xml:space="preserve">投标人按照招标文件商务需求部分，自定违约承诺，格式自拟。 </w:t>
            </w:r>
          </w:p>
          <w:p>
            <w:pPr>
              <w:jc w:val="left"/>
              <w:rPr>
                <w:rFonts w:hAnsi="宋体" w:cs="宋体"/>
                <w:szCs w:val="21"/>
              </w:rPr>
            </w:pPr>
            <w:r>
              <w:rPr>
                <w:rFonts w:hint="eastAsia" w:hAnsi="宋体" w:cs="宋体"/>
                <w:szCs w:val="21"/>
              </w:rPr>
              <w:t xml:space="preserve">评分标准： </w:t>
            </w:r>
          </w:p>
          <w:p>
            <w:pPr>
              <w:jc w:val="left"/>
              <w:rPr>
                <w:rFonts w:hAnsi="宋体" w:cs="宋体"/>
                <w:szCs w:val="21"/>
              </w:rPr>
            </w:pPr>
            <w:r>
              <w:rPr>
                <w:rFonts w:hint="eastAsia" w:hAnsi="宋体" w:cs="宋体"/>
                <w:szCs w:val="21"/>
              </w:rPr>
              <w:t>要求提供承诺函作为得分依据。评分中出现无证明资料或专家无法凭所提供资料判断是否得分的情况，一律作不得分处理。提供承诺的得100分；未提供承诺的不得分。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0" w:type="auto"/>
            <w:vMerge w:val="continue"/>
            <w:tcBorders>
              <w:top w:val="single" w:color="000000" w:sz="8" w:space="0"/>
              <w:left w:val="single" w:color="000000" w:sz="8" w:space="0"/>
              <w:bottom w:val="single" w:color="000000" w:sz="8" w:space="0"/>
              <w:right w:val="single" w:color="000000" w:sz="8" w:space="0"/>
            </w:tcBorders>
            <w:vAlign w:val="center"/>
          </w:tcPr>
          <w:p>
            <w:pPr>
              <w:rPr>
                <w:rFonts w:ascii="宋体" w:hAnsi="宋体" w:cs="宋体"/>
                <w:b/>
                <w:bCs/>
                <w:color w:val="0000FF"/>
                <w:sz w:val="24"/>
              </w:rPr>
            </w:pPr>
          </w:p>
        </w:tc>
        <w:tc>
          <w:tcPr>
            <w:tcW w:w="675" w:type="dxa"/>
            <w:tcBorders>
              <w:top w:val="single" w:color="000000" w:sz="8" w:space="0"/>
              <w:left w:val="single" w:color="000000" w:sz="8" w:space="0"/>
              <w:bottom w:val="single" w:color="000000" w:sz="8" w:space="0"/>
              <w:right w:val="single" w:color="000000" w:sz="8" w:space="0"/>
            </w:tcBorders>
            <w:vAlign w:val="center"/>
          </w:tcPr>
          <w:p>
            <w:pPr>
              <w:wordWrap w:val="0"/>
              <w:jc w:val="center"/>
              <w:rPr>
                <w:rFonts w:ascii="宋体" w:hAnsi="宋体" w:cs="宋体"/>
                <w:szCs w:val="21"/>
              </w:rPr>
            </w:pPr>
            <w:r>
              <w:rPr>
                <w:rFonts w:ascii="宋体" w:hAnsi="宋体"/>
                <w:szCs w:val="21"/>
              </w:rPr>
              <w:t>6</w:t>
            </w:r>
          </w:p>
        </w:tc>
        <w:tc>
          <w:tcPr>
            <w:tcW w:w="2792" w:type="dxa"/>
            <w:tcBorders>
              <w:top w:val="single" w:color="000000" w:sz="8" w:space="0"/>
              <w:left w:val="single" w:color="000000" w:sz="8" w:space="0"/>
              <w:bottom w:val="single" w:color="000000" w:sz="8" w:space="0"/>
              <w:right w:val="single" w:color="000000" w:sz="8" w:space="0"/>
            </w:tcBorders>
            <w:vAlign w:val="center"/>
          </w:tcPr>
          <w:p>
            <w:pPr>
              <w:wordWrap w:val="0"/>
              <w:jc w:val="center"/>
              <w:rPr>
                <w:rFonts w:ascii="宋体" w:hAnsi="宋体" w:cs="宋体"/>
                <w:szCs w:val="21"/>
              </w:rPr>
            </w:pPr>
            <w:r>
              <w:rPr>
                <w:rFonts w:hint="eastAsia" w:ascii="宋体" w:hAnsi="宋体"/>
                <w:szCs w:val="21"/>
              </w:rPr>
              <w:t>拟安排的项目负责人情况（仅限一人）</w:t>
            </w:r>
          </w:p>
        </w:tc>
        <w:tc>
          <w:tcPr>
            <w:tcW w:w="776" w:type="dxa"/>
            <w:tcBorders>
              <w:top w:val="single" w:color="000000" w:sz="8" w:space="0"/>
              <w:left w:val="single" w:color="000000" w:sz="8" w:space="0"/>
              <w:bottom w:val="single" w:color="000000" w:sz="8" w:space="0"/>
              <w:right w:val="single" w:color="000000" w:sz="8" w:space="0"/>
            </w:tcBorders>
            <w:vAlign w:val="center"/>
          </w:tcPr>
          <w:p>
            <w:pPr>
              <w:wordWrap w:val="0"/>
              <w:jc w:val="center"/>
              <w:rPr>
                <w:rFonts w:ascii="宋体" w:hAnsi="宋体" w:cs="宋体"/>
                <w:szCs w:val="21"/>
              </w:rPr>
            </w:pPr>
            <w:r>
              <w:rPr>
                <w:rFonts w:hint="eastAsia" w:ascii="宋体" w:hAnsi="宋体"/>
                <w:szCs w:val="21"/>
              </w:rPr>
              <w:t>6</w:t>
            </w:r>
          </w:p>
        </w:tc>
        <w:tc>
          <w:tcPr>
            <w:tcW w:w="4153" w:type="dxa"/>
            <w:tcBorders>
              <w:top w:val="single" w:color="000000" w:sz="8" w:space="0"/>
              <w:left w:val="single" w:color="000000" w:sz="8" w:space="0"/>
              <w:bottom w:val="single" w:color="000000" w:sz="8" w:space="0"/>
              <w:right w:val="single" w:color="000000" w:sz="8" w:space="0"/>
            </w:tcBorders>
          </w:tcPr>
          <w:p>
            <w:pPr>
              <w:jc w:val="left"/>
              <w:rPr>
                <w:rFonts w:hAnsi="宋体" w:cs="宋体"/>
                <w:szCs w:val="21"/>
              </w:rPr>
            </w:pPr>
            <w:r>
              <w:rPr>
                <w:rFonts w:hint="eastAsia" w:hAnsi="宋体" w:cs="宋体"/>
                <w:szCs w:val="21"/>
              </w:rPr>
              <w:t>（一）评审内容： 拟安排项目负责人为投标单位员工（以社保为准），否则本项不得分。</w:t>
            </w:r>
          </w:p>
          <w:p>
            <w:pPr>
              <w:pStyle w:val="16"/>
              <w:rPr>
                <w:rFonts w:ascii="Times New Roman" w:hAnsi="宋体" w:cs="宋体"/>
                <w:kern w:val="2"/>
                <w:sz w:val="21"/>
                <w:szCs w:val="21"/>
              </w:rPr>
            </w:pPr>
            <w:r>
              <w:rPr>
                <w:rFonts w:hint="eastAsia" w:ascii="Times New Roman" w:hAnsi="宋体" w:cs="宋体"/>
                <w:kern w:val="2"/>
                <w:sz w:val="21"/>
                <w:szCs w:val="21"/>
              </w:rPr>
              <w:t>1.项目负责人具有PMP证书和人力资源和社会保障局颁发的高级信息系统项目管理师证书任意一项得50分，同时具有得100分；</w:t>
            </w:r>
            <w:r>
              <w:rPr>
                <w:rFonts w:hint="eastAsia" w:ascii="Times New Roman" w:hAnsi="宋体" w:cs="宋体"/>
                <w:kern w:val="2"/>
                <w:sz w:val="21"/>
                <w:szCs w:val="21"/>
                <w:highlight w:val="yellow"/>
              </w:rPr>
              <w:t xml:space="preserve"> </w:t>
            </w:r>
          </w:p>
          <w:p>
            <w:pPr>
              <w:jc w:val="left"/>
              <w:rPr>
                <w:rFonts w:hAnsi="宋体" w:cs="宋体"/>
                <w:szCs w:val="21"/>
              </w:rPr>
            </w:pPr>
            <w:r>
              <w:rPr>
                <w:rFonts w:hint="eastAsia" w:hAnsi="宋体" w:cs="宋体"/>
                <w:szCs w:val="21"/>
              </w:rPr>
              <w:t xml:space="preserve">（二）评分依据： </w:t>
            </w:r>
          </w:p>
          <w:p>
            <w:pPr>
              <w:jc w:val="left"/>
              <w:rPr>
                <w:rFonts w:hAnsi="宋体" w:cs="宋体"/>
                <w:szCs w:val="21"/>
              </w:rPr>
            </w:pPr>
            <w:r>
              <w:rPr>
                <w:rFonts w:hint="eastAsia" w:hAnsi="宋体" w:cs="宋体"/>
                <w:szCs w:val="21"/>
              </w:rPr>
              <w:t xml:space="preserve">1.要求提供通过投标人缴纳的近三个月（2021年6月至2021年8月，由于社保部门原因最近一个月的社保证明无法提供的可往前顺延一个月）的社保证明作为本单位员工的证明依据。 </w:t>
            </w:r>
          </w:p>
          <w:p>
            <w:pPr>
              <w:jc w:val="left"/>
              <w:rPr>
                <w:rFonts w:hAnsi="宋体" w:cs="宋体"/>
                <w:szCs w:val="21"/>
              </w:rPr>
            </w:pPr>
            <w:r>
              <w:rPr>
                <w:rFonts w:hint="eastAsia" w:hAnsi="宋体" w:cs="宋体"/>
                <w:szCs w:val="21"/>
              </w:rPr>
              <w:t xml:space="preserve">2.要求提供投标人相关证明资料作为得分依据。 </w:t>
            </w:r>
          </w:p>
          <w:p>
            <w:pPr>
              <w:jc w:val="left"/>
              <w:rPr>
                <w:rFonts w:ascii="宋体" w:hAnsi="宋体" w:cs="宋体"/>
                <w:szCs w:val="21"/>
              </w:rPr>
            </w:pPr>
            <w:r>
              <w:rPr>
                <w:rFonts w:hint="eastAsia" w:hAnsi="宋体" w:cs="宋体"/>
                <w:szCs w:val="21"/>
              </w:rPr>
              <w:t xml:space="preserve">3.以上资料均要求提供扫描件（或官方网站截图）。评分中出现无证明资料或专家无法凭所提供资料判断是否得分的情况，一律作不得分处理。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0" w:type="auto"/>
            <w:vMerge w:val="continue"/>
            <w:tcBorders>
              <w:top w:val="single" w:color="000000" w:sz="8" w:space="0"/>
              <w:left w:val="single" w:color="000000" w:sz="8" w:space="0"/>
              <w:bottom w:val="single" w:color="000000" w:sz="8" w:space="0"/>
              <w:right w:val="single" w:color="000000" w:sz="8" w:space="0"/>
            </w:tcBorders>
            <w:vAlign w:val="center"/>
          </w:tcPr>
          <w:p>
            <w:pPr>
              <w:rPr>
                <w:rFonts w:ascii="宋体" w:hAnsi="宋体" w:cs="宋体"/>
                <w:b/>
                <w:bCs/>
                <w:color w:val="0000FF"/>
                <w:sz w:val="24"/>
              </w:rPr>
            </w:pPr>
          </w:p>
        </w:tc>
        <w:tc>
          <w:tcPr>
            <w:tcW w:w="675"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szCs w:val="21"/>
              </w:rPr>
            </w:pPr>
            <w:r>
              <w:rPr>
                <w:rFonts w:hint="eastAsia" w:ascii="宋体" w:hAnsi="宋体"/>
                <w:szCs w:val="21"/>
              </w:rPr>
              <w:t>7</w:t>
            </w:r>
          </w:p>
        </w:tc>
        <w:tc>
          <w:tcPr>
            <w:tcW w:w="2792" w:type="dxa"/>
            <w:tcBorders>
              <w:top w:val="single" w:color="000000" w:sz="8" w:space="0"/>
              <w:left w:val="single" w:color="000000" w:sz="8" w:space="0"/>
              <w:bottom w:val="single" w:color="000000" w:sz="8" w:space="0"/>
              <w:right w:val="single" w:color="000000" w:sz="8" w:space="0"/>
            </w:tcBorders>
            <w:vAlign w:val="center"/>
          </w:tcPr>
          <w:p>
            <w:pPr>
              <w:wordWrap w:val="0"/>
              <w:jc w:val="center"/>
              <w:rPr>
                <w:rFonts w:ascii="宋体" w:hAnsi="宋体" w:cs="宋体"/>
                <w:szCs w:val="21"/>
              </w:rPr>
            </w:pPr>
            <w:r>
              <w:rPr>
                <w:rFonts w:hint="eastAsia" w:ascii="宋体" w:hAnsi="宋体"/>
                <w:szCs w:val="21"/>
              </w:rPr>
              <w:t>拟安排的项目主要团队成员（主要技术人员）情况（项目负责人除外）</w:t>
            </w:r>
          </w:p>
        </w:tc>
        <w:tc>
          <w:tcPr>
            <w:tcW w:w="776" w:type="dxa"/>
            <w:tcBorders>
              <w:top w:val="single" w:color="000000" w:sz="8" w:space="0"/>
              <w:left w:val="single" w:color="000000" w:sz="8" w:space="0"/>
              <w:bottom w:val="single" w:color="000000" w:sz="8" w:space="0"/>
              <w:right w:val="single" w:color="000000" w:sz="8" w:space="0"/>
            </w:tcBorders>
            <w:vAlign w:val="center"/>
          </w:tcPr>
          <w:p>
            <w:pPr>
              <w:wordWrap w:val="0"/>
              <w:jc w:val="center"/>
              <w:rPr>
                <w:rFonts w:ascii="宋体" w:hAnsi="宋体" w:cs="宋体"/>
                <w:szCs w:val="21"/>
              </w:rPr>
            </w:pPr>
            <w:r>
              <w:rPr>
                <w:rFonts w:hint="eastAsia" w:ascii="宋体" w:hAnsi="宋体"/>
                <w:szCs w:val="21"/>
              </w:rPr>
              <w:t>9</w:t>
            </w:r>
          </w:p>
        </w:tc>
        <w:tc>
          <w:tcPr>
            <w:tcW w:w="4153" w:type="dxa"/>
            <w:tcBorders>
              <w:top w:val="single" w:color="000000" w:sz="8" w:space="0"/>
              <w:left w:val="single" w:color="000000" w:sz="8" w:space="0"/>
              <w:bottom w:val="single" w:color="000000" w:sz="8" w:space="0"/>
              <w:right w:val="single" w:color="000000" w:sz="8" w:space="0"/>
            </w:tcBorders>
          </w:tcPr>
          <w:p>
            <w:pPr>
              <w:jc w:val="left"/>
              <w:rPr>
                <w:rFonts w:hAnsi="宋体" w:cs="宋体"/>
                <w:szCs w:val="21"/>
              </w:rPr>
            </w:pPr>
            <w:r>
              <w:rPr>
                <w:rFonts w:hint="eastAsia" w:hAnsi="宋体" w:cs="宋体"/>
                <w:szCs w:val="21"/>
              </w:rPr>
              <w:t>（一）评审内容：拟安排项目主要团队成员为投标单位员工（以社保为准），否则该人员情况不计分。</w:t>
            </w:r>
            <w:r>
              <w:t>同一主要技术人员具备多个证书的可累计计分。</w:t>
            </w:r>
            <w:r>
              <w:rPr>
                <w:rFonts w:hint="eastAsia" w:hAnsi="宋体" w:cs="宋体"/>
                <w:szCs w:val="21"/>
              </w:rPr>
              <w:t xml:space="preserve"> </w:t>
            </w:r>
          </w:p>
          <w:p>
            <w:pPr>
              <w:jc w:val="left"/>
              <w:rPr>
                <w:rFonts w:hAnsi="宋体" w:cs="宋体"/>
                <w:szCs w:val="21"/>
              </w:rPr>
            </w:pPr>
            <w:r>
              <w:rPr>
                <w:rFonts w:hint="eastAsia" w:hAnsi="宋体" w:cs="宋体"/>
                <w:szCs w:val="21"/>
              </w:rPr>
              <w:t>1、成员中具有有医学相关专业，包括医学、药学、公卫、护理等相关专业本科及以上学历证书，一名得15分，</w:t>
            </w:r>
            <w:r>
              <w:rPr>
                <w:rFonts w:hint="eastAsia"/>
              </w:rPr>
              <w:t>最高</w:t>
            </w:r>
            <w:r>
              <w:rPr>
                <w:rFonts w:hint="eastAsia" w:hAnsi="宋体" w:cs="宋体"/>
                <w:szCs w:val="21"/>
              </w:rPr>
              <w:t>1</w:t>
            </w:r>
            <w:r>
              <w:rPr>
                <w:rFonts w:hAnsi="宋体" w:cs="宋体"/>
                <w:szCs w:val="21"/>
              </w:rPr>
              <w:t>5</w:t>
            </w:r>
            <w:r>
              <w:rPr>
                <w:rFonts w:hint="eastAsia" w:hAnsi="宋体" w:cs="宋体"/>
                <w:szCs w:val="21"/>
              </w:rPr>
              <w:t xml:space="preserve">分； </w:t>
            </w:r>
          </w:p>
          <w:p>
            <w:pPr>
              <w:jc w:val="left"/>
              <w:rPr>
                <w:rFonts w:hAnsi="宋体" w:cs="宋体"/>
                <w:szCs w:val="21"/>
              </w:rPr>
            </w:pPr>
            <w:r>
              <w:rPr>
                <w:rFonts w:hint="eastAsia" w:hAnsi="宋体" w:cs="宋体"/>
                <w:szCs w:val="21"/>
              </w:rPr>
              <w:t>2、成员中具有统计学相关专业本科及以上学历证书，一名得15分，</w:t>
            </w:r>
            <w:r>
              <w:rPr>
                <w:rFonts w:hint="eastAsia"/>
              </w:rPr>
              <w:t>最高</w:t>
            </w:r>
            <w:r>
              <w:rPr>
                <w:rFonts w:hint="eastAsia" w:hAnsi="宋体" w:cs="宋体"/>
                <w:szCs w:val="21"/>
              </w:rPr>
              <w:t>1</w:t>
            </w:r>
            <w:r>
              <w:rPr>
                <w:rFonts w:hAnsi="宋体" w:cs="宋体"/>
                <w:szCs w:val="21"/>
              </w:rPr>
              <w:t>5</w:t>
            </w:r>
            <w:r>
              <w:rPr>
                <w:rFonts w:hint="eastAsia" w:hAnsi="宋体" w:cs="宋体"/>
                <w:szCs w:val="21"/>
              </w:rPr>
              <w:t xml:space="preserve">分； </w:t>
            </w:r>
          </w:p>
          <w:p>
            <w:pPr>
              <w:jc w:val="left"/>
              <w:rPr>
                <w:rFonts w:hAnsi="宋体" w:cs="宋体"/>
                <w:szCs w:val="21"/>
              </w:rPr>
            </w:pPr>
            <w:r>
              <w:rPr>
                <w:rFonts w:hint="eastAsia" w:hAnsi="宋体" w:cs="宋体"/>
                <w:szCs w:val="21"/>
              </w:rPr>
              <w:t>3、成员中具有计算机相关专业本科以上学历证书的，一名得</w:t>
            </w:r>
            <w:r>
              <w:rPr>
                <w:rFonts w:hAnsi="宋体" w:cs="宋体"/>
                <w:szCs w:val="21"/>
              </w:rPr>
              <w:t>1</w:t>
            </w:r>
            <w:r>
              <w:rPr>
                <w:rFonts w:hint="eastAsia" w:hAnsi="宋体" w:cs="宋体"/>
                <w:szCs w:val="21"/>
              </w:rPr>
              <w:t>0分，</w:t>
            </w:r>
            <w:r>
              <w:rPr>
                <w:rFonts w:hint="eastAsia"/>
              </w:rPr>
              <w:t>最高</w:t>
            </w:r>
            <w:r>
              <w:rPr>
                <w:rFonts w:hint="eastAsia" w:hAnsi="宋体" w:cs="宋体"/>
                <w:szCs w:val="21"/>
              </w:rPr>
              <w:t>3</w:t>
            </w:r>
            <w:r>
              <w:rPr>
                <w:rFonts w:hAnsi="宋体" w:cs="宋体"/>
                <w:szCs w:val="21"/>
              </w:rPr>
              <w:t>0</w:t>
            </w:r>
            <w:r>
              <w:rPr>
                <w:rFonts w:hint="eastAsia" w:hAnsi="宋体" w:cs="宋体"/>
                <w:szCs w:val="21"/>
              </w:rPr>
              <w:t xml:space="preserve">分； </w:t>
            </w:r>
          </w:p>
          <w:p>
            <w:pPr>
              <w:jc w:val="left"/>
              <w:rPr>
                <w:rFonts w:hAnsi="宋体" w:cs="宋体"/>
                <w:szCs w:val="21"/>
              </w:rPr>
            </w:pPr>
            <w:r>
              <w:rPr>
                <w:rFonts w:hint="eastAsia" w:hAnsi="宋体" w:cs="宋体"/>
                <w:szCs w:val="21"/>
              </w:rPr>
              <w:t>4、成员中具有一名Oracle数据库认证专家（OCP），一名得40分，</w:t>
            </w:r>
            <w:r>
              <w:rPr>
                <w:rFonts w:hint="eastAsia"/>
              </w:rPr>
              <w:t>最高</w:t>
            </w:r>
            <w:r>
              <w:rPr>
                <w:rFonts w:hint="eastAsia" w:hAnsi="宋体" w:cs="宋体"/>
                <w:szCs w:val="21"/>
              </w:rPr>
              <w:t>4</w:t>
            </w:r>
            <w:r>
              <w:rPr>
                <w:rFonts w:hAnsi="宋体" w:cs="宋体"/>
                <w:szCs w:val="21"/>
              </w:rPr>
              <w:t>0</w:t>
            </w:r>
            <w:r>
              <w:rPr>
                <w:rFonts w:hint="eastAsia" w:hAnsi="宋体" w:cs="宋体"/>
                <w:szCs w:val="21"/>
              </w:rPr>
              <w:t xml:space="preserve">分。 </w:t>
            </w:r>
          </w:p>
          <w:p>
            <w:pPr>
              <w:jc w:val="left"/>
              <w:rPr>
                <w:rFonts w:hAnsi="宋体" w:cs="宋体"/>
                <w:szCs w:val="21"/>
              </w:rPr>
            </w:pPr>
            <w:r>
              <w:rPr>
                <w:rFonts w:hint="eastAsia" w:hAnsi="宋体" w:cs="宋体"/>
                <w:szCs w:val="21"/>
              </w:rPr>
              <w:t xml:space="preserve">（二）评分依据： </w:t>
            </w:r>
          </w:p>
          <w:p>
            <w:pPr>
              <w:pStyle w:val="16"/>
              <w:rPr>
                <w:rFonts w:ascii="Times New Roman" w:hAnsi="宋体" w:cs="宋体"/>
                <w:kern w:val="2"/>
                <w:sz w:val="21"/>
                <w:szCs w:val="21"/>
              </w:rPr>
            </w:pPr>
            <w:r>
              <w:rPr>
                <w:rFonts w:hint="eastAsia" w:ascii="Times New Roman" w:hAnsi="宋体" w:cs="宋体"/>
                <w:kern w:val="2"/>
                <w:sz w:val="21"/>
                <w:szCs w:val="21"/>
              </w:rPr>
              <w:t>1. 要求提供通过投标人缴纳的近三个月（2021年6月至2021年8月，由于社保部门原因最近一个月的社保证明无法提供的可往前顺延一个月）的社保证明作为本单位员工的证明依据。</w:t>
            </w:r>
          </w:p>
          <w:p>
            <w:pPr>
              <w:pStyle w:val="16"/>
              <w:rPr>
                <w:rFonts w:hAnsi="宋体" w:cs="宋体"/>
                <w:szCs w:val="21"/>
              </w:rPr>
            </w:pPr>
            <w:r>
              <w:rPr>
                <w:rFonts w:hint="eastAsia" w:ascii="Times New Roman" w:hAnsi="宋体" w:cs="宋体"/>
                <w:kern w:val="2"/>
                <w:sz w:val="21"/>
                <w:szCs w:val="21"/>
              </w:rPr>
              <w:t>2.要求提供投标人相关证明资料作为得分依据。</w:t>
            </w:r>
          </w:p>
          <w:p>
            <w:pPr>
              <w:jc w:val="left"/>
              <w:rPr>
                <w:rFonts w:hAnsi="宋体" w:cs="宋体"/>
                <w:szCs w:val="21"/>
              </w:rPr>
            </w:pPr>
            <w:r>
              <w:rPr>
                <w:rFonts w:hint="eastAsia" w:hAnsi="宋体" w:cs="宋体"/>
                <w:szCs w:val="21"/>
              </w:rPr>
              <w:t xml:space="preserve">3.以上资料均要求提供扫描件（或官方网站截图）。评分中出现无证明资料或专家无法凭所提供资料判断是否得分的情况，一律作不得分处理。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76" w:type="dxa"/>
            <w:vMerge w:val="restart"/>
            <w:tcBorders>
              <w:top w:val="single" w:color="000000" w:sz="8" w:space="0"/>
              <w:left w:val="single" w:color="000000" w:sz="8" w:space="0"/>
              <w:bottom w:val="single" w:color="000000" w:sz="8" w:space="0"/>
              <w:right w:val="single" w:color="000000" w:sz="8" w:space="0"/>
            </w:tcBorders>
          </w:tcPr>
          <w:p>
            <w:pPr>
              <w:wordWrap w:val="0"/>
              <w:jc w:val="center"/>
              <w:rPr>
                <w:rFonts w:ascii="宋体" w:hAnsi="宋体" w:cs="宋体"/>
                <w:b/>
                <w:bCs/>
                <w:color w:val="0000FF"/>
                <w:sz w:val="24"/>
              </w:rPr>
            </w:pPr>
            <w:r>
              <w:rPr>
                <w:b/>
                <w:bCs/>
                <w:color w:val="0000FF"/>
              </w:rPr>
              <w:t>3</w:t>
            </w:r>
          </w:p>
        </w:tc>
        <w:tc>
          <w:tcPr>
            <w:tcW w:w="4243" w:type="dxa"/>
            <w:gridSpan w:val="3"/>
            <w:tcBorders>
              <w:top w:val="single" w:color="000000" w:sz="8" w:space="0"/>
              <w:left w:val="single" w:color="000000" w:sz="8" w:space="0"/>
              <w:bottom w:val="single" w:color="000000" w:sz="8" w:space="0"/>
              <w:right w:val="single" w:color="000000" w:sz="8" w:space="0"/>
            </w:tcBorders>
          </w:tcPr>
          <w:p>
            <w:pPr>
              <w:wordWrap w:val="0"/>
              <w:jc w:val="center"/>
              <w:rPr>
                <w:rFonts w:ascii="宋体" w:hAnsi="宋体" w:cs="宋体"/>
                <w:b/>
                <w:bCs/>
                <w:color w:val="0000FF"/>
                <w:sz w:val="24"/>
              </w:rPr>
            </w:pPr>
            <w:r>
              <w:rPr>
                <w:b/>
                <w:bCs/>
                <w:color w:val="0000FF"/>
              </w:rPr>
              <w:t>综合实力</w:t>
            </w:r>
          </w:p>
        </w:tc>
        <w:tc>
          <w:tcPr>
            <w:tcW w:w="4153" w:type="dxa"/>
            <w:tcBorders>
              <w:top w:val="single" w:color="000000" w:sz="8" w:space="0"/>
              <w:left w:val="single" w:color="000000" w:sz="8" w:space="0"/>
              <w:bottom w:val="single" w:color="000000" w:sz="8" w:space="0"/>
              <w:right w:val="single" w:color="000000" w:sz="8" w:space="0"/>
            </w:tcBorders>
          </w:tcPr>
          <w:p>
            <w:pPr>
              <w:wordWrap w:val="0"/>
              <w:jc w:val="center"/>
              <w:rPr>
                <w:rFonts w:ascii="宋体" w:hAnsi="宋体" w:cs="宋体"/>
                <w:b/>
                <w:bCs/>
                <w:color w:val="0000FF"/>
                <w:sz w:val="24"/>
              </w:rPr>
            </w:pPr>
            <w:r>
              <w:rPr>
                <w:rFonts w:hint="eastAsia" w:ascii="宋体" w:hAnsi="宋体"/>
                <w:szCs w:val="21"/>
              </w:rPr>
              <w:t>22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E6EFFA"/>
            <w:vAlign w:val="center"/>
          </w:tcPr>
          <w:p>
            <w:pPr>
              <w:rPr>
                <w:rFonts w:ascii="宋体" w:hAnsi="宋体" w:cs="宋体"/>
                <w:b/>
                <w:bCs/>
                <w:color w:val="0000FF"/>
                <w:sz w:val="24"/>
              </w:rPr>
            </w:pPr>
          </w:p>
        </w:tc>
        <w:tc>
          <w:tcPr>
            <w:tcW w:w="675" w:type="dxa"/>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jc w:val="center"/>
              <w:rPr>
                <w:rFonts w:ascii="宋体" w:hAnsi="宋体" w:cs="宋体"/>
                <w:szCs w:val="21"/>
              </w:rPr>
            </w:pPr>
            <w:r>
              <w:rPr>
                <w:szCs w:val="21"/>
              </w:rPr>
              <w:t>序号</w:t>
            </w:r>
          </w:p>
        </w:tc>
        <w:tc>
          <w:tcPr>
            <w:tcW w:w="2792" w:type="dxa"/>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jc w:val="center"/>
              <w:rPr>
                <w:rFonts w:ascii="宋体" w:hAnsi="宋体" w:cs="宋体"/>
                <w:szCs w:val="21"/>
              </w:rPr>
            </w:pPr>
            <w:r>
              <w:rPr>
                <w:szCs w:val="21"/>
              </w:rPr>
              <w:t>评分因素</w:t>
            </w:r>
          </w:p>
        </w:tc>
        <w:tc>
          <w:tcPr>
            <w:tcW w:w="776" w:type="dxa"/>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jc w:val="center"/>
              <w:rPr>
                <w:rFonts w:ascii="宋体" w:hAnsi="宋体" w:cs="宋体"/>
                <w:szCs w:val="21"/>
              </w:rPr>
            </w:pPr>
            <w:r>
              <w:rPr>
                <w:szCs w:val="21"/>
              </w:rPr>
              <w:t>权重(%)</w:t>
            </w:r>
          </w:p>
        </w:tc>
        <w:tc>
          <w:tcPr>
            <w:tcW w:w="4153" w:type="dxa"/>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jc w:val="center"/>
              <w:rPr>
                <w:rFonts w:ascii="宋体" w:hAnsi="宋体" w:cs="宋体"/>
                <w:szCs w:val="21"/>
              </w:rPr>
            </w:pPr>
            <w:r>
              <w:rPr>
                <w:szCs w:val="21"/>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0" w:type="auto"/>
            <w:vMerge w:val="continue"/>
            <w:tcBorders>
              <w:top w:val="single" w:color="000000" w:sz="8" w:space="0"/>
              <w:left w:val="single" w:color="000000" w:sz="8" w:space="0"/>
              <w:bottom w:val="single" w:color="000000" w:sz="8" w:space="0"/>
              <w:right w:val="single" w:color="000000" w:sz="8" w:space="0"/>
            </w:tcBorders>
            <w:vAlign w:val="center"/>
          </w:tcPr>
          <w:p>
            <w:pPr>
              <w:rPr>
                <w:rFonts w:ascii="宋体" w:hAnsi="宋体" w:cs="宋体"/>
                <w:b/>
                <w:bCs/>
                <w:color w:val="0000FF"/>
                <w:sz w:val="24"/>
              </w:rPr>
            </w:pPr>
          </w:p>
        </w:tc>
        <w:tc>
          <w:tcPr>
            <w:tcW w:w="675" w:type="dxa"/>
            <w:tcBorders>
              <w:top w:val="single" w:color="000000" w:sz="8" w:space="0"/>
              <w:left w:val="single" w:color="000000" w:sz="8" w:space="0"/>
              <w:bottom w:val="single" w:color="000000" w:sz="8" w:space="0"/>
              <w:right w:val="single" w:color="000000" w:sz="8" w:space="0"/>
            </w:tcBorders>
            <w:vAlign w:val="center"/>
          </w:tcPr>
          <w:p>
            <w:pPr>
              <w:wordWrap w:val="0"/>
              <w:jc w:val="center"/>
              <w:rPr>
                <w:rFonts w:ascii="宋体" w:hAnsi="宋体" w:cs="宋体"/>
                <w:szCs w:val="21"/>
              </w:rPr>
            </w:pPr>
            <w:r>
              <w:rPr>
                <w:rFonts w:ascii="宋体" w:hAnsi="宋体"/>
                <w:szCs w:val="21"/>
              </w:rPr>
              <w:t>1</w:t>
            </w:r>
          </w:p>
        </w:tc>
        <w:tc>
          <w:tcPr>
            <w:tcW w:w="2792" w:type="dxa"/>
            <w:tcBorders>
              <w:top w:val="single" w:color="000000" w:sz="8" w:space="0"/>
              <w:left w:val="single" w:color="000000" w:sz="8" w:space="0"/>
              <w:bottom w:val="single" w:color="000000" w:sz="8" w:space="0"/>
              <w:right w:val="single" w:color="000000" w:sz="8" w:space="0"/>
            </w:tcBorders>
            <w:vAlign w:val="center"/>
          </w:tcPr>
          <w:p>
            <w:pPr>
              <w:wordWrap w:val="0"/>
              <w:jc w:val="center"/>
              <w:rPr>
                <w:rFonts w:ascii="宋体" w:hAnsi="宋体" w:cs="宋体"/>
                <w:szCs w:val="21"/>
              </w:rPr>
            </w:pPr>
            <w:r>
              <w:rPr>
                <w:rFonts w:hint="eastAsia" w:ascii="宋体" w:hAnsi="宋体"/>
                <w:szCs w:val="21"/>
              </w:rPr>
              <w:t>供应商资格（资质、认证）情况</w:t>
            </w:r>
          </w:p>
        </w:tc>
        <w:tc>
          <w:tcPr>
            <w:tcW w:w="776" w:type="dxa"/>
            <w:tcBorders>
              <w:top w:val="single" w:color="000000" w:sz="8" w:space="0"/>
              <w:left w:val="single" w:color="000000" w:sz="8" w:space="0"/>
              <w:bottom w:val="single" w:color="000000" w:sz="8" w:space="0"/>
              <w:right w:val="single" w:color="000000" w:sz="8" w:space="0"/>
            </w:tcBorders>
            <w:vAlign w:val="center"/>
          </w:tcPr>
          <w:p>
            <w:pPr>
              <w:wordWrap w:val="0"/>
              <w:jc w:val="center"/>
              <w:rPr>
                <w:rFonts w:ascii="宋体" w:hAnsi="宋体" w:cs="宋体"/>
                <w:szCs w:val="21"/>
              </w:rPr>
            </w:pPr>
            <w:r>
              <w:rPr>
                <w:rFonts w:hint="eastAsia" w:ascii="宋体" w:hAnsi="宋体"/>
                <w:szCs w:val="21"/>
              </w:rPr>
              <w:t>5</w:t>
            </w:r>
          </w:p>
        </w:tc>
        <w:tc>
          <w:tcPr>
            <w:tcW w:w="4153" w:type="dxa"/>
            <w:tcBorders>
              <w:top w:val="single" w:color="000000" w:sz="8" w:space="0"/>
              <w:left w:val="single" w:color="000000" w:sz="8" w:space="0"/>
              <w:bottom w:val="single" w:color="000000" w:sz="8" w:space="0"/>
              <w:right w:val="single" w:color="000000" w:sz="8" w:space="0"/>
            </w:tcBorders>
          </w:tcPr>
          <w:p>
            <w:pPr>
              <w:jc w:val="left"/>
              <w:rPr>
                <w:rFonts w:hAnsi="宋体" w:cs="宋体"/>
                <w:szCs w:val="21"/>
              </w:rPr>
            </w:pPr>
            <w:r>
              <w:rPr>
                <w:rFonts w:hint="eastAsia" w:hAnsi="宋体" w:cs="宋体"/>
                <w:szCs w:val="21"/>
              </w:rPr>
              <w:t xml:space="preserve">（一）评审内容： </w:t>
            </w:r>
          </w:p>
          <w:p>
            <w:pPr>
              <w:jc w:val="left"/>
              <w:rPr>
                <w:rFonts w:hAnsi="宋体" w:cs="宋体"/>
                <w:szCs w:val="21"/>
              </w:rPr>
            </w:pPr>
            <w:r>
              <w:rPr>
                <w:rFonts w:hint="eastAsia" w:hAnsi="宋体" w:cs="宋体"/>
                <w:szCs w:val="21"/>
              </w:rPr>
              <w:t>1、提供信息产业信息安全评测中心测评颁布的《医院高效运营管理系统安全评估报告》并在报告中体现已达到国家信息安全技术网络安全等级保护第三级安全防护水平，符合得20分；</w:t>
            </w:r>
          </w:p>
          <w:p>
            <w:pPr>
              <w:jc w:val="left"/>
              <w:rPr>
                <w:rFonts w:hAnsi="宋体" w:cs="宋体"/>
                <w:szCs w:val="21"/>
              </w:rPr>
            </w:pPr>
            <w:r>
              <w:rPr>
                <w:rFonts w:hint="eastAsia" w:hAnsi="宋体" w:cs="宋体"/>
                <w:szCs w:val="21"/>
              </w:rPr>
              <w:t>2、企业信用等级：提供中国软件行业协会评定的行业信用等级AAA级，符合得20分；</w:t>
            </w:r>
          </w:p>
          <w:p>
            <w:pPr>
              <w:jc w:val="left"/>
              <w:rPr>
                <w:rFonts w:hAnsi="宋体" w:cs="宋体"/>
                <w:szCs w:val="21"/>
              </w:rPr>
            </w:pPr>
            <w:r>
              <w:rPr>
                <w:rFonts w:hint="eastAsia" w:hAnsi="宋体" w:cs="宋体"/>
                <w:szCs w:val="21"/>
              </w:rPr>
              <w:t>3、管理体系认证：同时通过ISO9001、ISO14001、ISO45001三类管理体系认证，认证范围都包含有“医疗行业应用软件开发及服务”，全部满足得20分 ；</w:t>
            </w:r>
          </w:p>
          <w:p>
            <w:pPr>
              <w:jc w:val="left"/>
              <w:rPr>
                <w:rFonts w:hAnsi="宋体" w:cs="宋体"/>
                <w:szCs w:val="21"/>
              </w:rPr>
            </w:pPr>
            <w:r>
              <w:rPr>
                <w:rFonts w:hint="eastAsia" w:hAnsi="宋体" w:cs="宋体"/>
                <w:szCs w:val="21"/>
              </w:rPr>
              <w:t>4、信息体系认证：同时通过ISO20000和ISO27001双信息管理体系认证，认证范围都包含有“医疗行业应用软件开发及服务”，全部满足得20分 ；</w:t>
            </w:r>
          </w:p>
          <w:p>
            <w:pPr>
              <w:jc w:val="left"/>
              <w:rPr>
                <w:rFonts w:hAnsi="宋体" w:cs="宋体"/>
                <w:szCs w:val="21"/>
              </w:rPr>
            </w:pPr>
            <w:r>
              <w:rPr>
                <w:rFonts w:hint="eastAsia" w:hAnsi="宋体" w:cs="宋体"/>
                <w:szCs w:val="21"/>
              </w:rPr>
              <w:t xml:space="preserve">5、具备ITSS信息技术服务标准符合性证书三级，符合得20分 </w:t>
            </w:r>
          </w:p>
          <w:p>
            <w:pPr>
              <w:jc w:val="left"/>
              <w:rPr>
                <w:rFonts w:hAnsi="宋体" w:cs="宋体"/>
                <w:szCs w:val="21"/>
              </w:rPr>
            </w:pPr>
            <w:r>
              <w:rPr>
                <w:rFonts w:hint="eastAsia" w:hAnsi="宋体" w:cs="宋体"/>
                <w:szCs w:val="21"/>
              </w:rPr>
              <w:t xml:space="preserve">（二）评分依据： </w:t>
            </w:r>
          </w:p>
          <w:p>
            <w:pPr>
              <w:jc w:val="left"/>
              <w:rPr>
                <w:rFonts w:hAnsi="宋体" w:cs="宋体"/>
                <w:szCs w:val="21"/>
              </w:rPr>
            </w:pPr>
            <w:r>
              <w:rPr>
                <w:rFonts w:hint="eastAsia" w:hAnsi="宋体" w:cs="宋体"/>
                <w:szCs w:val="21"/>
              </w:rPr>
              <w:t xml:space="preserve">1.要求提供有效的测评报告或认证证书作为得分依据。 </w:t>
            </w:r>
          </w:p>
          <w:p>
            <w:pPr>
              <w:jc w:val="left"/>
              <w:rPr>
                <w:szCs w:val="21"/>
              </w:rPr>
            </w:pPr>
            <w:r>
              <w:rPr>
                <w:rFonts w:hint="eastAsia" w:hAnsi="宋体" w:cs="宋体"/>
                <w:szCs w:val="21"/>
              </w:rPr>
              <w:t xml:space="preserve">2.以上资料均要求提供扫描件（或官方网站截图）。评分中出现无证明资料或专家无法凭所提供资料判断是否得分的情况，一律作不得分处理。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0" w:type="auto"/>
            <w:vMerge w:val="continue"/>
            <w:tcBorders>
              <w:top w:val="single" w:color="000000" w:sz="8" w:space="0"/>
              <w:left w:val="single" w:color="000000" w:sz="8" w:space="0"/>
              <w:bottom w:val="single" w:color="000000" w:sz="8" w:space="0"/>
              <w:right w:val="single" w:color="000000" w:sz="8" w:space="0"/>
            </w:tcBorders>
            <w:vAlign w:val="center"/>
          </w:tcPr>
          <w:p>
            <w:pPr>
              <w:rPr>
                <w:rFonts w:ascii="宋体" w:hAnsi="宋体" w:cs="宋体"/>
                <w:b/>
                <w:bCs/>
                <w:color w:val="0000FF"/>
                <w:sz w:val="24"/>
              </w:rPr>
            </w:pPr>
          </w:p>
        </w:tc>
        <w:tc>
          <w:tcPr>
            <w:tcW w:w="675" w:type="dxa"/>
            <w:tcBorders>
              <w:top w:val="single" w:color="000000" w:sz="8" w:space="0"/>
              <w:left w:val="single" w:color="000000" w:sz="8" w:space="0"/>
              <w:bottom w:val="single" w:color="000000" w:sz="8" w:space="0"/>
              <w:right w:val="single" w:color="000000" w:sz="8" w:space="0"/>
            </w:tcBorders>
            <w:vAlign w:val="center"/>
          </w:tcPr>
          <w:p>
            <w:pPr>
              <w:wordWrap w:val="0"/>
              <w:jc w:val="center"/>
              <w:rPr>
                <w:rFonts w:ascii="宋体" w:hAnsi="宋体" w:cs="宋体"/>
                <w:szCs w:val="21"/>
              </w:rPr>
            </w:pPr>
            <w:r>
              <w:rPr>
                <w:rFonts w:hint="eastAsia" w:ascii="宋体" w:hAnsi="宋体"/>
                <w:szCs w:val="21"/>
              </w:rPr>
              <w:t>2</w:t>
            </w:r>
          </w:p>
        </w:tc>
        <w:tc>
          <w:tcPr>
            <w:tcW w:w="2792" w:type="dxa"/>
            <w:tcBorders>
              <w:top w:val="single" w:color="000000" w:sz="8" w:space="0"/>
              <w:left w:val="single" w:color="000000" w:sz="8" w:space="0"/>
              <w:bottom w:val="single" w:color="000000" w:sz="8" w:space="0"/>
              <w:right w:val="single" w:color="000000" w:sz="8" w:space="0"/>
            </w:tcBorders>
            <w:vAlign w:val="center"/>
          </w:tcPr>
          <w:p>
            <w:pPr>
              <w:wordWrap w:val="0"/>
              <w:jc w:val="center"/>
              <w:rPr>
                <w:rFonts w:ascii="宋体" w:hAnsi="宋体" w:cs="宋体"/>
                <w:szCs w:val="21"/>
              </w:rPr>
            </w:pPr>
            <w:r>
              <w:rPr>
                <w:rFonts w:hint="eastAsia" w:ascii="宋体" w:hAnsi="宋体"/>
                <w:szCs w:val="21"/>
              </w:rPr>
              <w:t>供应商同类项目业绩情况</w:t>
            </w:r>
          </w:p>
        </w:tc>
        <w:tc>
          <w:tcPr>
            <w:tcW w:w="776" w:type="dxa"/>
            <w:tcBorders>
              <w:top w:val="single" w:color="000000" w:sz="8" w:space="0"/>
              <w:left w:val="single" w:color="000000" w:sz="8" w:space="0"/>
              <w:bottom w:val="single" w:color="000000" w:sz="8" w:space="0"/>
              <w:right w:val="single" w:color="000000" w:sz="8" w:space="0"/>
            </w:tcBorders>
            <w:vAlign w:val="center"/>
          </w:tcPr>
          <w:p>
            <w:pPr>
              <w:jc w:val="center"/>
              <w:rPr>
                <w:rFonts w:hAnsi="宋体" w:cs="宋体"/>
                <w:szCs w:val="21"/>
              </w:rPr>
            </w:pPr>
            <w:r>
              <w:rPr>
                <w:rFonts w:ascii="宋体" w:hAnsi="宋体"/>
                <w:szCs w:val="21"/>
              </w:rPr>
              <w:t>5</w:t>
            </w:r>
          </w:p>
        </w:tc>
        <w:tc>
          <w:tcPr>
            <w:tcW w:w="4153" w:type="dxa"/>
            <w:tcBorders>
              <w:top w:val="single" w:color="000000" w:sz="8" w:space="0"/>
              <w:left w:val="single" w:color="000000" w:sz="8" w:space="0"/>
              <w:bottom w:val="single" w:color="000000" w:sz="8" w:space="0"/>
              <w:right w:val="single" w:color="000000" w:sz="8" w:space="0"/>
            </w:tcBorders>
          </w:tcPr>
          <w:p>
            <w:pPr>
              <w:jc w:val="left"/>
              <w:rPr>
                <w:rFonts w:hAnsi="宋体" w:cs="宋体"/>
                <w:szCs w:val="21"/>
              </w:rPr>
            </w:pPr>
            <w:r>
              <w:rPr>
                <w:rFonts w:hint="eastAsia" w:hAnsi="宋体" w:cs="宋体"/>
                <w:szCs w:val="21"/>
              </w:rPr>
              <w:t xml:space="preserve">（一）评审内容： </w:t>
            </w:r>
          </w:p>
          <w:p>
            <w:pPr>
              <w:jc w:val="left"/>
              <w:rPr>
                <w:rFonts w:hAnsi="宋体" w:cs="宋体"/>
                <w:szCs w:val="21"/>
              </w:rPr>
            </w:pPr>
            <w:r>
              <w:rPr>
                <w:rFonts w:hint="eastAsia" w:hAnsi="宋体" w:cs="宋体"/>
                <w:szCs w:val="21"/>
              </w:rPr>
              <w:t>提供医院成本核算相关的案例项目，案例的范围包含项目成本核算系统，且验收合格时间为最近三年（即2018年9月1日后）</w:t>
            </w:r>
          </w:p>
          <w:p>
            <w:pPr>
              <w:jc w:val="left"/>
              <w:rPr>
                <w:rFonts w:hAnsi="宋体" w:cs="宋体"/>
                <w:szCs w:val="21"/>
              </w:rPr>
            </w:pPr>
            <w:r>
              <w:rPr>
                <w:rFonts w:hint="eastAsia" w:hAnsi="宋体" w:cs="宋体"/>
                <w:szCs w:val="21"/>
              </w:rPr>
              <w:t xml:space="preserve">符合要求的案例：3家及以上得100分，2家得60分，1家得40分，低于1家不得分，专家按百分制打分。 </w:t>
            </w:r>
          </w:p>
          <w:p>
            <w:pPr>
              <w:jc w:val="left"/>
              <w:rPr>
                <w:rFonts w:hAnsi="宋体" w:cs="宋体"/>
                <w:szCs w:val="21"/>
              </w:rPr>
            </w:pPr>
            <w:r>
              <w:rPr>
                <w:rFonts w:hint="eastAsia" w:hAnsi="宋体" w:cs="宋体"/>
                <w:szCs w:val="21"/>
              </w:rPr>
              <w:t xml:space="preserve">（二）评分依据： </w:t>
            </w:r>
          </w:p>
          <w:p>
            <w:pPr>
              <w:jc w:val="left"/>
              <w:rPr>
                <w:rFonts w:hAnsi="宋体" w:cs="宋体"/>
                <w:szCs w:val="21"/>
              </w:rPr>
            </w:pPr>
            <w:r>
              <w:rPr>
                <w:rFonts w:hint="eastAsia" w:hAnsi="宋体" w:cs="宋体"/>
                <w:szCs w:val="21"/>
              </w:rPr>
              <w:t>1.要求同时提供合同关键信息和已完成，且履约评价合格或者验收合格证明文件作为得分依据，履约评价合格或者验收合格证明文件需加盖合同甲方公章（或甲方业务章）。</w:t>
            </w:r>
          </w:p>
          <w:p>
            <w:pPr>
              <w:jc w:val="left"/>
              <w:rPr>
                <w:rFonts w:hAnsi="宋体" w:cs="宋体"/>
                <w:szCs w:val="21"/>
              </w:rPr>
            </w:pPr>
            <w:r>
              <w:rPr>
                <w:rFonts w:hint="eastAsia" w:hAnsi="宋体" w:cs="宋体"/>
                <w:szCs w:val="21"/>
              </w:rPr>
              <w:t>2.通过合同关键信息无法判断是否得分的，还须同时提供能证明得分的其它证明资料，如项目报告或合同甲方出具的证明文件等。</w:t>
            </w:r>
          </w:p>
          <w:p>
            <w:pPr>
              <w:jc w:val="left"/>
              <w:rPr>
                <w:rFonts w:hAnsi="宋体" w:cs="宋体"/>
                <w:szCs w:val="21"/>
              </w:rPr>
            </w:pPr>
            <w:r>
              <w:rPr>
                <w:rFonts w:hint="eastAsia" w:hAnsi="宋体" w:cs="宋体"/>
                <w:szCs w:val="21"/>
              </w:rPr>
              <w:t>3.以上资料均要求提供扫描件。评分中出现无证明资料或专家无法凭所提供资料判断是否得分的情况，一律作不得分处理。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3894" w:hRule="atLeast"/>
          <w:jc w:val="center"/>
        </w:trPr>
        <w:tc>
          <w:tcPr>
            <w:tcW w:w="0" w:type="auto"/>
            <w:vMerge w:val="continue"/>
            <w:tcBorders>
              <w:top w:val="single" w:color="000000" w:sz="8" w:space="0"/>
              <w:left w:val="single" w:color="000000" w:sz="8" w:space="0"/>
              <w:bottom w:val="single" w:color="000000" w:sz="8" w:space="0"/>
              <w:right w:val="single" w:color="000000" w:sz="8" w:space="0"/>
            </w:tcBorders>
            <w:vAlign w:val="center"/>
          </w:tcPr>
          <w:p>
            <w:pPr>
              <w:rPr>
                <w:rFonts w:ascii="宋体" w:hAnsi="宋体" w:cs="宋体"/>
                <w:b/>
                <w:bCs/>
                <w:color w:val="0000FF"/>
                <w:sz w:val="24"/>
              </w:rPr>
            </w:pPr>
          </w:p>
        </w:tc>
        <w:tc>
          <w:tcPr>
            <w:tcW w:w="675" w:type="dxa"/>
            <w:tcBorders>
              <w:top w:val="single" w:color="000000" w:sz="8" w:space="0"/>
              <w:left w:val="single" w:color="000000" w:sz="8" w:space="0"/>
              <w:bottom w:val="single" w:color="000000" w:sz="8" w:space="0"/>
              <w:right w:val="single" w:color="000000" w:sz="8" w:space="0"/>
            </w:tcBorders>
            <w:vAlign w:val="center"/>
          </w:tcPr>
          <w:p>
            <w:pPr>
              <w:wordWrap w:val="0"/>
              <w:jc w:val="center"/>
              <w:rPr>
                <w:rFonts w:ascii="宋体" w:hAnsi="宋体" w:cs="宋体"/>
                <w:szCs w:val="21"/>
              </w:rPr>
            </w:pPr>
            <w:r>
              <w:rPr>
                <w:rFonts w:hint="eastAsia" w:ascii="宋体" w:hAnsi="宋体"/>
                <w:szCs w:val="21"/>
              </w:rPr>
              <w:t>3</w:t>
            </w:r>
          </w:p>
        </w:tc>
        <w:tc>
          <w:tcPr>
            <w:tcW w:w="2792" w:type="dxa"/>
            <w:tcBorders>
              <w:top w:val="single" w:color="000000" w:sz="8" w:space="0"/>
              <w:left w:val="single" w:color="000000" w:sz="8" w:space="0"/>
              <w:bottom w:val="single" w:color="000000" w:sz="8" w:space="0"/>
              <w:right w:val="single" w:color="000000" w:sz="8" w:space="0"/>
            </w:tcBorders>
            <w:vAlign w:val="center"/>
          </w:tcPr>
          <w:p>
            <w:pPr>
              <w:wordWrap w:val="0"/>
              <w:jc w:val="center"/>
              <w:rPr>
                <w:rFonts w:ascii="宋体" w:hAnsi="宋体" w:cs="宋体"/>
                <w:szCs w:val="21"/>
              </w:rPr>
            </w:pPr>
            <w:r>
              <w:rPr>
                <w:rFonts w:hint="eastAsia" w:ascii="宋体" w:hAnsi="宋体"/>
                <w:szCs w:val="21"/>
              </w:rPr>
              <w:t>供应商自主知识产权产品（创新、设计）情况</w:t>
            </w:r>
          </w:p>
        </w:tc>
        <w:tc>
          <w:tcPr>
            <w:tcW w:w="776" w:type="dxa"/>
            <w:tcBorders>
              <w:top w:val="single" w:color="000000" w:sz="8" w:space="0"/>
              <w:left w:val="single" w:color="000000" w:sz="8" w:space="0"/>
              <w:bottom w:val="single" w:color="000000" w:sz="8" w:space="0"/>
              <w:right w:val="single" w:color="000000" w:sz="8" w:space="0"/>
            </w:tcBorders>
            <w:vAlign w:val="center"/>
          </w:tcPr>
          <w:p>
            <w:pPr>
              <w:wordWrap w:val="0"/>
              <w:jc w:val="center"/>
              <w:rPr>
                <w:rFonts w:ascii="宋体" w:hAnsi="宋体" w:cs="宋体"/>
                <w:szCs w:val="21"/>
              </w:rPr>
            </w:pPr>
            <w:r>
              <w:rPr>
                <w:rFonts w:hint="eastAsia" w:ascii="宋体" w:hAnsi="宋体"/>
                <w:szCs w:val="21"/>
              </w:rPr>
              <w:t>10</w:t>
            </w:r>
          </w:p>
        </w:tc>
        <w:tc>
          <w:tcPr>
            <w:tcW w:w="4153" w:type="dxa"/>
            <w:tcBorders>
              <w:top w:val="single" w:color="000000" w:sz="8" w:space="0"/>
              <w:left w:val="single" w:color="000000" w:sz="8" w:space="0"/>
              <w:bottom w:val="single" w:color="000000" w:sz="8" w:space="0"/>
              <w:right w:val="single" w:color="000000" w:sz="8" w:space="0"/>
            </w:tcBorders>
          </w:tcPr>
          <w:p>
            <w:pPr>
              <w:jc w:val="left"/>
              <w:rPr>
                <w:rFonts w:hAnsi="宋体" w:cs="宋体"/>
                <w:szCs w:val="21"/>
              </w:rPr>
            </w:pPr>
            <w:r>
              <w:rPr>
                <w:rFonts w:hint="eastAsia" w:hAnsi="宋体" w:cs="宋体"/>
                <w:szCs w:val="21"/>
              </w:rPr>
              <w:t xml:space="preserve">（一）评审内容： </w:t>
            </w:r>
          </w:p>
          <w:p>
            <w:pPr>
              <w:jc w:val="left"/>
              <w:rPr>
                <w:rFonts w:hAnsi="宋体" w:cs="宋体"/>
                <w:szCs w:val="21"/>
              </w:rPr>
            </w:pPr>
            <w:r>
              <w:rPr>
                <w:rFonts w:hint="eastAsia" w:hAnsi="宋体" w:cs="宋体"/>
                <w:szCs w:val="21"/>
              </w:rPr>
              <w:t xml:space="preserve">1.提供系统管理平台软件著作权登记证书，符合得 20分； </w:t>
            </w:r>
          </w:p>
          <w:p>
            <w:pPr>
              <w:jc w:val="left"/>
              <w:rPr>
                <w:rFonts w:hAnsi="宋体" w:cs="宋体"/>
                <w:szCs w:val="21"/>
              </w:rPr>
            </w:pPr>
            <w:r>
              <w:rPr>
                <w:rFonts w:hint="eastAsia" w:hAnsi="宋体" w:cs="宋体"/>
                <w:szCs w:val="21"/>
              </w:rPr>
              <w:t xml:space="preserve">2.提供科室成本管理系统软件著作权登记证书，符合得20分； </w:t>
            </w:r>
          </w:p>
          <w:p>
            <w:pPr>
              <w:jc w:val="left"/>
              <w:rPr>
                <w:rFonts w:hAnsi="宋体" w:cs="宋体"/>
                <w:szCs w:val="21"/>
              </w:rPr>
            </w:pPr>
            <w:r>
              <w:rPr>
                <w:rFonts w:hint="eastAsia" w:hAnsi="宋体" w:cs="宋体"/>
                <w:szCs w:val="21"/>
              </w:rPr>
              <w:t xml:space="preserve">3.提供医疗服务项目成本管理系统软件著作权登记证书，符合得20分； </w:t>
            </w:r>
          </w:p>
          <w:p>
            <w:pPr>
              <w:jc w:val="left"/>
              <w:rPr>
                <w:rFonts w:hAnsi="宋体" w:cs="宋体"/>
                <w:szCs w:val="21"/>
              </w:rPr>
            </w:pPr>
            <w:r>
              <w:rPr>
                <w:rFonts w:hint="eastAsia" w:hAnsi="宋体" w:cs="宋体"/>
                <w:szCs w:val="21"/>
              </w:rPr>
              <w:t xml:space="preserve">4.提供DIP成本管理系统软件著作权登记证书，符合得20分； </w:t>
            </w:r>
          </w:p>
          <w:p>
            <w:pPr>
              <w:jc w:val="left"/>
              <w:rPr>
                <w:rFonts w:hAnsi="宋体" w:cs="宋体"/>
                <w:szCs w:val="21"/>
              </w:rPr>
            </w:pPr>
            <w:r>
              <w:rPr>
                <w:rFonts w:hint="eastAsia" w:hAnsi="宋体" w:cs="宋体"/>
                <w:szCs w:val="21"/>
              </w:rPr>
              <w:t>5.提供DRG成本管理系统软件著作权登记证书，符合得20分；</w:t>
            </w:r>
          </w:p>
          <w:p>
            <w:pPr>
              <w:jc w:val="left"/>
              <w:rPr>
                <w:rFonts w:hAnsi="宋体" w:cs="宋体"/>
                <w:szCs w:val="21"/>
              </w:rPr>
            </w:pPr>
            <w:r>
              <w:rPr>
                <w:rFonts w:hint="eastAsia" w:hAnsi="宋体" w:cs="宋体"/>
                <w:szCs w:val="21"/>
              </w:rPr>
              <w:t xml:space="preserve">专家按百分制打分。 </w:t>
            </w:r>
          </w:p>
          <w:p>
            <w:pPr>
              <w:jc w:val="left"/>
              <w:rPr>
                <w:rFonts w:hAnsi="宋体" w:cs="宋体"/>
                <w:szCs w:val="21"/>
              </w:rPr>
            </w:pPr>
            <w:r>
              <w:rPr>
                <w:rFonts w:hint="eastAsia" w:hAnsi="宋体" w:cs="宋体"/>
                <w:szCs w:val="21"/>
              </w:rPr>
              <w:t xml:space="preserve">（二）评分依据: </w:t>
            </w:r>
          </w:p>
          <w:p>
            <w:pPr>
              <w:jc w:val="left"/>
              <w:rPr>
                <w:rFonts w:hAnsi="宋体" w:cs="宋体"/>
                <w:szCs w:val="21"/>
              </w:rPr>
            </w:pPr>
            <w:r>
              <w:rPr>
                <w:rFonts w:hint="eastAsia" w:hAnsi="宋体" w:cs="宋体"/>
                <w:szCs w:val="21"/>
              </w:rPr>
              <w:t xml:space="preserve">1.要求提供有效的证明材料作为得分依据。 </w:t>
            </w:r>
          </w:p>
          <w:p>
            <w:pPr>
              <w:jc w:val="left"/>
              <w:rPr>
                <w:szCs w:val="21"/>
              </w:rPr>
            </w:pPr>
            <w:r>
              <w:rPr>
                <w:rFonts w:hint="eastAsia" w:hAnsi="宋体" w:cs="宋体"/>
                <w:szCs w:val="21"/>
              </w:rPr>
              <w:t>2.以上资料均要求提供扫描件（或官方网站截图）。评分中出现无证明资料或专家无法凭所提供资料判断是否得分的情况，一律作不得分处理。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0" w:type="auto"/>
            <w:vMerge w:val="continue"/>
            <w:tcBorders>
              <w:top w:val="single" w:color="000000" w:sz="8" w:space="0"/>
              <w:left w:val="single" w:color="000000" w:sz="8" w:space="0"/>
              <w:bottom w:val="single" w:color="000000" w:sz="8" w:space="0"/>
              <w:right w:val="single" w:color="000000" w:sz="8" w:space="0"/>
            </w:tcBorders>
            <w:vAlign w:val="center"/>
          </w:tcPr>
          <w:p>
            <w:pPr>
              <w:rPr>
                <w:rFonts w:ascii="宋体" w:hAnsi="宋体" w:cs="宋体"/>
                <w:b/>
                <w:bCs/>
                <w:color w:val="0000FF"/>
                <w:sz w:val="24"/>
              </w:rPr>
            </w:pPr>
          </w:p>
        </w:tc>
        <w:tc>
          <w:tcPr>
            <w:tcW w:w="675"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cs="宋体"/>
                <w:szCs w:val="21"/>
              </w:rPr>
            </w:pPr>
            <w:r>
              <w:rPr>
                <w:rFonts w:ascii="宋体" w:hAnsi="宋体"/>
                <w:szCs w:val="21"/>
              </w:rPr>
              <w:t>4</w:t>
            </w:r>
          </w:p>
        </w:tc>
        <w:tc>
          <w:tcPr>
            <w:tcW w:w="2792"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cs="宋体"/>
                <w:szCs w:val="21"/>
              </w:rPr>
            </w:pPr>
            <w:r>
              <w:rPr>
                <w:rFonts w:hint="eastAsia" w:ascii="宋体" w:hAnsi="宋体"/>
                <w:szCs w:val="21"/>
              </w:rPr>
              <w:t>服务网点</w:t>
            </w:r>
          </w:p>
        </w:tc>
        <w:tc>
          <w:tcPr>
            <w:tcW w:w="776"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cs="宋体"/>
                <w:szCs w:val="21"/>
              </w:rPr>
            </w:pPr>
            <w:r>
              <w:rPr>
                <w:rFonts w:hint="eastAsia" w:ascii="宋体" w:hAnsi="宋体"/>
                <w:szCs w:val="21"/>
              </w:rPr>
              <w:t>2</w:t>
            </w:r>
          </w:p>
        </w:tc>
        <w:tc>
          <w:tcPr>
            <w:tcW w:w="4153" w:type="dxa"/>
            <w:tcBorders>
              <w:top w:val="single" w:color="auto" w:sz="4" w:space="0"/>
              <w:left w:val="single" w:color="auto" w:sz="4" w:space="0"/>
              <w:bottom w:val="single" w:color="auto" w:sz="4" w:space="0"/>
              <w:right w:val="single" w:color="auto" w:sz="4" w:space="0"/>
            </w:tcBorders>
          </w:tcPr>
          <w:p>
            <w:pPr>
              <w:jc w:val="left"/>
              <w:rPr>
                <w:rFonts w:ascii="宋体" w:hAnsi="宋体"/>
                <w:szCs w:val="21"/>
              </w:rPr>
            </w:pPr>
            <w:r>
              <w:rPr>
                <w:rFonts w:hint="eastAsia" w:ascii="宋体" w:hAnsi="宋体"/>
                <w:szCs w:val="21"/>
              </w:rPr>
              <w:t xml:space="preserve">1、深圳供应商，或非深圳供应商但在深圳有合法注册的分公司（或售后机构）（分公司的必须提供分公司营业执照扫描件，售后机构必须同时提供售后服务合作合同及售后机构营业执照扫描件作为得分依据，原件备查）的，得100分；否则不得分。 </w:t>
            </w:r>
          </w:p>
          <w:p>
            <w:pPr>
              <w:jc w:val="left"/>
              <w:rPr>
                <w:rFonts w:ascii="宋体" w:hAnsi="宋体"/>
                <w:szCs w:val="21"/>
              </w:rPr>
            </w:pPr>
            <w:r>
              <w:rPr>
                <w:rFonts w:hint="eastAsia" w:ascii="宋体" w:hAnsi="宋体"/>
                <w:szCs w:val="21"/>
              </w:rPr>
              <w:t>2、外地供应商承诺：中标后设立本地经营（服务）网点的，提供承诺文件（格式自定）的，得80分；未提供承诺或承诺内容不满足要求均不得分。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76" w:type="dxa"/>
            <w:tcBorders>
              <w:top w:val="single" w:color="000000" w:sz="8" w:space="0"/>
              <w:left w:val="single" w:color="000000" w:sz="8" w:space="0"/>
              <w:bottom w:val="single" w:color="auto" w:sz="4" w:space="0"/>
              <w:right w:val="single" w:color="000000" w:sz="8" w:space="0"/>
            </w:tcBorders>
          </w:tcPr>
          <w:p>
            <w:pPr>
              <w:wordWrap w:val="0"/>
              <w:jc w:val="center"/>
              <w:rPr>
                <w:rFonts w:ascii="宋体" w:hAnsi="宋体" w:cs="宋体"/>
                <w:b/>
                <w:bCs/>
                <w:color w:val="0000FF"/>
                <w:sz w:val="24"/>
              </w:rPr>
            </w:pPr>
            <w:r>
              <w:rPr>
                <w:b/>
                <w:bCs/>
                <w:color w:val="0000FF"/>
              </w:rPr>
              <w:t>5</w:t>
            </w:r>
          </w:p>
        </w:tc>
        <w:tc>
          <w:tcPr>
            <w:tcW w:w="4243" w:type="dxa"/>
            <w:gridSpan w:val="3"/>
            <w:tcBorders>
              <w:top w:val="single" w:color="000000" w:sz="8" w:space="0"/>
              <w:left w:val="single" w:color="000000" w:sz="8" w:space="0"/>
              <w:bottom w:val="single" w:color="auto" w:sz="4" w:space="0"/>
              <w:right w:val="single" w:color="000000" w:sz="8" w:space="0"/>
            </w:tcBorders>
          </w:tcPr>
          <w:p>
            <w:pPr>
              <w:wordWrap w:val="0"/>
              <w:jc w:val="center"/>
              <w:rPr>
                <w:rFonts w:ascii="宋体" w:hAnsi="宋体" w:cs="宋体"/>
                <w:b/>
                <w:bCs/>
                <w:color w:val="0000FF"/>
                <w:sz w:val="24"/>
              </w:rPr>
            </w:pPr>
            <w:r>
              <w:rPr>
                <w:b/>
                <w:bCs/>
                <w:color w:val="0000FF"/>
              </w:rPr>
              <w:t>诚信情况</w:t>
            </w:r>
          </w:p>
        </w:tc>
        <w:tc>
          <w:tcPr>
            <w:tcW w:w="4153" w:type="dxa"/>
            <w:tcBorders>
              <w:top w:val="single" w:color="000000" w:sz="8" w:space="0"/>
              <w:left w:val="single" w:color="000000" w:sz="8" w:space="0"/>
              <w:bottom w:val="single" w:color="auto" w:sz="4" w:space="0"/>
              <w:right w:val="single" w:color="000000" w:sz="8" w:space="0"/>
            </w:tcBorders>
          </w:tcPr>
          <w:p>
            <w:pPr>
              <w:wordWrap w:val="0"/>
              <w:jc w:val="center"/>
              <w:rPr>
                <w:rFonts w:ascii="宋体" w:hAnsi="宋体" w:cs="宋体"/>
                <w:b/>
                <w:bCs/>
                <w:color w:val="0000FF"/>
                <w:sz w:val="24"/>
              </w:rPr>
            </w:pPr>
            <w:r>
              <w:rPr>
                <w:b/>
                <w:bCs/>
                <w:color w:val="0000FF"/>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0" w:type="auto"/>
            <w:vMerge w:val="restart"/>
            <w:tcBorders>
              <w:top w:val="single" w:color="000000" w:sz="8" w:space="0"/>
              <w:left w:val="single" w:color="000000" w:sz="8" w:space="0"/>
              <w:bottom w:val="single" w:color="000000" w:sz="8" w:space="0"/>
              <w:right w:val="single" w:color="000000" w:sz="8" w:space="0"/>
            </w:tcBorders>
            <w:shd w:val="clear" w:color="auto" w:fill="E6EFFA"/>
            <w:vAlign w:val="center"/>
          </w:tcPr>
          <w:p>
            <w:pPr>
              <w:rPr>
                <w:rFonts w:ascii="宋体" w:hAnsi="宋体" w:cs="宋体"/>
                <w:b/>
                <w:bCs/>
                <w:color w:val="0000FF"/>
                <w:sz w:val="24"/>
              </w:rPr>
            </w:pPr>
          </w:p>
        </w:tc>
        <w:tc>
          <w:tcPr>
            <w:tcW w:w="675" w:type="dxa"/>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jc w:val="center"/>
              <w:rPr>
                <w:rFonts w:ascii="宋体" w:hAnsi="宋体" w:cs="宋体"/>
                <w:szCs w:val="21"/>
              </w:rPr>
            </w:pPr>
            <w:r>
              <w:rPr>
                <w:szCs w:val="21"/>
              </w:rPr>
              <w:t>序号</w:t>
            </w:r>
          </w:p>
        </w:tc>
        <w:tc>
          <w:tcPr>
            <w:tcW w:w="2792" w:type="dxa"/>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jc w:val="center"/>
              <w:rPr>
                <w:rFonts w:ascii="宋体" w:hAnsi="宋体" w:cs="宋体"/>
                <w:szCs w:val="21"/>
              </w:rPr>
            </w:pPr>
            <w:r>
              <w:rPr>
                <w:szCs w:val="21"/>
              </w:rPr>
              <w:t>评分因素</w:t>
            </w:r>
          </w:p>
        </w:tc>
        <w:tc>
          <w:tcPr>
            <w:tcW w:w="776" w:type="dxa"/>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jc w:val="center"/>
              <w:rPr>
                <w:rFonts w:ascii="宋体" w:hAnsi="宋体" w:cs="宋体"/>
                <w:szCs w:val="21"/>
              </w:rPr>
            </w:pPr>
            <w:r>
              <w:rPr>
                <w:szCs w:val="21"/>
              </w:rPr>
              <w:t>权重(%)</w:t>
            </w:r>
          </w:p>
        </w:tc>
        <w:tc>
          <w:tcPr>
            <w:tcW w:w="4153" w:type="dxa"/>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jc w:val="center"/>
              <w:rPr>
                <w:rFonts w:ascii="宋体" w:hAnsi="宋体" w:cs="宋体"/>
                <w:szCs w:val="21"/>
              </w:rPr>
            </w:pPr>
            <w:r>
              <w:rPr>
                <w:szCs w:val="21"/>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0" w:type="auto"/>
            <w:vMerge w:val="continue"/>
            <w:tcBorders>
              <w:top w:val="single" w:color="000000" w:sz="8" w:space="0"/>
              <w:left w:val="single" w:color="000000" w:sz="8" w:space="0"/>
              <w:bottom w:val="single" w:color="000000" w:sz="8" w:space="0"/>
              <w:right w:val="single" w:color="000000" w:sz="8" w:space="0"/>
            </w:tcBorders>
            <w:vAlign w:val="center"/>
          </w:tcPr>
          <w:p>
            <w:pPr>
              <w:rPr>
                <w:rFonts w:ascii="宋体" w:hAnsi="宋体" w:cs="宋体"/>
                <w:b/>
                <w:bCs/>
                <w:color w:val="0000FF"/>
                <w:sz w:val="24"/>
              </w:rPr>
            </w:pPr>
          </w:p>
        </w:tc>
        <w:tc>
          <w:tcPr>
            <w:tcW w:w="675" w:type="dxa"/>
            <w:tcBorders>
              <w:top w:val="single" w:color="000000" w:sz="8" w:space="0"/>
              <w:left w:val="single" w:color="000000" w:sz="8" w:space="0"/>
              <w:bottom w:val="single" w:color="000000" w:sz="8" w:space="0"/>
              <w:right w:val="single" w:color="000000" w:sz="8" w:space="0"/>
            </w:tcBorders>
            <w:vAlign w:val="center"/>
          </w:tcPr>
          <w:p>
            <w:pPr>
              <w:wordWrap w:val="0"/>
              <w:jc w:val="center"/>
              <w:rPr>
                <w:rFonts w:ascii="宋体" w:hAnsi="宋体"/>
                <w:szCs w:val="21"/>
              </w:rPr>
            </w:pPr>
            <w:r>
              <w:rPr>
                <w:rFonts w:ascii="宋体" w:hAnsi="宋体"/>
                <w:szCs w:val="21"/>
              </w:rPr>
              <w:t>1</w:t>
            </w:r>
          </w:p>
        </w:tc>
        <w:tc>
          <w:tcPr>
            <w:tcW w:w="2792" w:type="dxa"/>
            <w:tcBorders>
              <w:top w:val="single" w:color="000000" w:sz="8" w:space="0"/>
              <w:left w:val="single" w:color="000000" w:sz="8" w:space="0"/>
              <w:bottom w:val="single" w:color="000000" w:sz="8" w:space="0"/>
              <w:right w:val="single" w:color="000000" w:sz="8" w:space="0"/>
            </w:tcBorders>
            <w:vAlign w:val="center"/>
          </w:tcPr>
          <w:p>
            <w:pPr>
              <w:wordWrap w:val="0"/>
              <w:rPr>
                <w:rFonts w:ascii="宋体" w:hAnsi="宋体"/>
                <w:szCs w:val="21"/>
              </w:rPr>
            </w:pPr>
            <w:r>
              <w:rPr>
                <w:rFonts w:ascii="宋体" w:hAnsi="宋体"/>
                <w:szCs w:val="21"/>
              </w:rPr>
              <w:t>诚信情况</w:t>
            </w:r>
          </w:p>
        </w:tc>
        <w:tc>
          <w:tcPr>
            <w:tcW w:w="776" w:type="dxa"/>
            <w:tcBorders>
              <w:top w:val="single" w:color="000000" w:sz="8" w:space="0"/>
              <w:left w:val="single" w:color="000000" w:sz="8" w:space="0"/>
              <w:bottom w:val="single" w:color="000000" w:sz="8" w:space="0"/>
              <w:right w:val="single" w:color="000000" w:sz="8" w:space="0"/>
            </w:tcBorders>
            <w:vAlign w:val="center"/>
          </w:tcPr>
          <w:p>
            <w:pPr>
              <w:wordWrap w:val="0"/>
              <w:jc w:val="center"/>
              <w:rPr>
                <w:rFonts w:ascii="宋体" w:hAnsi="宋体" w:cs="宋体"/>
                <w:szCs w:val="21"/>
              </w:rPr>
            </w:pPr>
            <w:r>
              <w:rPr>
                <w:szCs w:val="21"/>
              </w:rPr>
              <w:t>5</w:t>
            </w:r>
          </w:p>
        </w:tc>
        <w:tc>
          <w:tcPr>
            <w:tcW w:w="4153" w:type="dxa"/>
            <w:tcBorders>
              <w:top w:val="single" w:color="000000" w:sz="8" w:space="0"/>
              <w:left w:val="single" w:color="000000" w:sz="8" w:space="0"/>
              <w:bottom w:val="single" w:color="000000" w:sz="8" w:space="0"/>
              <w:right w:val="single" w:color="000000" w:sz="8" w:space="0"/>
            </w:tcBorders>
          </w:tcPr>
          <w:p>
            <w:pPr>
              <w:wordWrap w:val="0"/>
              <w:rPr>
                <w:rFonts w:ascii="宋体" w:hAnsi="宋体" w:cs="宋体"/>
                <w:szCs w:val="21"/>
              </w:rPr>
            </w:pPr>
            <w:r>
              <w:rPr>
                <w:szCs w:val="21"/>
              </w:rPr>
              <w:t>投标人在参与政府采购活动中存在诚信相关问题且在主管部门相关处理措施实施期限内的，本项不得分，否则得满分。投标人无需提供任何证明材料，由工作人员向评审委员会提供相关信息。</w:t>
            </w:r>
          </w:p>
        </w:tc>
      </w:tr>
    </w:tbl>
    <w:p>
      <w:pPr>
        <w:pStyle w:val="37"/>
        <w:outlineLvl w:val="1"/>
        <w:rPr>
          <w:rFonts w:ascii="黑体" w:hAnsi="黑体" w:eastAsia="黑体"/>
          <w:sz w:val="40"/>
          <w:szCs w:val="40"/>
        </w:rPr>
      </w:pPr>
    </w:p>
    <w:p>
      <w:pPr>
        <w:pStyle w:val="37"/>
        <w:spacing w:line="360" w:lineRule="auto"/>
        <w:jc w:val="center"/>
        <w:outlineLvl w:val="1"/>
        <w:rPr>
          <w:rFonts w:ascii="黑体" w:hAnsi="黑体" w:eastAsia="黑体"/>
          <w:sz w:val="40"/>
          <w:szCs w:val="40"/>
        </w:rPr>
      </w:pPr>
      <w:r>
        <w:rPr>
          <w:rFonts w:hint="eastAsia" w:ascii="黑体" w:hAnsi="黑体" w:eastAsia="黑体"/>
          <w:sz w:val="40"/>
          <w:szCs w:val="40"/>
        </w:rPr>
        <w:t>投标书目录</w:t>
      </w:r>
    </w:p>
    <w:tbl>
      <w:tblPr>
        <w:tblStyle w:val="42"/>
        <w:tblW w:w="9072" w:type="dxa"/>
        <w:jc w:val="center"/>
        <w:tblCellSpacing w:w="0" w:type="dxa"/>
        <w:tblLayout w:type="autofit"/>
        <w:tblCellMar>
          <w:top w:w="45" w:type="dxa"/>
          <w:left w:w="45" w:type="dxa"/>
          <w:bottom w:w="45" w:type="dxa"/>
          <w:right w:w="45" w:type="dxa"/>
        </w:tblCellMar>
      </w:tblPr>
      <w:tblGrid>
        <w:gridCol w:w="9072"/>
      </w:tblGrid>
      <w:tr>
        <w:tblPrEx>
          <w:tblCellMar>
            <w:top w:w="45" w:type="dxa"/>
            <w:left w:w="45" w:type="dxa"/>
            <w:bottom w:w="45" w:type="dxa"/>
            <w:right w:w="45" w:type="dxa"/>
          </w:tblCellMar>
        </w:tblPrEx>
        <w:trPr>
          <w:tblCellSpacing w:w="0" w:type="dxa"/>
          <w:jc w:val="center"/>
        </w:trPr>
        <w:tc>
          <w:tcPr>
            <w:tcW w:w="0" w:type="auto"/>
            <w:vAlign w:val="center"/>
          </w:tcPr>
          <w:p>
            <w:pPr>
              <w:widowControl/>
              <w:numPr>
                <w:ilvl w:val="0"/>
                <w:numId w:val="12"/>
              </w:numPr>
              <w:spacing w:line="360" w:lineRule="auto"/>
              <w:ind w:left="714" w:hanging="357"/>
              <w:jc w:val="left"/>
              <w:rPr>
                <w:rFonts w:ascii="宋体" w:hAnsi="宋体" w:cs="宋体"/>
                <w:szCs w:val="21"/>
              </w:rPr>
            </w:pPr>
            <w:r>
              <w:rPr>
                <w:rFonts w:hint="eastAsia" w:ascii="宋体" w:hAnsi="宋体" w:cs="宋体"/>
                <w:szCs w:val="21"/>
              </w:rPr>
              <w:t>（1）投标函</w:t>
            </w:r>
          </w:p>
          <w:p>
            <w:pPr>
              <w:widowControl/>
              <w:numPr>
                <w:ilvl w:val="0"/>
                <w:numId w:val="12"/>
              </w:numPr>
              <w:spacing w:line="360" w:lineRule="auto"/>
              <w:ind w:left="714" w:hanging="357"/>
              <w:jc w:val="left"/>
              <w:rPr>
                <w:rFonts w:ascii="宋体" w:hAnsi="宋体" w:cs="宋体"/>
                <w:szCs w:val="21"/>
              </w:rPr>
            </w:pPr>
            <w:r>
              <w:rPr>
                <w:rFonts w:hint="eastAsia" w:ascii="宋体" w:hAnsi="宋体" w:cs="宋体"/>
                <w:szCs w:val="21"/>
              </w:rPr>
              <w:t>（2）政府采购投标及履约承诺函</w:t>
            </w:r>
          </w:p>
          <w:p>
            <w:pPr>
              <w:widowControl/>
              <w:numPr>
                <w:ilvl w:val="0"/>
                <w:numId w:val="12"/>
              </w:numPr>
              <w:spacing w:line="360" w:lineRule="auto"/>
              <w:ind w:left="714" w:hanging="357"/>
              <w:jc w:val="left"/>
              <w:rPr>
                <w:rFonts w:ascii="宋体" w:hAnsi="宋体" w:cs="宋体"/>
                <w:szCs w:val="21"/>
              </w:rPr>
            </w:pPr>
            <w:r>
              <w:rPr>
                <w:rFonts w:hint="eastAsia" w:ascii="宋体" w:hAnsi="宋体" w:cs="宋体"/>
                <w:szCs w:val="21"/>
              </w:rPr>
              <w:t>（3）投标人情况及资格证明文件</w:t>
            </w:r>
          </w:p>
          <w:p>
            <w:pPr>
              <w:widowControl/>
              <w:numPr>
                <w:ilvl w:val="0"/>
                <w:numId w:val="12"/>
              </w:numPr>
              <w:spacing w:line="360" w:lineRule="auto"/>
              <w:ind w:left="714" w:hanging="357"/>
              <w:jc w:val="left"/>
              <w:rPr>
                <w:rFonts w:ascii="宋体" w:hAnsi="宋体" w:cs="宋体"/>
                <w:szCs w:val="21"/>
              </w:rPr>
            </w:pPr>
            <w:r>
              <w:rPr>
                <w:rFonts w:hint="eastAsia" w:ascii="宋体" w:hAnsi="宋体" w:cs="宋体"/>
                <w:szCs w:val="21"/>
              </w:rPr>
              <w:t>（4）项目详细报价</w:t>
            </w:r>
          </w:p>
          <w:p>
            <w:pPr>
              <w:widowControl/>
              <w:numPr>
                <w:ilvl w:val="0"/>
                <w:numId w:val="12"/>
              </w:numPr>
              <w:spacing w:line="360" w:lineRule="auto"/>
              <w:jc w:val="left"/>
              <w:rPr>
                <w:rFonts w:ascii="宋体" w:hAnsi="宋体" w:cs="宋体"/>
                <w:szCs w:val="21"/>
                <w:highlight w:val="yellow"/>
              </w:rPr>
            </w:pPr>
            <w:r>
              <w:rPr>
                <w:rFonts w:hint="eastAsia" w:ascii="宋体" w:hAnsi="宋体" w:cs="宋体"/>
                <w:szCs w:val="21"/>
                <w:highlight w:val="yellow"/>
              </w:rPr>
              <w:t>（5）供应商资格（资质、认证）情况</w:t>
            </w:r>
          </w:p>
          <w:p>
            <w:pPr>
              <w:widowControl/>
              <w:numPr>
                <w:ilvl w:val="0"/>
                <w:numId w:val="12"/>
              </w:numPr>
              <w:spacing w:line="360" w:lineRule="auto"/>
              <w:jc w:val="left"/>
              <w:rPr>
                <w:rFonts w:ascii="宋体" w:hAnsi="宋体" w:cs="宋体"/>
                <w:szCs w:val="21"/>
                <w:highlight w:val="yellow"/>
              </w:rPr>
            </w:pPr>
            <w:r>
              <w:rPr>
                <w:rFonts w:hint="eastAsia" w:ascii="宋体" w:hAnsi="宋体" w:cs="宋体"/>
                <w:szCs w:val="21"/>
                <w:highlight w:val="yellow"/>
              </w:rPr>
              <w:t>（6）</w:t>
            </w:r>
            <w:r>
              <w:rPr>
                <w:rFonts w:hint="eastAsia" w:ascii="宋体" w:hAnsi="宋体"/>
                <w:szCs w:val="21"/>
                <w:highlight w:val="yellow"/>
              </w:rPr>
              <w:t>供应商同类项目业绩情况</w:t>
            </w:r>
          </w:p>
          <w:p>
            <w:pPr>
              <w:widowControl/>
              <w:numPr>
                <w:ilvl w:val="0"/>
                <w:numId w:val="12"/>
              </w:numPr>
              <w:spacing w:line="360" w:lineRule="auto"/>
              <w:jc w:val="left"/>
              <w:rPr>
                <w:rFonts w:ascii="宋体" w:hAnsi="宋体" w:cs="宋体"/>
                <w:szCs w:val="21"/>
                <w:highlight w:val="yellow"/>
              </w:rPr>
            </w:pPr>
            <w:r>
              <w:rPr>
                <w:rFonts w:hint="eastAsia" w:ascii="宋体" w:hAnsi="宋体"/>
                <w:szCs w:val="21"/>
                <w:highlight w:val="yellow"/>
              </w:rPr>
              <w:t>（7）供应商自主知识产权产品（创新、设计）情况</w:t>
            </w:r>
          </w:p>
          <w:p>
            <w:pPr>
              <w:widowControl/>
              <w:numPr>
                <w:ilvl w:val="0"/>
                <w:numId w:val="12"/>
              </w:numPr>
              <w:spacing w:line="360" w:lineRule="auto"/>
              <w:jc w:val="left"/>
              <w:rPr>
                <w:rFonts w:ascii="宋体" w:hAnsi="宋体" w:cs="宋体"/>
                <w:szCs w:val="21"/>
                <w:highlight w:val="yellow"/>
              </w:rPr>
            </w:pPr>
            <w:r>
              <w:rPr>
                <w:rFonts w:hint="eastAsia" w:ascii="宋体" w:hAnsi="宋体"/>
                <w:szCs w:val="21"/>
                <w:highlight w:val="yellow"/>
              </w:rPr>
              <w:t>（8）服务网点</w:t>
            </w:r>
          </w:p>
        </w:tc>
      </w:tr>
    </w:tbl>
    <w:p>
      <w:pPr>
        <w:spacing w:line="360" w:lineRule="auto"/>
        <w:rPr>
          <w:rFonts w:ascii="宋体" w:hAnsi="宋体"/>
          <w:sz w:val="24"/>
        </w:rPr>
      </w:pPr>
    </w:p>
    <w:p/>
    <w:p>
      <w:r>
        <w:rPr>
          <w:rFonts w:hint="eastAsia"/>
        </w:rPr>
        <w:t>---------------------------------------------------------------</w:t>
      </w:r>
    </w:p>
    <w:p>
      <w:pPr>
        <w:ind w:firstLine="422" w:firstLineChars="200"/>
        <w:rPr>
          <w:b/>
          <w:i/>
        </w:rPr>
        <w:sectPr>
          <w:pgSz w:w="11907" w:h="16840"/>
          <w:pgMar w:top="1440" w:right="1417" w:bottom="1440" w:left="1417" w:header="851" w:footer="992" w:gutter="0"/>
          <w:cols w:space="425" w:num="1"/>
          <w:titlePg/>
          <w:docGrid w:linePitch="462" w:charSpace="0"/>
        </w:sectPr>
      </w:pPr>
      <w:r>
        <w:rPr>
          <w:rFonts w:hint="eastAsia"/>
          <w:b/>
          <w:i/>
          <w:highlight w:val="yellow"/>
        </w:rPr>
        <w:t>以上内容由标书编制软件生成</w:t>
      </w:r>
    </w:p>
    <w:p>
      <w:pPr>
        <w:jc w:val="center"/>
        <w:rPr>
          <w:b/>
          <w:sz w:val="120"/>
          <w:szCs w:val="120"/>
        </w:rPr>
      </w:pPr>
      <w:r>
        <w:rPr>
          <w:rFonts w:hint="eastAsia"/>
          <w:b/>
          <w:sz w:val="120"/>
          <w:szCs w:val="120"/>
        </w:rPr>
        <w:t>政府采购</w:t>
      </w:r>
    </w:p>
    <w:p>
      <w:pPr>
        <w:jc w:val="center"/>
        <w:rPr>
          <w:b/>
          <w:sz w:val="120"/>
          <w:szCs w:val="120"/>
        </w:rPr>
      </w:pPr>
      <w:r>
        <w:rPr>
          <w:rFonts w:hint="eastAsia"/>
          <w:b/>
          <w:sz w:val="120"/>
          <w:szCs w:val="120"/>
        </w:rPr>
        <w:t>招标文件</w:t>
      </w:r>
    </w:p>
    <w:p>
      <w:pPr>
        <w:jc w:val="center"/>
        <w:rPr>
          <w:b/>
          <w:sz w:val="52"/>
          <w:szCs w:val="52"/>
        </w:rPr>
      </w:pPr>
      <w:r>
        <w:rPr>
          <w:rFonts w:hint="eastAsia"/>
          <w:b/>
          <w:sz w:val="52"/>
          <w:szCs w:val="52"/>
        </w:rPr>
        <w:t>（服务类）</w:t>
      </w:r>
    </w:p>
    <w:p/>
    <w:p/>
    <w:p/>
    <w:p/>
    <w:p/>
    <w:p/>
    <w:p/>
    <w:p/>
    <w:p/>
    <w:p/>
    <w:p/>
    <w:p/>
    <w:p/>
    <w:p/>
    <w:p/>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bookmarkStart w:id="0" w:name="_Hlk71465316"/>
      <w:r>
        <w:rPr>
          <w:rFonts w:hint="eastAsia"/>
          <w:b/>
          <w:sz w:val="44"/>
          <w:szCs w:val="44"/>
        </w:rPr>
        <w:t>深圳公共资源交易中心</w:t>
      </w:r>
    </w:p>
    <w:p>
      <w:pPr>
        <w:jc w:val="center"/>
        <w:rPr>
          <w:sz w:val="28"/>
          <w:szCs w:val="28"/>
        </w:rPr>
      </w:pPr>
      <w:r>
        <w:rPr>
          <w:rFonts w:hint="eastAsia"/>
          <w:b/>
          <w:sz w:val="28"/>
          <w:szCs w:val="28"/>
        </w:rPr>
        <w:t>（</w:t>
      </w:r>
      <w:r>
        <w:rPr>
          <w:b/>
          <w:sz w:val="28"/>
          <w:szCs w:val="28"/>
        </w:rPr>
        <w:t>20</w:t>
      </w:r>
      <w:r>
        <w:rPr>
          <w:rFonts w:hint="eastAsia"/>
          <w:b/>
          <w:sz w:val="28"/>
          <w:szCs w:val="28"/>
        </w:rPr>
        <w:t>2</w:t>
      </w:r>
      <w:r>
        <w:rPr>
          <w:b/>
          <w:sz w:val="28"/>
          <w:szCs w:val="28"/>
        </w:rPr>
        <w:t>1</w:t>
      </w:r>
      <w:r>
        <w:rPr>
          <w:rFonts w:hint="eastAsia"/>
          <w:b/>
          <w:sz w:val="28"/>
          <w:szCs w:val="28"/>
        </w:rPr>
        <w:t>年修订版）</w:t>
      </w:r>
      <w:bookmarkEnd w:id="0"/>
    </w:p>
    <w:p>
      <w:pPr>
        <w:ind w:firstLine="3150" w:firstLineChars="1500"/>
        <w:rPr>
          <w:rFonts w:ascii="宋体" w:hAnsi="宋体"/>
          <w:color w:val="FF0000"/>
          <w:szCs w:val="21"/>
        </w:rPr>
      </w:pPr>
      <w:r>
        <w:rPr>
          <w:rFonts w:hint="eastAsia"/>
        </w:rPr>
        <w:br w:type="page"/>
      </w:r>
      <w:r>
        <w:rPr>
          <w:rFonts w:hint="eastAsia" w:ascii="宋体" w:hAnsi="宋体" w:eastAsia="黑体"/>
          <w:b/>
          <w:bCs/>
          <w:color w:val="FF0000"/>
          <w:kern w:val="44"/>
          <w:sz w:val="28"/>
          <w:szCs w:val="44"/>
        </w:rPr>
        <w:t>警示条款</w:t>
      </w:r>
    </w:p>
    <w:p>
      <w:pPr>
        <w:ind w:firstLine="400" w:firstLineChars="200"/>
        <w:rPr>
          <w:rFonts w:ascii="宋体" w:hAnsi="宋体"/>
          <w:color w:val="FF0000"/>
          <w:sz w:val="20"/>
          <w:szCs w:val="20"/>
        </w:rPr>
      </w:pPr>
      <w:r>
        <w:rPr>
          <w:rFonts w:hint="eastAsia" w:ascii="宋体" w:hAnsi="宋体"/>
          <w:color w:val="FF0000"/>
          <w:sz w:val="20"/>
          <w:szCs w:val="20"/>
        </w:rPr>
        <w:t>一、</w:t>
      </w:r>
      <w:r>
        <w:rPr>
          <w:rFonts w:hint="eastAsia" w:ascii="宋体" w:hAnsi="宋体"/>
          <w:b/>
          <w:bCs/>
          <w:color w:val="FF0000"/>
          <w:sz w:val="20"/>
          <w:szCs w:val="20"/>
        </w:rPr>
        <w:t>《深圳经济特区政府采购条例》第五十七条</w:t>
      </w:r>
      <w:r>
        <w:rPr>
          <w:rFonts w:hint="eastAsia" w:ascii="宋体" w:hAnsi="宋体"/>
          <w:color w:val="FF0000"/>
          <w:sz w:val="20"/>
          <w:szCs w:val="20"/>
        </w:rPr>
        <w:t xml:space="preserve">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pPr>
        <w:ind w:firstLine="400" w:firstLineChars="200"/>
        <w:rPr>
          <w:rFonts w:ascii="宋体" w:hAnsi="宋体"/>
          <w:color w:val="FF0000"/>
          <w:sz w:val="20"/>
          <w:szCs w:val="20"/>
        </w:rPr>
      </w:pPr>
      <w:r>
        <w:rPr>
          <w:rFonts w:hint="eastAsia" w:ascii="宋体" w:hAnsi="宋体"/>
          <w:color w:val="FF0000"/>
          <w:sz w:val="20"/>
          <w:szCs w:val="20"/>
        </w:rPr>
        <w:t>（一）在采购活动中应当回避而未回避的；</w:t>
      </w:r>
    </w:p>
    <w:p>
      <w:pPr>
        <w:ind w:firstLine="400" w:firstLineChars="200"/>
        <w:rPr>
          <w:rFonts w:ascii="宋体" w:hAnsi="宋体"/>
          <w:color w:val="FF0000"/>
          <w:sz w:val="20"/>
          <w:szCs w:val="20"/>
        </w:rPr>
      </w:pPr>
      <w:r>
        <w:rPr>
          <w:rFonts w:hint="eastAsia" w:ascii="宋体" w:hAnsi="宋体"/>
          <w:color w:val="FF0000"/>
          <w:sz w:val="20"/>
          <w:szCs w:val="20"/>
        </w:rPr>
        <w:t>（二）未按本条例规定签订、履行采购合同，造成严重后果的；</w:t>
      </w:r>
    </w:p>
    <w:p>
      <w:pPr>
        <w:ind w:firstLine="400" w:firstLineChars="200"/>
        <w:rPr>
          <w:rFonts w:ascii="宋体" w:hAnsi="宋体"/>
          <w:color w:val="FF0000"/>
          <w:sz w:val="20"/>
          <w:szCs w:val="20"/>
        </w:rPr>
      </w:pPr>
      <w:r>
        <w:rPr>
          <w:rFonts w:hint="eastAsia" w:ascii="宋体" w:hAnsi="宋体"/>
          <w:color w:val="FF0000"/>
          <w:sz w:val="20"/>
          <w:szCs w:val="20"/>
        </w:rPr>
        <w:t>（三）隐瞒真实情况，提供虚假资料的；</w:t>
      </w:r>
    </w:p>
    <w:p>
      <w:pPr>
        <w:ind w:firstLine="400" w:firstLineChars="200"/>
        <w:rPr>
          <w:rFonts w:ascii="宋体" w:hAnsi="宋体"/>
          <w:color w:val="FF0000"/>
          <w:sz w:val="20"/>
          <w:szCs w:val="20"/>
        </w:rPr>
      </w:pPr>
      <w:r>
        <w:rPr>
          <w:rFonts w:hint="eastAsia" w:ascii="宋体" w:hAnsi="宋体"/>
          <w:color w:val="FF0000"/>
          <w:sz w:val="20"/>
          <w:szCs w:val="20"/>
        </w:rPr>
        <w:t>（四）以非法手段排斥其他供应商参与竞争的；</w:t>
      </w:r>
    </w:p>
    <w:p>
      <w:pPr>
        <w:ind w:firstLine="400" w:firstLineChars="200"/>
        <w:rPr>
          <w:rFonts w:ascii="宋体" w:hAnsi="宋体"/>
          <w:color w:val="FF0000"/>
          <w:sz w:val="20"/>
          <w:szCs w:val="20"/>
        </w:rPr>
      </w:pPr>
      <w:r>
        <w:rPr>
          <w:rFonts w:hint="eastAsia" w:ascii="宋体" w:hAnsi="宋体"/>
          <w:color w:val="FF0000"/>
          <w:sz w:val="20"/>
          <w:szCs w:val="20"/>
        </w:rPr>
        <w:t>（五）与其他采购参加人串通投标的；</w:t>
      </w:r>
    </w:p>
    <w:p>
      <w:pPr>
        <w:ind w:firstLine="400" w:firstLineChars="200"/>
        <w:rPr>
          <w:rFonts w:ascii="宋体" w:hAnsi="宋体"/>
          <w:color w:val="FF0000"/>
          <w:sz w:val="20"/>
          <w:szCs w:val="20"/>
        </w:rPr>
      </w:pPr>
      <w:r>
        <w:rPr>
          <w:rFonts w:hint="eastAsia" w:ascii="宋体" w:hAnsi="宋体"/>
          <w:color w:val="FF0000"/>
          <w:sz w:val="20"/>
          <w:szCs w:val="20"/>
        </w:rPr>
        <w:t>（六）恶意投诉的；</w:t>
      </w:r>
    </w:p>
    <w:p>
      <w:pPr>
        <w:ind w:firstLine="400" w:firstLineChars="200"/>
        <w:rPr>
          <w:rFonts w:ascii="宋体" w:hAnsi="宋体"/>
          <w:color w:val="FF0000"/>
          <w:sz w:val="20"/>
          <w:szCs w:val="20"/>
        </w:rPr>
      </w:pPr>
      <w:r>
        <w:rPr>
          <w:rFonts w:hint="eastAsia" w:ascii="宋体" w:hAnsi="宋体"/>
          <w:color w:val="FF0000"/>
          <w:sz w:val="20"/>
          <w:szCs w:val="20"/>
        </w:rPr>
        <w:t>（七）向采购项目相关人行贿或者提供其他不当利益的；</w:t>
      </w:r>
    </w:p>
    <w:p>
      <w:pPr>
        <w:ind w:firstLine="400" w:firstLineChars="200"/>
        <w:rPr>
          <w:rFonts w:ascii="宋体" w:hAnsi="宋体"/>
          <w:color w:val="FF0000"/>
          <w:sz w:val="20"/>
          <w:szCs w:val="20"/>
        </w:rPr>
      </w:pPr>
      <w:r>
        <w:rPr>
          <w:rFonts w:hint="eastAsia" w:ascii="宋体" w:hAnsi="宋体"/>
          <w:color w:val="FF0000"/>
          <w:sz w:val="20"/>
          <w:szCs w:val="20"/>
        </w:rPr>
        <w:t>（八）阻碍、抗拒主管部门监督检查的；</w:t>
      </w:r>
    </w:p>
    <w:p>
      <w:pPr>
        <w:ind w:firstLine="400" w:firstLineChars="200"/>
        <w:rPr>
          <w:rFonts w:ascii="宋体" w:hAnsi="宋体"/>
          <w:color w:val="FF0000"/>
          <w:sz w:val="20"/>
          <w:szCs w:val="20"/>
        </w:rPr>
      </w:pPr>
      <w:r>
        <w:rPr>
          <w:rFonts w:hint="eastAsia" w:ascii="宋体" w:hAnsi="宋体"/>
          <w:color w:val="FF0000"/>
          <w:sz w:val="20"/>
          <w:szCs w:val="20"/>
        </w:rPr>
        <w:t>（九）其他违反本条例规定的行为。</w:t>
      </w:r>
    </w:p>
    <w:p>
      <w:pPr>
        <w:ind w:firstLine="400" w:firstLineChars="200"/>
        <w:rPr>
          <w:rFonts w:ascii="宋体" w:hAnsi="宋体"/>
          <w:color w:val="FF0000"/>
          <w:sz w:val="20"/>
          <w:szCs w:val="20"/>
        </w:rPr>
      </w:pPr>
      <w:r>
        <w:rPr>
          <w:rFonts w:hint="eastAsia" w:ascii="宋体" w:hAnsi="宋体"/>
          <w:color w:val="FF0000"/>
          <w:sz w:val="20"/>
          <w:szCs w:val="20"/>
        </w:rPr>
        <w:t>二、</w:t>
      </w:r>
      <w:r>
        <w:rPr>
          <w:rFonts w:hint="eastAsia" w:ascii="宋体" w:hAnsi="宋体"/>
          <w:b/>
          <w:bCs/>
          <w:color w:val="FF0000"/>
          <w:sz w:val="20"/>
          <w:szCs w:val="20"/>
        </w:rPr>
        <w:t>《深圳经济特区政府采购条例实施细则》第七十六条</w:t>
      </w:r>
      <w:r>
        <w:rPr>
          <w:rFonts w:hint="eastAsia" w:ascii="宋体" w:hAnsi="宋体"/>
          <w:color w:val="FF0000"/>
          <w:sz w:val="20"/>
          <w:szCs w:val="20"/>
        </w:rPr>
        <w:t xml:space="preserve"> 供应商有下列行为之一的，由主管部门记入供应商诚信档案并作出以下处罚：</w:t>
      </w:r>
    </w:p>
    <w:p>
      <w:pPr>
        <w:ind w:firstLine="400" w:firstLineChars="200"/>
        <w:rPr>
          <w:rFonts w:ascii="宋体" w:hAnsi="宋体"/>
          <w:color w:val="FF0000"/>
          <w:sz w:val="20"/>
          <w:szCs w:val="20"/>
        </w:rPr>
      </w:pPr>
      <w:r>
        <w:rPr>
          <w:rFonts w:hint="eastAsia" w:ascii="宋体" w:hAnsi="宋体"/>
          <w:color w:val="FF0000"/>
          <w:sz w:val="20"/>
          <w:szCs w:val="20"/>
        </w:rPr>
        <w:t>（一）违法行为属于采购条例第五十七条的（一）、（二）、（三）、（四）、（六）、（八）、（九）项情形，涉及的采购金额累计在五十万元以下的，处以采购金额千分之十的罚款，一年内禁止其参与本市政府采购；涉及的采购金额累计在五十万元以上两百万元以下的，处以采购金额千分之十五的罚款，两年内禁止其参与本市政府采购；涉及的采购金额累计在两百万以上五百万以下的，处以采购金额千分之二十的罚款，三年内禁止其参与本市政府采购。</w:t>
      </w:r>
    </w:p>
    <w:p>
      <w:pPr>
        <w:ind w:firstLine="400" w:firstLineChars="200"/>
        <w:rPr>
          <w:rFonts w:ascii="宋体" w:hAnsi="宋体"/>
          <w:color w:val="FF0000"/>
          <w:sz w:val="20"/>
          <w:szCs w:val="20"/>
        </w:rPr>
      </w:pPr>
      <w:r>
        <w:rPr>
          <w:rFonts w:hint="eastAsia" w:ascii="宋体" w:hAnsi="宋体"/>
          <w:color w:val="FF0000"/>
          <w:sz w:val="20"/>
          <w:szCs w:val="20"/>
        </w:rPr>
        <w:t>（二）违法行为属于采购条例第五十七条第（五）、（七）项情形，涉及的采购金额累计在一百万元以下，处以采购金额千分之十五的罚款，两年内禁止其参与本市政府采购；涉及的采购金额累计在一百万以上两百万以下的，处以采购金额千分之二十的罚款，三年内禁止其参与本市政府采购。</w:t>
      </w:r>
    </w:p>
    <w:p>
      <w:pPr>
        <w:ind w:firstLine="402" w:firstLineChars="200"/>
        <w:rPr>
          <w:rFonts w:ascii="宋体" w:hAnsi="宋体"/>
          <w:color w:val="FF0000"/>
          <w:sz w:val="20"/>
          <w:szCs w:val="20"/>
        </w:rPr>
      </w:pPr>
      <w:r>
        <w:rPr>
          <w:rFonts w:hint="eastAsia" w:ascii="宋体" w:hAnsi="宋体"/>
          <w:b/>
          <w:bCs/>
          <w:color w:val="FF0000"/>
          <w:sz w:val="20"/>
          <w:szCs w:val="20"/>
        </w:rPr>
        <w:t>三、《深圳经济特区政府采购条例实施细则》第七十七条 </w:t>
      </w:r>
      <w:r>
        <w:rPr>
          <w:rFonts w:hint="eastAsia" w:ascii="宋体" w:hAnsi="宋体"/>
          <w:color w:val="FF0000"/>
          <w:sz w:val="20"/>
          <w:szCs w:val="20"/>
        </w:rPr>
        <w:t>供应商有下列行为之一的，属于情节严重，由市场监管部门依法吊销其营业执照，主管部门取消其参与本市政府采购的资格，并作出以下处罚：</w:t>
      </w:r>
    </w:p>
    <w:p>
      <w:pPr>
        <w:ind w:firstLine="400" w:firstLineChars="200"/>
        <w:rPr>
          <w:rFonts w:ascii="宋体" w:hAnsi="宋体"/>
          <w:color w:val="FF0000"/>
          <w:sz w:val="20"/>
          <w:szCs w:val="20"/>
        </w:rPr>
      </w:pPr>
      <w:r>
        <w:rPr>
          <w:rFonts w:hint="eastAsia" w:ascii="宋体" w:hAnsi="宋体"/>
          <w:color w:val="FF0000"/>
          <w:sz w:val="20"/>
          <w:szCs w:val="20"/>
        </w:rPr>
        <w:t>（一）违法行为属于采购条例第五十七条的（一）、（二）、（三）、（四）、（六）、（八）、（九）项情形，涉及的采购金额累计在五百万元以上一千万元以下的，处以采购金额千分之二十的罚款；涉及的采购金额累计在一千万元以上两千万元以下的，处以采购金额千分之二十五的罚款；涉及的采购金额累计在两千万元以上的，处以采购金额千分之三十的罚款；</w:t>
      </w:r>
    </w:p>
    <w:p>
      <w:pPr>
        <w:ind w:firstLine="400" w:firstLineChars="200"/>
        <w:rPr>
          <w:rFonts w:ascii="宋体" w:hAnsi="宋体"/>
          <w:color w:val="FF0000"/>
          <w:sz w:val="20"/>
          <w:szCs w:val="20"/>
        </w:rPr>
      </w:pPr>
      <w:r>
        <w:rPr>
          <w:rFonts w:hint="eastAsia" w:ascii="宋体" w:hAnsi="宋体"/>
          <w:color w:val="FF0000"/>
          <w:sz w:val="20"/>
          <w:szCs w:val="20"/>
        </w:rPr>
        <w:t>（二）违法行为属于采购条例第五十七条第（五）、（七）项情形，涉及的采购金额累计在两百万元以上五百万元以下的，处以采购金额千分之二十五的罚款；涉及的采购金额累计在五百万元以上的，处以采购金额千分之三十的罚款。</w:t>
      </w:r>
    </w:p>
    <w:p>
      <w:pPr>
        <w:ind w:firstLine="402" w:firstLineChars="200"/>
        <w:rPr>
          <w:rFonts w:ascii="宋体" w:hAnsi="宋体"/>
          <w:color w:val="FF0000"/>
          <w:sz w:val="20"/>
          <w:szCs w:val="20"/>
        </w:rPr>
      </w:pPr>
      <w:r>
        <w:rPr>
          <w:rFonts w:hint="eastAsia" w:ascii="宋体" w:hAnsi="宋体"/>
          <w:b/>
          <w:bCs/>
          <w:color w:val="FF0000"/>
          <w:sz w:val="20"/>
          <w:szCs w:val="20"/>
        </w:rPr>
        <w:t>四、《深圳经济特区政府采购条例实施细则》第七十九条 </w:t>
      </w:r>
      <w:r>
        <w:rPr>
          <w:rFonts w:hint="eastAsia" w:ascii="宋体" w:hAnsi="宋体"/>
          <w:color w:val="FF0000"/>
          <w:sz w:val="20"/>
          <w:szCs w:val="20"/>
        </w:rPr>
        <w:t>供应商有下列情形的，属于采购条例所称的串通投标行为，按照采购条例第五十七条有关规定处理：（一）投标供应商之间相互约定给予未中标的供应商利益补偿；（二）不同投标供应商的法定代表人、主要经营负责人、项目投标授权代表人、项目负责人、主要技术人员为同一人、属同一单位或者在同一单位缴纳社会保险；（三）不同投标供应商的投标文件由同一单位或者同一人编制，或者由同一人分阶段参与编制的；（四）不同投标供应商的投标文件或部分投标文件相互混装；（五）不同投标供应商的投标文件内容存在非正常一致；（六）由同一单位工作人员为两家以上（含两家）供应商进行同一项投标活动的；（七）主管部门依照法律、法规认定的其他情形。</w:t>
      </w:r>
    </w:p>
    <w:p>
      <w:pPr>
        <w:ind w:firstLine="402" w:firstLineChars="200"/>
        <w:rPr>
          <w:rFonts w:ascii="宋体" w:hAnsi="宋体"/>
          <w:color w:val="FF0000"/>
          <w:sz w:val="20"/>
          <w:szCs w:val="20"/>
        </w:rPr>
      </w:pPr>
      <w:r>
        <w:rPr>
          <w:rFonts w:hint="eastAsia" w:ascii="宋体" w:hAnsi="宋体"/>
          <w:b/>
          <w:bCs/>
          <w:color w:val="FF0000"/>
          <w:sz w:val="20"/>
          <w:szCs w:val="20"/>
        </w:rPr>
        <w:t>五、《深圳经济特区政府采购条例实施细则》第八十一条 </w:t>
      </w:r>
      <w:r>
        <w:rPr>
          <w:rFonts w:hint="eastAsia" w:ascii="宋体" w:hAnsi="宋体"/>
          <w:color w:val="FF0000"/>
          <w:sz w:val="20"/>
          <w:szCs w:val="20"/>
        </w:rPr>
        <w:t>供应商有下列情形之一的，属于隐瞒真实情况，提供虚假资料，按照采购条例第五十七的有关规定处理：（一）通过转让或者租借等方式从其他单位获取资格或者资质证书投标的；（二）由其他单位或者其他单位负责人在投标供应商编制的投标文件上加盖印章或者签字的；（三）项目负责人或者主要技术人员不是本单位人员的；（四）投标保证金不是从投标供应商基本账户转出的；（五）其他隐瞒真实情况、提供虚假资料的行为。</w:t>
      </w:r>
    </w:p>
    <w:p>
      <w:pPr>
        <w:ind w:firstLine="400" w:firstLineChars="200"/>
        <w:rPr>
          <w:rFonts w:ascii="宋体" w:hAnsi="宋体"/>
          <w:color w:val="FF0000"/>
          <w:sz w:val="20"/>
          <w:szCs w:val="20"/>
        </w:rPr>
      </w:pPr>
      <w:r>
        <w:rPr>
          <w:rFonts w:hint="eastAsia" w:ascii="宋体" w:hAnsi="宋体"/>
          <w:color w:val="FF0000"/>
          <w:sz w:val="20"/>
          <w:szCs w:val="20"/>
        </w:rPr>
        <w:t>投标供应商不能提供项目负责人或者主要技术人员的劳动合同、社会保险等劳动关系证明材料的，视为存在前款第（三）项规定的情形。</w:t>
      </w:r>
    </w:p>
    <w:p/>
    <w:p>
      <w:pPr>
        <w:pStyle w:val="2"/>
      </w:pPr>
      <w:r>
        <w:rPr>
          <w:rFonts w:hint="eastAsia"/>
        </w:rPr>
        <w:t>目   录</w:t>
      </w:r>
    </w:p>
    <w:p>
      <w:pPr>
        <w:outlineLvl w:val="0"/>
        <w:rPr>
          <w:b/>
          <w:sz w:val="24"/>
        </w:rPr>
      </w:pPr>
      <w:r>
        <w:rPr>
          <w:rFonts w:hint="eastAsia"/>
          <w:b/>
          <w:sz w:val="24"/>
        </w:rPr>
        <w:t>第一册  专用条款</w:t>
      </w:r>
    </w:p>
    <w:p>
      <w:pPr>
        <w:rPr>
          <w:sz w:val="24"/>
        </w:rPr>
      </w:pPr>
      <w:r>
        <w:rPr>
          <w:rFonts w:hint="eastAsia"/>
          <w:sz w:val="24"/>
        </w:rPr>
        <w:t xml:space="preserve">          关键信息</w:t>
      </w:r>
    </w:p>
    <w:p>
      <w:pPr>
        <w:ind w:left="630" w:leftChars="300" w:firstLine="630" w:firstLineChars="300"/>
        <w:rPr>
          <w:rFonts w:ascii="宋体" w:hAnsi="宋体"/>
          <w:szCs w:val="21"/>
        </w:rPr>
      </w:pPr>
      <w:r>
        <w:rPr>
          <w:rFonts w:hint="eastAsia" w:ascii="宋体" w:hAnsi="宋体"/>
          <w:szCs w:val="21"/>
        </w:rPr>
        <w:t>第一章  招标公告</w:t>
      </w:r>
    </w:p>
    <w:p>
      <w:pPr>
        <w:ind w:left="630" w:leftChars="300" w:firstLine="630" w:firstLineChars="300"/>
        <w:rPr>
          <w:rFonts w:ascii="宋体" w:hAnsi="宋体"/>
          <w:szCs w:val="21"/>
        </w:rPr>
      </w:pPr>
      <w:r>
        <w:rPr>
          <w:rFonts w:hint="eastAsia" w:ascii="宋体" w:hAnsi="宋体"/>
          <w:szCs w:val="21"/>
        </w:rPr>
        <w:t xml:space="preserve">第二章  </w:t>
      </w:r>
      <w:bookmarkStart w:id="1" w:name="_Hlk71994379"/>
      <w:r>
        <w:rPr>
          <w:rFonts w:hint="eastAsia" w:ascii="宋体" w:hAnsi="宋体"/>
          <w:szCs w:val="21"/>
        </w:rPr>
        <w:t>对通用条款的补充内容及其他关键信息</w:t>
      </w:r>
      <w:bookmarkEnd w:id="1"/>
    </w:p>
    <w:p>
      <w:pPr>
        <w:ind w:left="630" w:leftChars="300" w:firstLine="630" w:firstLineChars="300"/>
        <w:rPr>
          <w:rFonts w:ascii="宋体" w:hAnsi="宋体"/>
          <w:szCs w:val="21"/>
        </w:rPr>
      </w:pPr>
      <w:r>
        <w:rPr>
          <w:rFonts w:hint="eastAsia" w:ascii="宋体" w:hAnsi="宋体"/>
          <w:szCs w:val="21"/>
        </w:rPr>
        <w:t xml:space="preserve">第三章 </w:t>
      </w:r>
      <w:r>
        <w:rPr>
          <w:rFonts w:ascii="宋体" w:hAnsi="宋体"/>
          <w:szCs w:val="21"/>
        </w:rPr>
        <w:t xml:space="preserve"> </w:t>
      </w:r>
      <w:r>
        <w:rPr>
          <w:rFonts w:hint="eastAsia" w:ascii="宋体" w:hAnsi="宋体"/>
          <w:szCs w:val="21"/>
        </w:rPr>
        <w:t>用户需求书</w:t>
      </w:r>
    </w:p>
    <w:p>
      <w:pPr>
        <w:ind w:left="630" w:leftChars="300" w:firstLine="630" w:firstLineChars="300"/>
        <w:rPr>
          <w:rFonts w:ascii="宋体" w:hAnsi="宋体"/>
          <w:szCs w:val="21"/>
        </w:rPr>
      </w:pPr>
      <w:r>
        <w:rPr>
          <w:rFonts w:hint="eastAsia" w:ascii="宋体" w:hAnsi="宋体"/>
          <w:szCs w:val="21"/>
        </w:rPr>
        <w:t xml:space="preserve">第四章 </w:t>
      </w:r>
      <w:r>
        <w:rPr>
          <w:rFonts w:ascii="宋体" w:hAnsi="宋体"/>
          <w:szCs w:val="21"/>
        </w:rPr>
        <w:t xml:space="preserve"> </w:t>
      </w:r>
      <w:r>
        <w:rPr>
          <w:rFonts w:hint="eastAsia" w:ascii="宋体" w:hAnsi="宋体"/>
          <w:szCs w:val="21"/>
        </w:rPr>
        <w:t>投标文件组成要求及格式</w:t>
      </w:r>
    </w:p>
    <w:p>
      <w:pPr>
        <w:ind w:left="630" w:leftChars="300" w:firstLine="630" w:firstLineChars="300"/>
        <w:rPr>
          <w:rFonts w:ascii="宋体" w:hAnsi="宋体"/>
          <w:szCs w:val="21"/>
        </w:rPr>
      </w:pPr>
      <w:r>
        <w:rPr>
          <w:rFonts w:hint="eastAsia" w:ascii="宋体" w:hAnsi="宋体"/>
          <w:szCs w:val="21"/>
        </w:rPr>
        <w:t>第五章  合同条款及格式</w:t>
      </w:r>
    </w:p>
    <w:p>
      <w:pPr>
        <w:rPr>
          <w:b/>
          <w:sz w:val="24"/>
        </w:rPr>
      </w:pPr>
    </w:p>
    <w:p>
      <w:pPr>
        <w:outlineLvl w:val="0"/>
        <w:rPr>
          <w:b/>
          <w:sz w:val="24"/>
        </w:rPr>
      </w:pPr>
      <w:r>
        <w:rPr>
          <w:rFonts w:hint="eastAsia"/>
          <w:b/>
          <w:sz w:val="24"/>
        </w:rPr>
        <w:t>第二册  通用条款</w:t>
      </w:r>
    </w:p>
    <w:p>
      <w:pPr>
        <w:ind w:left="630" w:leftChars="300" w:firstLine="411" w:firstLineChars="196"/>
        <w:rPr>
          <w:rFonts w:ascii="宋体" w:hAnsi="宋体"/>
          <w:szCs w:val="21"/>
        </w:rPr>
      </w:pPr>
      <w:r>
        <w:rPr>
          <w:rFonts w:hint="eastAsia" w:ascii="宋体" w:hAnsi="宋体"/>
          <w:szCs w:val="21"/>
        </w:rPr>
        <w:t>第一章  总则</w:t>
      </w:r>
    </w:p>
    <w:p>
      <w:pPr>
        <w:ind w:left="630" w:leftChars="300" w:firstLine="411" w:firstLineChars="196"/>
        <w:rPr>
          <w:rFonts w:ascii="宋体" w:hAnsi="宋体"/>
          <w:szCs w:val="21"/>
        </w:rPr>
      </w:pPr>
      <w:r>
        <w:rPr>
          <w:rFonts w:hint="eastAsia" w:ascii="宋体" w:hAnsi="宋体"/>
          <w:szCs w:val="21"/>
        </w:rPr>
        <w:t>第二章  招标文件</w:t>
      </w:r>
    </w:p>
    <w:p>
      <w:pPr>
        <w:ind w:left="630" w:leftChars="300" w:firstLine="411" w:firstLineChars="196"/>
        <w:rPr>
          <w:rFonts w:ascii="宋体" w:hAnsi="宋体"/>
          <w:szCs w:val="21"/>
        </w:rPr>
      </w:pPr>
      <w:r>
        <w:rPr>
          <w:rFonts w:hint="eastAsia" w:ascii="宋体" w:hAnsi="宋体"/>
          <w:szCs w:val="21"/>
        </w:rPr>
        <w:t>第三章  投标文件的编制</w:t>
      </w:r>
    </w:p>
    <w:p>
      <w:pPr>
        <w:ind w:left="630" w:leftChars="300" w:firstLine="411" w:firstLineChars="196"/>
        <w:rPr>
          <w:rFonts w:ascii="宋体" w:hAnsi="宋体"/>
          <w:szCs w:val="21"/>
        </w:rPr>
      </w:pPr>
      <w:r>
        <w:rPr>
          <w:rFonts w:hint="eastAsia" w:ascii="宋体" w:hAnsi="宋体"/>
          <w:szCs w:val="21"/>
        </w:rPr>
        <w:t>第四章  投标文件的递交</w:t>
      </w:r>
    </w:p>
    <w:p>
      <w:pPr>
        <w:ind w:left="630" w:leftChars="300" w:firstLine="411" w:firstLineChars="196"/>
        <w:rPr>
          <w:rFonts w:ascii="宋体" w:hAnsi="宋体"/>
          <w:szCs w:val="21"/>
        </w:rPr>
      </w:pPr>
      <w:r>
        <w:rPr>
          <w:rFonts w:hint="eastAsia" w:ascii="宋体" w:hAnsi="宋体"/>
          <w:szCs w:val="21"/>
        </w:rPr>
        <w:t>第五章  开标</w:t>
      </w:r>
    </w:p>
    <w:p>
      <w:pPr>
        <w:ind w:left="630" w:leftChars="300" w:firstLine="411" w:firstLineChars="196"/>
        <w:rPr>
          <w:rFonts w:ascii="宋体" w:hAnsi="宋体"/>
          <w:szCs w:val="21"/>
        </w:rPr>
      </w:pPr>
      <w:r>
        <w:rPr>
          <w:rFonts w:hint="eastAsia" w:ascii="宋体" w:hAnsi="宋体"/>
          <w:szCs w:val="21"/>
        </w:rPr>
        <w:t>第六章  评审要求</w:t>
      </w:r>
    </w:p>
    <w:p>
      <w:pPr>
        <w:ind w:left="630" w:leftChars="300" w:firstLine="411" w:firstLineChars="196"/>
        <w:rPr>
          <w:rFonts w:ascii="宋体" w:hAnsi="宋体"/>
          <w:szCs w:val="21"/>
        </w:rPr>
      </w:pPr>
      <w:r>
        <w:rPr>
          <w:rFonts w:hint="eastAsia" w:ascii="宋体" w:hAnsi="宋体"/>
          <w:szCs w:val="21"/>
        </w:rPr>
        <w:t>第七章  评审程序及评审方法</w:t>
      </w:r>
    </w:p>
    <w:p>
      <w:pPr>
        <w:ind w:left="630" w:leftChars="300" w:firstLine="411" w:firstLineChars="196"/>
        <w:rPr>
          <w:rFonts w:ascii="宋体" w:hAnsi="宋体"/>
          <w:szCs w:val="21"/>
        </w:rPr>
      </w:pPr>
      <w:r>
        <w:rPr>
          <w:rFonts w:hint="eastAsia" w:ascii="宋体" w:hAnsi="宋体"/>
          <w:szCs w:val="21"/>
        </w:rPr>
        <w:t>第八章  定标及公示</w:t>
      </w:r>
    </w:p>
    <w:p>
      <w:pPr>
        <w:ind w:left="630" w:leftChars="300" w:firstLine="411" w:firstLineChars="196"/>
        <w:rPr>
          <w:rFonts w:ascii="宋体" w:hAnsi="宋体"/>
          <w:szCs w:val="21"/>
        </w:rPr>
      </w:pPr>
      <w:r>
        <w:rPr>
          <w:rFonts w:hint="eastAsia" w:ascii="宋体" w:hAnsi="宋体"/>
          <w:szCs w:val="21"/>
        </w:rPr>
        <w:t>第九章  公开招标失败的后续处理</w:t>
      </w:r>
    </w:p>
    <w:p>
      <w:pPr>
        <w:ind w:left="630" w:leftChars="300" w:firstLine="411" w:firstLineChars="196"/>
        <w:rPr>
          <w:rFonts w:ascii="宋体" w:hAnsi="宋体"/>
          <w:szCs w:val="21"/>
        </w:rPr>
      </w:pPr>
      <w:r>
        <w:rPr>
          <w:rFonts w:hint="eastAsia" w:ascii="宋体" w:hAnsi="宋体"/>
          <w:szCs w:val="21"/>
        </w:rPr>
        <w:t>第十章  合同的授予与备案</w:t>
      </w:r>
    </w:p>
    <w:p>
      <w:pPr>
        <w:ind w:firstLine="1050" w:firstLineChars="500"/>
        <w:outlineLvl w:val="0"/>
        <w:rPr>
          <w:b/>
          <w:sz w:val="24"/>
        </w:rPr>
      </w:pPr>
      <w:r>
        <w:rPr>
          <w:rFonts w:hint="eastAsia" w:ascii="宋体" w:hAnsi="宋体"/>
          <w:szCs w:val="21"/>
        </w:rPr>
        <w:t>第十一章  质疑处理</w:t>
      </w:r>
    </w:p>
    <w:p>
      <w:pPr>
        <w:spacing w:line="360" w:lineRule="auto"/>
        <w:ind w:firstLine="420" w:firstLineChars="200"/>
        <w:jc w:val="left"/>
        <w:rPr>
          <w:rFonts w:ascii="宋体" w:hAnsi="宋体"/>
          <w:szCs w:val="21"/>
        </w:rPr>
      </w:pPr>
    </w:p>
    <w:p>
      <w:pPr>
        <w:pStyle w:val="2"/>
        <w:rPr>
          <w:sz w:val="24"/>
        </w:rPr>
      </w:pPr>
      <w:r>
        <w:br w:type="page"/>
      </w:r>
      <w:bookmarkStart w:id="2" w:name="bt合同格式"/>
      <w:bookmarkEnd w:id="2"/>
      <w:bookmarkStart w:id="3" w:name="bt技术标投标文件格式"/>
      <w:bookmarkEnd w:id="3"/>
      <w:bookmarkStart w:id="4" w:name="合同格式"/>
      <w:bookmarkEnd w:id="4"/>
      <w:bookmarkStart w:id="5" w:name="bt投标人须知"/>
      <w:bookmarkEnd w:id="5"/>
      <w:bookmarkStart w:id="6" w:name="bt合同条款及格式"/>
      <w:bookmarkEnd w:id="6"/>
      <w:bookmarkStart w:id="7" w:name="bt本工程承诺书"/>
      <w:bookmarkEnd w:id="7"/>
      <w:bookmarkStart w:id="8" w:name="bt投标函"/>
      <w:bookmarkEnd w:id="8"/>
      <w:bookmarkStart w:id="9" w:name="bt合同条款"/>
      <w:bookmarkEnd w:id="9"/>
      <w:bookmarkStart w:id="10" w:name="bt说明"/>
      <w:bookmarkEnd w:id="10"/>
      <w:bookmarkStart w:id="11" w:name="bt其他资料2"/>
      <w:bookmarkEnd w:id="11"/>
      <w:bookmarkStart w:id="12" w:name="bt其他资料由投标人自定"/>
      <w:bookmarkEnd w:id="12"/>
      <w:bookmarkStart w:id="13" w:name="bt商务标投标文件格式"/>
      <w:bookmarkEnd w:id="13"/>
      <w:bookmarkStart w:id="14" w:name="bt开标一览表"/>
      <w:bookmarkEnd w:id="14"/>
      <w:bookmarkStart w:id="15" w:name="bt投标人情况介绍"/>
      <w:bookmarkEnd w:id="15"/>
      <w:bookmarkStart w:id="16" w:name="bt投标报价汇总表"/>
      <w:bookmarkEnd w:id="16"/>
      <w:bookmarkStart w:id="17" w:name="bt项目管理班子配备情况"/>
      <w:bookmarkEnd w:id="17"/>
      <w:bookmarkStart w:id="18" w:name="bt投标文件签署授权委托书"/>
      <w:bookmarkEnd w:id="18"/>
      <w:r>
        <w:rPr>
          <w:rFonts w:hint="eastAsia"/>
        </w:rPr>
        <w:t>第一册专用条款</w:t>
      </w:r>
    </w:p>
    <w:p>
      <w:pPr>
        <w:pStyle w:val="5"/>
      </w:pPr>
      <w:r>
        <w:rPr>
          <w:rFonts w:hint="eastAsia"/>
        </w:rPr>
        <w:t xml:space="preserve">第一章  招标公告  </w:t>
      </w:r>
    </w:p>
    <w:tbl>
      <w:tblPr>
        <w:tblStyle w:val="42"/>
        <w:tblW w:w="4900" w:type="pct"/>
        <w:jc w:val="center"/>
        <w:tblCellSpacing w:w="0" w:type="dxa"/>
        <w:tblLayout w:type="autofit"/>
        <w:tblCellMar>
          <w:top w:w="0" w:type="dxa"/>
          <w:left w:w="0" w:type="dxa"/>
          <w:bottom w:w="0" w:type="dxa"/>
          <w:right w:w="0" w:type="dxa"/>
        </w:tblCellMar>
      </w:tblPr>
      <w:tblGrid>
        <w:gridCol w:w="8147"/>
      </w:tblGrid>
      <w:tr>
        <w:tblPrEx>
          <w:tblCellMar>
            <w:top w:w="0" w:type="dxa"/>
            <w:left w:w="0" w:type="dxa"/>
            <w:bottom w:w="0" w:type="dxa"/>
            <w:right w:w="0" w:type="dxa"/>
          </w:tblCellMar>
        </w:tblPrEx>
        <w:trPr>
          <w:tblCellSpacing w:w="0" w:type="dxa"/>
          <w:jc w:val="center"/>
        </w:trPr>
        <w:tc>
          <w:tcPr>
            <w:tcW w:w="0" w:type="auto"/>
            <w:vAlign w:val="center"/>
          </w:tcPr>
          <w:tbl>
            <w:tblPr>
              <w:tblStyle w:val="42"/>
              <w:tblW w:w="5000" w:type="pct"/>
              <w:jc w:val="center"/>
              <w:tblCellSpacing w:w="0" w:type="dxa"/>
              <w:tblLayout w:type="autofit"/>
              <w:tblCellMar>
                <w:top w:w="30" w:type="dxa"/>
                <w:left w:w="30" w:type="dxa"/>
                <w:bottom w:w="30" w:type="dxa"/>
                <w:right w:w="30" w:type="dxa"/>
              </w:tblCellMar>
            </w:tblPr>
            <w:tblGrid>
              <w:gridCol w:w="8147"/>
            </w:tblGrid>
            <w:tr>
              <w:tblPrEx>
                <w:tblCellMar>
                  <w:top w:w="30" w:type="dxa"/>
                  <w:left w:w="30" w:type="dxa"/>
                  <w:bottom w:w="30" w:type="dxa"/>
                  <w:right w:w="30" w:type="dxa"/>
                </w:tblCellMar>
              </w:tblPrEx>
              <w:trPr>
                <w:tblCellSpacing w:w="0" w:type="dxa"/>
                <w:jc w:val="center"/>
              </w:trPr>
              <w:tc>
                <w:tcPr>
                  <w:tcW w:w="0" w:type="auto"/>
                </w:tcPr>
                <w:p>
                  <w:pPr>
                    <w:pBdr>
                      <w:top w:val="single" w:color="auto" w:sz="4" w:space="1"/>
                      <w:left w:val="single" w:color="auto" w:sz="4" w:space="4"/>
                      <w:bottom w:val="single" w:color="auto" w:sz="4" w:space="1"/>
                      <w:right w:val="single" w:color="auto" w:sz="4" w:space="4"/>
                    </w:pBdr>
                    <w:ind w:firstLine="420" w:firstLineChars="200"/>
                    <w:rPr>
                      <w:rFonts w:ascii="宋体" w:hAnsi="宋体" w:cs="宋体"/>
                      <w:szCs w:val="21"/>
                    </w:rPr>
                  </w:pPr>
                  <w:r>
                    <w:rPr>
                      <w:rFonts w:hint="eastAsia" w:ascii="宋体" w:hAnsi="宋体" w:cs="宋体"/>
                      <w:szCs w:val="21"/>
                    </w:rPr>
                    <w:t>项目概况</w:t>
                  </w:r>
                </w:p>
                <w:p>
                  <w:pPr>
                    <w:pBdr>
                      <w:top w:val="single" w:color="auto" w:sz="4" w:space="1"/>
                      <w:left w:val="single" w:color="auto" w:sz="4" w:space="4"/>
                      <w:bottom w:val="single" w:color="auto" w:sz="4" w:space="1"/>
                      <w:right w:val="single" w:color="auto" w:sz="4" w:space="4"/>
                    </w:pBdr>
                    <w:ind w:firstLine="420" w:firstLineChars="200"/>
                    <w:rPr>
                      <w:rFonts w:ascii="宋体" w:hAnsi="宋体" w:cs="宋体"/>
                      <w:szCs w:val="21"/>
                    </w:rPr>
                  </w:pPr>
                  <w:r>
                    <w:t>深圳市眼科医院全成本核算系统项目</w:t>
                  </w:r>
                  <w:r>
                    <w:rPr>
                      <w:rFonts w:hint="eastAsia"/>
                    </w:rPr>
                    <w:t>招标项目</w:t>
                  </w:r>
                  <w:r>
                    <w:t>的潜在投标人应在</w:t>
                  </w:r>
                  <w:r>
                    <w:rPr>
                      <w:rFonts w:hint="eastAsia"/>
                      <w:u w:val="single"/>
                    </w:rPr>
                    <w:t>（本公告附件中）</w:t>
                  </w:r>
                  <w:r>
                    <w:t xml:space="preserve">获取招标文件， 并于 </w:t>
                  </w:r>
                  <w:r>
                    <w:rPr>
                      <w:rFonts w:hint="eastAsia"/>
                    </w:rPr>
                    <w:t>2021年10月11日</w:t>
                  </w:r>
                  <w:r>
                    <w:t xml:space="preserve"> </w:t>
                  </w:r>
                  <w:r>
                    <w:rPr>
                      <w:rFonts w:hint="eastAsia"/>
                    </w:rPr>
                    <w:t>14点30分（北京时间）</w:t>
                  </w:r>
                  <w:r>
                    <w:t>前递交投标文件</w:t>
                  </w:r>
                  <w:r>
                    <w:rPr>
                      <w:rFonts w:hint="eastAsia"/>
                    </w:rPr>
                    <w:t>。</w:t>
                  </w:r>
                </w:p>
                <w:p>
                  <w:pPr>
                    <w:spacing w:line="360" w:lineRule="auto"/>
                    <w:rPr>
                      <w:rFonts w:ascii="宋体" w:hAnsi="宋体" w:cs="宋体"/>
                      <w:b/>
                      <w:bCs/>
                      <w:kern w:val="0"/>
                      <w:szCs w:val="21"/>
                    </w:rPr>
                  </w:pPr>
                  <w:r>
                    <w:rPr>
                      <w:rFonts w:hint="eastAsia" w:ascii="宋体" w:hAnsi="宋体" w:cs="宋体"/>
                      <w:b/>
                      <w:bCs/>
                      <w:kern w:val="0"/>
                      <w:szCs w:val="21"/>
                    </w:rPr>
                    <w:t>一、项目基本情况</w:t>
                  </w:r>
                </w:p>
                <w:p>
                  <w:pPr>
                    <w:ind w:firstLine="420" w:firstLineChars="200"/>
                    <w:rPr>
                      <w:rFonts w:ascii="宋体" w:hAnsi="宋体" w:cs="宋体"/>
                      <w:kern w:val="0"/>
                      <w:szCs w:val="21"/>
                    </w:rPr>
                  </w:pPr>
                  <w:r>
                    <w:rPr>
                      <w:rFonts w:hint="eastAsia" w:ascii="宋体" w:hAnsi="宋体" w:cs="宋体"/>
                      <w:kern w:val="0"/>
                      <w:szCs w:val="21"/>
                    </w:rPr>
                    <w:t>1.项目编号：</w:t>
                  </w:r>
                  <w:r>
                    <w:rPr>
                      <w:rFonts w:ascii="宋体" w:hAnsi="宋体" w:cs="宋体"/>
                      <w:color w:val="0000FF"/>
                      <w:kern w:val="0"/>
                      <w:szCs w:val="21"/>
                    </w:rPr>
                    <w:t>SZCG2021200859</w:t>
                  </w:r>
                </w:p>
                <w:p>
                  <w:pPr>
                    <w:ind w:firstLine="420" w:firstLineChars="200"/>
                    <w:rPr>
                      <w:rFonts w:ascii="宋体" w:hAnsi="宋体" w:cs="宋体"/>
                      <w:kern w:val="0"/>
                      <w:szCs w:val="21"/>
                    </w:rPr>
                  </w:pPr>
                  <w:r>
                    <w:rPr>
                      <w:rFonts w:hint="eastAsia" w:ascii="宋体" w:hAnsi="宋体" w:cs="宋体"/>
                      <w:kern w:val="0"/>
                      <w:szCs w:val="21"/>
                    </w:rPr>
                    <w:t>2.项目名称：</w:t>
                  </w:r>
                  <w:r>
                    <w:rPr>
                      <w:rFonts w:hint="eastAsia" w:ascii="宋体" w:hAnsi="宋体" w:cs="宋体"/>
                      <w:color w:val="0000FF"/>
                      <w:kern w:val="0"/>
                      <w:szCs w:val="21"/>
                    </w:rPr>
                    <w:t>深圳市眼科医院全成本核算系统项目</w:t>
                  </w:r>
                </w:p>
                <w:p>
                  <w:pPr>
                    <w:ind w:firstLine="420" w:firstLineChars="200"/>
                    <w:rPr>
                      <w:rFonts w:ascii="宋体" w:hAnsi="宋体" w:cs="宋体"/>
                      <w:kern w:val="0"/>
                      <w:szCs w:val="21"/>
                    </w:rPr>
                  </w:pPr>
                  <w:r>
                    <w:rPr>
                      <w:rFonts w:hint="eastAsia" w:ascii="宋体" w:hAnsi="宋体" w:cs="宋体"/>
                      <w:kern w:val="0"/>
                      <w:szCs w:val="21"/>
                    </w:rPr>
                    <w:t>3.预算金额：</w:t>
                  </w:r>
                  <w:r>
                    <w:rPr>
                      <w:rFonts w:ascii="宋体" w:hAnsi="宋体" w:cs="宋体"/>
                      <w:color w:val="0000FF"/>
                      <w:kern w:val="0"/>
                      <w:szCs w:val="21"/>
                    </w:rPr>
                    <w:t>1,200,000.00</w:t>
                  </w:r>
                </w:p>
                <w:p>
                  <w:pPr>
                    <w:ind w:firstLine="420" w:firstLineChars="200"/>
                    <w:rPr>
                      <w:rFonts w:ascii="宋体" w:hAnsi="宋体" w:cs="宋体"/>
                      <w:kern w:val="0"/>
                      <w:szCs w:val="21"/>
                    </w:rPr>
                  </w:pPr>
                  <w:r>
                    <w:rPr>
                      <w:rFonts w:hint="eastAsia" w:ascii="宋体" w:hAnsi="宋体" w:cs="宋体"/>
                      <w:kern w:val="0"/>
                      <w:szCs w:val="21"/>
                    </w:rPr>
                    <w:t>4.最高限价：</w:t>
                  </w:r>
                  <w:r>
                    <w:rPr>
                      <w:rFonts w:hint="eastAsia" w:ascii="宋体" w:hAnsi="宋体" w:cs="宋体"/>
                      <w:color w:val="0000FF"/>
                      <w:kern w:val="0"/>
                      <w:szCs w:val="21"/>
                    </w:rPr>
                    <w:t>无</w:t>
                  </w:r>
                </w:p>
                <w:p>
                  <w:pPr>
                    <w:ind w:firstLine="420" w:firstLineChars="200"/>
                    <w:rPr>
                      <w:rFonts w:ascii="宋体" w:hAnsi="宋体" w:cs="宋体"/>
                      <w:kern w:val="0"/>
                      <w:szCs w:val="21"/>
                    </w:rPr>
                  </w:pPr>
                  <w:r>
                    <w:rPr>
                      <w:rFonts w:hint="eastAsia" w:ascii="宋体" w:hAnsi="宋体" w:cs="宋体"/>
                      <w:kern w:val="0"/>
                      <w:szCs w:val="21"/>
                    </w:rPr>
                    <w:t>5.采购需求：</w:t>
                  </w:r>
                </w:p>
                <w:tbl>
                  <w:tblPr>
                    <w:tblStyle w:val="42"/>
                    <w:tblW w:w="0" w:type="auto"/>
                    <w:jc w:val="center"/>
                    <w:tblBorders>
                      <w:top w:val="outset" w:color="AAAAAA" w:sz="6" w:space="0"/>
                      <w:left w:val="outset" w:color="AAAAAA" w:sz="6" w:space="0"/>
                      <w:bottom w:val="outset" w:color="AAAAAA" w:sz="6" w:space="0"/>
                      <w:right w:val="outset" w:color="AAAAAA" w:sz="6" w:space="0"/>
                      <w:insideH w:val="none" w:color="auto" w:sz="0" w:space="0"/>
                      <w:insideV w:val="none" w:color="auto" w:sz="0" w:space="0"/>
                    </w:tblBorders>
                    <w:tblLayout w:type="autofit"/>
                    <w:tblCellMar>
                      <w:top w:w="60" w:type="dxa"/>
                      <w:left w:w="60" w:type="dxa"/>
                      <w:bottom w:w="60" w:type="dxa"/>
                      <w:right w:w="60" w:type="dxa"/>
                    </w:tblCellMar>
                  </w:tblPr>
                  <w:tblGrid>
                    <w:gridCol w:w="2228"/>
                    <w:gridCol w:w="714"/>
                    <w:gridCol w:w="714"/>
                    <w:gridCol w:w="3571"/>
                    <w:gridCol w:w="714"/>
                  </w:tblGrid>
                  <w:tr>
                    <w:tblPrEx>
                      <w:tblBorders>
                        <w:top w:val="outset" w:color="AAAAAA" w:sz="6" w:space="0"/>
                        <w:left w:val="outset" w:color="AAAAAA" w:sz="6" w:space="0"/>
                        <w:bottom w:val="outset" w:color="AAAAAA" w:sz="6" w:space="0"/>
                        <w:right w:val="outset" w:color="AAAAAA" w:sz="6" w:space="0"/>
                        <w:insideH w:val="none" w:color="auto" w:sz="0" w:space="0"/>
                        <w:insideV w:val="none" w:color="auto" w:sz="0" w:space="0"/>
                      </w:tblBorders>
                      <w:tblCellMar>
                        <w:top w:w="60" w:type="dxa"/>
                        <w:left w:w="60" w:type="dxa"/>
                        <w:bottom w:w="60" w:type="dxa"/>
                        <w:right w:w="60" w:type="dxa"/>
                      </w:tblCellMar>
                    </w:tblPrEx>
                    <w:trPr>
                      <w:jc w:val="center"/>
                    </w:trPr>
                    <w:tc>
                      <w:tcPr>
                        <w:tcW w:w="2228" w:type="dxa"/>
                        <w:tcBorders>
                          <w:top w:val="outset" w:color="AAAAAA" w:sz="6" w:space="0"/>
                          <w:left w:val="outset" w:color="AAAAAA" w:sz="6" w:space="0"/>
                          <w:bottom w:val="outset" w:color="AAAAAA" w:sz="6" w:space="0"/>
                          <w:right w:val="outset" w:color="AAAAAA" w:sz="6" w:space="0"/>
                        </w:tcBorders>
                        <w:shd w:val="clear" w:color="auto" w:fill="ABCDEF"/>
                        <w:vAlign w:val="center"/>
                      </w:tcPr>
                      <w:p>
                        <w:pPr>
                          <w:widowControl/>
                          <w:spacing w:before="100" w:beforeAutospacing="1" w:after="100" w:afterAutospacing="1"/>
                          <w:jc w:val="left"/>
                          <w:rPr>
                            <w:rFonts w:ascii="宋体" w:hAnsi="宋体" w:cs="宋体"/>
                            <w:kern w:val="0"/>
                            <w:szCs w:val="21"/>
                          </w:rPr>
                        </w:pPr>
                        <w:r>
                          <w:rPr>
                            <w:rFonts w:ascii="宋体" w:hAnsi="宋体" w:cs="宋体"/>
                            <w:kern w:val="0"/>
                            <w:szCs w:val="21"/>
                          </w:rPr>
                          <w:t>标的名称</w:t>
                        </w:r>
                      </w:p>
                    </w:tc>
                    <w:tc>
                      <w:tcPr>
                        <w:tcW w:w="714" w:type="dxa"/>
                        <w:tcBorders>
                          <w:top w:val="outset" w:color="AAAAAA" w:sz="6" w:space="0"/>
                          <w:left w:val="outset" w:color="AAAAAA" w:sz="6" w:space="0"/>
                          <w:bottom w:val="outset" w:color="AAAAAA" w:sz="6" w:space="0"/>
                          <w:right w:val="outset" w:color="AAAAAA" w:sz="6" w:space="0"/>
                        </w:tcBorders>
                        <w:shd w:val="clear" w:color="auto" w:fill="ABCDEF"/>
                        <w:vAlign w:val="center"/>
                      </w:tcPr>
                      <w:p>
                        <w:pPr>
                          <w:widowControl/>
                          <w:spacing w:before="100" w:beforeAutospacing="1" w:after="100" w:afterAutospacing="1"/>
                          <w:jc w:val="left"/>
                          <w:rPr>
                            <w:rFonts w:ascii="宋体" w:hAnsi="宋体" w:cs="宋体"/>
                            <w:kern w:val="0"/>
                            <w:szCs w:val="21"/>
                          </w:rPr>
                        </w:pPr>
                        <w:r>
                          <w:rPr>
                            <w:rFonts w:ascii="宋体" w:hAnsi="宋体" w:cs="宋体"/>
                            <w:kern w:val="0"/>
                            <w:szCs w:val="21"/>
                          </w:rPr>
                          <w:t>数量</w:t>
                        </w:r>
                      </w:p>
                    </w:tc>
                    <w:tc>
                      <w:tcPr>
                        <w:tcW w:w="714" w:type="dxa"/>
                        <w:tcBorders>
                          <w:top w:val="outset" w:color="AAAAAA" w:sz="6" w:space="0"/>
                          <w:left w:val="outset" w:color="AAAAAA" w:sz="6" w:space="0"/>
                          <w:bottom w:val="outset" w:color="AAAAAA" w:sz="6" w:space="0"/>
                          <w:right w:val="outset" w:color="AAAAAA" w:sz="6" w:space="0"/>
                        </w:tcBorders>
                        <w:shd w:val="clear" w:color="auto" w:fill="ABCDEF"/>
                        <w:vAlign w:val="center"/>
                      </w:tcPr>
                      <w:p>
                        <w:pPr>
                          <w:widowControl/>
                          <w:spacing w:before="100" w:beforeAutospacing="1" w:after="100" w:afterAutospacing="1"/>
                          <w:jc w:val="left"/>
                          <w:rPr>
                            <w:rFonts w:ascii="宋体" w:hAnsi="宋体" w:cs="宋体"/>
                            <w:kern w:val="0"/>
                            <w:szCs w:val="21"/>
                          </w:rPr>
                        </w:pPr>
                        <w:r>
                          <w:rPr>
                            <w:rFonts w:ascii="宋体" w:hAnsi="宋体" w:cs="宋体"/>
                            <w:kern w:val="0"/>
                            <w:szCs w:val="21"/>
                          </w:rPr>
                          <w:t>单位</w:t>
                        </w:r>
                      </w:p>
                    </w:tc>
                    <w:tc>
                      <w:tcPr>
                        <w:tcW w:w="3571" w:type="dxa"/>
                        <w:tcBorders>
                          <w:top w:val="outset" w:color="AAAAAA" w:sz="6" w:space="0"/>
                          <w:left w:val="outset" w:color="AAAAAA" w:sz="6" w:space="0"/>
                          <w:bottom w:val="outset" w:color="AAAAAA" w:sz="6" w:space="0"/>
                          <w:right w:val="outset" w:color="AAAAAA" w:sz="6" w:space="0"/>
                        </w:tcBorders>
                        <w:shd w:val="clear" w:color="auto" w:fill="ABCDEF"/>
                        <w:vAlign w:val="center"/>
                      </w:tcPr>
                      <w:p>
                        <w:pPr>
                          <w:widowControl/>
                          <w:spacing w:before="100" w:beforeAutospacing="1" w:after="100" w:afterAutospacing="1"/>
                          <w:jc w:val="left"/>
                          <w:rPr>
                            <w:rFonts w:ascii="宋体" w:hAnsi="宋体" w:cs="宋体"/>
                            <w:kern w:val="0"/>
                            <w:szCs w:val="21"/>
                          </w:rPr>
                        </w:pPr>
                        <w:r>
                          <w:rPr>
                            <w:rFonts w:ascii="宋体" w:hAnsi="宋体" w:cs="宋体"/>
                            <w:kern w:val="0"/>
                            <w:szCs w:val="21"/>
                          </w:rPr>
                          <w:t>简要技术需求（服务需求）</w:t>
                        </w:r>
                      </w:p>
                    </w:tc>
                    <w:tc>
                      <w:tcPr>
                        <w:tcW w:w="714" w:type="dxa"/>
                        <w:tcBorders>
                          <w:top w:val="outset" w:color="AAAAAA" w:sz="6" w:space="0"/>
                          <w:left w:val="outset" w:color="AAAAAA" w:sz="6" w:space="0"/>
                          <w:bottom w:val="outset" w:color="AAAAAA" w:sz="6" w:space="0"/>
                          <w:right w:val="outset" w:color="AAAAAA" w:sz="6" w:space="0"/>
                        </w:tcBorders>
                        <w:shd w:val="clear" w:color="auto" w:fill="ABCDEF"/>
                        <w:vAlign w:val="center"/>
                      </w:tcPr>
                      <w:p>
                        <w:pPr>
                          <w:widowControl/>
                          <w:spacing w:before="100" w:beforeAutospacing="1" w:after="100" w:afterAutospacing="1"/>
                          <w:jc w:val="left"/>
                          <w:rPr>
                            <w:rFonts w:ascii="宋体" w:hAnsi="宋体" w:cs="宋体"/>
                            <w:kern w:val="0"/>
                            <w:szCs w:val="21"/>
                          </w:rPr>
                        </w:pPr>
                        <w:r>
                          <w:rPr>
                            <w:rFonts w:ascii="宋体" w:hAnsi="宋体" w:cs="宋体"/>
                            <w:kern w:val="0"/>
                            <w:szCs w:val="21"/>
                          </w:rPr>
                          <w:t>备注</w:t>
                        </w:r>
                      </w:p>
                    </w:tc>
                  </w:tr>
                  <w:tr>
                    <w:tblPrEx>
                      <w:tblBorders>
                        <w:top w:val="outset" w:color="AAAAAA" w:sz="6" w:space="0"/>
                        <w:left w:val="outset" w:color="AAAAAA" w:sz="6" w:space="0"/>
                        <w:bottom w:val="outset" w:color="AAAAAA" w:sz="6" w:space="0"/>
                        <w:right w:val="outset" w:color="AAAAAA" w:sz="6" w:space="0"/>
                        <w:insideH w:val="none" w:color="auto" w:sz="0" w:space="0"/>
                        <w:insideV w:val="none" w:color="auto" w:sz="0" w:space="0"/>
                      </w:tblBorders>
                      <w:tblCellMar>
                        <w:top w:w="60" w:type="dxa"/>
                        <w:left w:w="60" w:type="dxa"/>
                        <w:bottom w:w="60" w:type="dxa"/>
                        <w:right w:w="60" w:type="dxa"/>
                      </w:tblCellMar>
                    </w:tblPrEx>
                    <w:trPr>
                      <w:jc w:val="center"/>
                    </w:trPr>
                    <w:tc>
                      <w:tcPr>
                        <w:tcW w:w="2228" w:type="dxa"/>
                        <w:tcBorders>
                          <w:top w:val="outset" w:color="AAAAAA" w:sz="6" w:space="0"/>
                          <w:left w:val="outset" w:color="AAAAAA" w:sz="6" w:space="0"/>
                          <w:bottom w:val="outset" w:color="AAAAAA" w:sz="6" w:space="0"/>
                          <w:right w:val="outset" w:color="AAAAAA" w:sz="6" w:space="0"/>
                        </w:tcBorders>
                        <w:vAlign w:val="center"/>
                      </w:tcPr>
                      <w:p>
                        <w:pPr>
                          <w:widowControl/>
                          <w:spacing w:before="100" w:beforeAutospacing="1" w:after="100" w:afterAutospacing="1"/>
                          <w:jc w:val="left"/>
                          <w:rPr>
                            <w:rFonts w:ascii="宋体" w:hAnsi="宋体" w:cs="宋体"/>
                            <w:kern w:val="0"/>
                            <w:szCs w:val="21"/>
                          </w:rPr>
                        </w:pPr>
                        <w:r>
                          <w:rPr>
                            <w:rFonts w:hint="eastAsia" w:ascii="宋体" w:hAnsi="宋体" w:cs="宋体"/>
                            <w:color w:val="0000FF"/>
                            <w:kern w:val="0"/>
                            <w:szCs w:val="21"/>
                          </w:rPr>
                          <w:t>全成本核算系统</w:t>
                        </w:r>
                      </w:p>
                    </w:tc>
                    <w:tc>
                      <w:tcPr>
                        <w:tcW w:w="714" w:type="dxa"/>
                        <w:tcBorders>
                          <w:top w:val="outset" w:color="AAAAAA" w:sz="6" w:space="0"/>
                          <w:left w:val="outset" w:color="AAAAAA" w:sz="6" w:space="0"/>
                          <w:bottom w:val="outset" w:color="AAAAAA" w:sz="6" w:space="0"/>
                          <w:right w:val="outset" w:color="AAAAAA" w:sz="6" w:space="0"/>
                        </w:tcBorders>
                        <w:vAlign w:val="center"/>
                      </w:tcPr>
                      <w:p>
                        <w:pPr>
                          <w:widowControl/>
                          <w:spacing w:before="100" w:beforeAutospacing="1" w:after="100" w:afterAutospacing="1"/>
                          <w:jc w:val="center"/>
                          <w:rPr>
                            <w:rFonts w:ascii="宋体" w:hAnsi="宋体" w:cs="宋体"/>
                            <w:kern w:val="0"/>
                            <w:szCs w:val="21"/>
                          </w:rPr>
                        </w:pPr>
                        <w:r>
                          <w:rPr>
                            <w:rFonts w:ascii="宋体" w:hAnsi="宋体" w:cs="宋体"/>
                            <w:kern w:val="0"/>
                            <w:szCs w:val="21"/>
                          </w:rPr>
                          <w:t>1.0</w:t>
                        </w:r>
                      </w:p>
                    </w:tc>
                    <w:tc>
                      <w:tcPr>
                        <w:tcW w:w="714" w:type="dxa"/>
                        <w:tcBorders>
                          <w:top w:val="outset" w:color="AAAAAA" w:sz="6" w:space="0"/>
                          <w:left w:val="outset" w:color="AAAAAA" w:sz="6" w:space="0"/>
                          <w:bottom w:val="outset" w:color="AAAAAA" w:sz="6" w:space="0"/>
                          <w:right w:val="outset" w:color="AAAAAA" w:sz="6" w:space="0"/>
                        </w:tcBorders>
                        <w:vAlign w:val="center"/>
                      </w:tcPr>
                      <w:p>
                        <w:pPr>
                          <w:widowControl/>
                          <w:spacing w:before="100" w:beforeAutospacing="1" w:after="100" w:afterAutospacing="1"/>
                          <w:jc w:val="center"/>
                          <w:rPr>
                            <w:rFonts w:ascii="宋体" w:hAnsi="宋体" w:cs="宋体"/>
                            <w:kern w:val="0"/>
                            <w:szCs w:val="21"/>
                          </w:rPr>
                        </w:pPr>
                        <w:r>
                          <w:rPr>
                            <w:rFonts w:ascii="宋体" w:hAnsi="宋体" w:cs="宋体"/>
                            <w:kern w:val="0"/>
                            <w:szCs w:val="21"/>
                          </w:rPr>
                          <w:t>项</w:t>
                        </w:r>
                      </w:p>
                    </w:tc>
                    <w:tc>
                      <w:tcPr>
                        <w:tcW w:w="3571" w:type="dxa"/>
                        <w:tcBorders>
                          <w:top w:val="outset" w:color="AAAAAA" w:sz="6" w:space="0"/>
                          <w:left w:val="outset" w:color="AAAAAA" w:sz="6" w:space="0"/>
                          <w:bottom w:val="outset" w:color="AAAAAA" w:sz="6" w:space="0"/>
                          <w:right w:val="outset" w:color="AAAAAA" w:sz="6" w:space="0"/>
                        </w:tcBorders>
                        <w:vAlign w:val="center"/>
                      </w:tcPr>
                      <w:p>
                        <w:pPr>
                          <w:widowControl/>
                          <w:spacing w:before="100" w:beforeAutospacing="1" w:after="100" w:afterAutospacing="1"/>
                          <w:jc w:val="center"/>
                          <w:rPr>
                            <w:rFonts w:ascii="宋体" w:hAnsi="宋体" w:cs="宋体"/>
                            <w:kern w:val="0"/>
                            <w:szCs w:val="21"/>
                          </w:rPr>
                        </w:pPr>
                        <w:r>
                          <w:rPr>
                            <w:rFonts w:ascii="宋体" w:hAnsi="宋体" w:cs="宋体"/>
                            <w:kern w:val="0"/>
                            <w:szCs w:val="21"/>
                          </w:rPr>
                          <w:t>详见采购文件</w:t>
                        </w:r>
                      </w:p>
                    </w:tc>
                    <w:tc>
                      <w:tcPr>
                        <w:tcW w:w="714" w:type="dxa"/>
                        <w:tcBorders>
                          <w:top w:val="outset" w:color="AAAAAA" w:sz="6" w:space="0"/>
                          <w:left w:val="outset" w:color="AAAAAA" w:sz="6" w:space="0"/>
                          <w:bottom w:val="outset" w:color="AAAAAA" w:sz="6" w:space="0"/>
                          <w:right w:val="outset" w:color="AAAAAA" w:sz="6" w:space="0"/>
                        </w:tcBorders>
                        <w:vAlign w:val="center"/>
                      </w:tcPr>
                      <w:p>
                        <w:pPr>
                          <w:widowControl/>
                          <w:jc w:val="left"/>
                          <w:rPr>
                            <w:rFonts w:ascii="宋体" w:hAnsi="宋体" w:cs="宋体"/>
                            <w:kern w:val="0"/>
                            <w:szCs w:val="21"/>
                          </w:rPr>
                        </w:pPr>
                        <w:r>
                          <w:rPr>
                            <w:rFonts w:ascii="宋体" w:hAnsi="宋体" w:cs="宋体"/>
                            <w:kern w:val="0"/>
                            <w:szCs w:val="21"/>
                          </w:rPr>
                          <w:t> </w:t>
                        </w:r>
                      </w:p>
                    </w:tc>
                  </w:tr>
                </w:tbl>
                <w:p>
                  <w:pPr>
                    <w:ind w:firstLine="420" w:firstLineChars="200"/>
                    <w:rPr>
                      <w:rFonts w:ascii="宋体" w:hAnsi="宋体" w:cs="宋体"/>
                      <w:kern w:val="0"/>
                      <w:szCs w:val="21"/>
                    </w:rPr>
                  </w:pPr>
                  <w:r>
                    <w:rPr>
                      <w:rFonts w:hint="eastAsia" w:ascii="宋体" w:hAnsi="宋体" w:cs="宋体"/>
                      <w:kern w:val="0"/>
                      <w:szCs w:val="21"/>
                    </w:rPr>
                    <w:t>6.合同履行期限：详见招标文件。</w:t>
                  </w:r>
                </w:p>
                <w:p>
                  <w:pPr>
                    <w:ind w:firstLine="420" w:firstLineChars="200"/>
                    <w:rPr>
                      <w:rFonts w:ascii="宋体" w:hAnsi="宋体" w:cs="宋体"/>
                      <w:kern w:val="0"/>
                      <w:szCs w:val="21"/>
                    </w:rPr>
                  </w:pPr>
                  <w:r>
                    <w:rPr>
                      <w:rFonts w:hint="eastAsia" w:ascii="宋体" w:hAnsi="宋体" w:cs="宋体"/>
                      <w:kern w:val="0"/>
                      <w:szCs w:val="21"/>
                    </w:rPr>
                    <w:t>7.本项目（是/否）接受联合体投标：详见“申请人的资格要求”。</w:t>
                  </w:r>
                </w:p>
                <w:p>
                  <w:pPr>
                    <w:spacing w:line="360" w:lineRule="auto"/>
                    <w:rPr>
                      <w:rFonts w:ascii="宋体" w:hAnsi="宋体" w:cs="宋体"/>
                      <w:b/>
                      <w:bCs/>
                      <w:kern w:val="0"/>
                      <w:szCs w:val="21"/>
                    </w:rPr>
                  </w:pPr>
                  <w:r>
                    <w:rPr>
                      <w:rFonts w:hint="eastAsia" w:ascii="宋体" w:hAnsi="宋体" w:cs="宋体"/>
                      <w:b/>
                      <w:bCs/>
                      <w:kern w:val="0"/>
                      <w:szCs w:val="21"/>
                    </w:rPr>
                    <w:t>二、申请人的资格要求：</w:t>
                  </w:r>
                </w:p>
                <w:p>
                  <w:pPr>
                    <w:ind w:firstLine="630" w:firstLineChars="300"/>
                    <w:rPr>
                      <w:rFonts w:ascii="宋体" w:hAnsi="宋体" w:cs="宋体"/>
                      <w:kern w:val="0"/>
                      <w:szCs w:val="21"/>
                    </w:rPr>
                  </w:pPr>
                  <w:r>
                    <w:rPr>
                      <w:rFonts w:hint="eastAsia" w:ascii="宋体" w:hAnsi="宋体" w:cs="宋体"/>
                      <w:kern w:val="0"/>
                      <w:szCs w:val="21"/>
                    </w:rPr>
                    <w:t>1</w:t>
                  </w:r>
                  <w:r>
                    <w:rPr>
                      <w:rFonts w:ascii="宋体" w:hAnsi="宋体" w:cs="宋体"/>
                      <w:kern w:val="0"/>
                      <w:szCs w:val="21"/>
                    </w:rPr>
                    <w:t>.</w:t>
                  </w:r>
                  <w:bookmarkStart w:id="19" w:name="_Hlk72162904"/>
                  <w:r>
                    <w:rPr>
                      <w:rFonts w:hint="eastAsia" w:ascii="宋体" w:hAnsi="宋体" w:cs="宋体"/>
                      <w:kern w:val="0"/>
                      <w:szCs w:val="21"/>
                    </w:rPr>
                    <w:t>具有独立法人资格或是具有独立承担民事责任能力的其它组织（提供营业执照或事业单位法人证书等证明资料扫描件，原件备查）；</w:t>
                  </w:r>
                  <w:bookmarkEnd w:id="19"/>
                </w:p>
                <w:p>
                  <w:pPr>
                    <w:ind w:firstLine="630" w:firstLineChars="300"/>
                    <w:rPr>
                      <w:rFonts w:ascii="宋体" w:hAnsi="宋体" w:cs="宋体"/>
                      <w:kern w:val="0"/>
                      <w:szCs w:val="21"/>
                    </w:rPr>
                  </w:pPr>
                  <w:r>
                    <w:rPr>
                      <w:rFonts w:hint="eastAsia" w:ascii="宋体" w:hAnsi="宋体" w:cs="宋体"/>
                      <w:kern w:val="0"/>
                      <w:szCs w:val="21"/>
                    </w:rPr>
                    <w:t>2</w:t>
                  </w:r>
                  <w:r>
                    <w:rPr>
                      <w:rFonts w:ascii="宋体" w:hAnsi="宋体" w:cs="宋体"/>
                      <w:kern w:val="0"/>
                      <w:szCs w:val="21"/>
                    </w:rPr>
                    <w:t>.</w:t>
                  </w:r>
                  <w:r>
                    <w:rPr>
                      <w:rFonts w:hint="eastAsia" w:ascii="宋体" w:hAnsi="宋体" w:cs="宋体"/>
                      <w:color w:val="FF0000"/>
                      <w:kern w:val="0"/>
                      <w:szCs w:val="21"/>
                    </w:rPr>
                    <w:t>本项目不接受联合体投标，不接受投标人选用进口产品参与投标；</w:t>
                  </w:r>
                </w:p>
                <w:p>
                  <w:pPr>
                    <w:ind w:firstLine="630" w:firstLineChars="300"/>
                    <w:rPr>
                      <w:rFonts w:ascii="宋体" w:hAnsi="宋体" w:cs="宋体"/>
                      <w:kern w:val="0"/>
                      <w:szCs w:val="21"/>
                    </w:rPr>
                  </w:pPr>
                  <w:r>
                    <w:rPr>
                      <w:rFonts w:hint="eastAsia" w:ascii="宋体" w:hAnsi="宋体" w:cs="宋体"/>
                      <w:kern w:val="0"/>
                      <w:szCs w:val="21"/>
                    </w:rPr>
                    <w:t>3</w:t>
                  </w:r>
                  <w:r>
                    <w:rPr>
                      <w:rFonts w:ascii="宋体" w:hAnsi="宋体" w:cs="宋体"/>
                      <w:kern w:val="0"/>
                      <w:szCs w:val="21"/>
                    </w:rPr>
                    <w:t>.</w:t>
                  </w:r>
                  <w:r>
                    <w:rPr>
                      <w:rFonts w:hint="eastAsia" w:ascii="宋体" w:hAnsi="宋体" w:cs="宋体"/>
                      <w:kern w:val="0"/>
                      <w:szCs w:val="21"/>
                    </w:rPr>
                    <w:t>参与本项目投标前三年内，在经营活动中没有重大违法记录（由供应商在《政府采购投标及履约承诺函》中作出声明）；</w:t>
                  </w:r>
                </w:p>
                <w:p>
                  <w:pPr>
                    <w:ind w:firstLine="630" w:firstLineChars="300"/>
                    <w:rPr>
                      <w:rFonts w:ascii="宋体" w:hAnsi="宋体" w:cs="宋体"/>
                      <w:kern w:val="0"/>
                      <w:szCs w:val="21"/>
                    </w:rPr>
                  </w:pPr>
                  <w:r>
                    <w:rPr>
                      <w:rFonts w:hint="eastAsia" w:ascii="宋体" w:hAnsi="宋体" w:cs="宋体"/>
                      <w:kern w:val="0"/>
                      <w:szCs w:val="21"/>
                    </w:rPr>
                    <w:t>4</w:t>
                  </w:r>
                  <w:r>
                    <w:rPr>
                      <w:rFonts w:ascii="宋体" w:hAnsi="宋体" w:cs="宋体"/>
                      <w:kern w:val="0"/>
                      <w:szCs w:val="21"/>
                    </w:rPr>
                    <w:t>.</w:t>
                  </w:r>
                  <w:r>
                    <w:rPr>
                      <w:rFonts w:hint="eastAsia" w:ascii="宋体" w:hAnsi="宋体" w:cs="宋体"/>
                      <w:kern w:val="0"/>
                      <w:szCs w:val="21"/>
                    </w:rPr>
                    <w:t>参与本项目政府采购活动时不存在被有关部门禁止参与政府采购活动且在有效期内的情况（由供应商在《政府采购投标及履约承诺函》中作出声明）；</w:t>
                  </w:r>
                </w:p>
                <w:p>
                  <w:pPr>
                    <w:ind w:firstLine="630" w:firstLineChars="300"/>
                    <w:rPr>
                      <w:rFonts w:ascii="宋体" w:hAnsi="宋体" w:cs="宋体"/>
                      <w:kern w:val="0"/>
                      <w:szCs w:val="21"/>
                    </w:rPr>
                  </w:pPr>
                  <w:r>
                    <w:rPr>
                      <w:rFonts w:hint="eastAsia" w:ascii="宋体" w:hAnsi="宋体" w:cs="宋体"/>
                      <w:kern w:val="0"/>
                      <w:szCs w:val="21"/>
                    </w:rPr>
                    <w:t>5</w:t>
                  </w:r>
                  <w:r>
                    <w:rPr>
                      <w:rFonts w:ascii="宋体" w:hAnsi="宋体" w:cs="宋体"/>
                      <w:kern w:val="0"/>
                      <w:szCs w:val="21"/>
                    </w:rPr>
                    <w:t>.</w:t>
                  </w:r>
                  <w:r>
                    <w:rPr>
                      <w:rFonts w:hint="eastAsia" w:ascii="宋体" w:hAnsi="宋体" w:cs="宋体"/>
                      <w:kern w:val="0"/>
                      <w:szCs w:val="21"/>
                    </w:rPr>
                    <w:t>具备《中华人民共和国政府采购法》第二十二条第一款的条件（由供应商在《政府采购投标及履约承诺函》中作出声明）；</w:t>
                  </w:r>
                </w:p>
                <w:p>
                  <w:pPr>
                    <w:ind w:firstLine="630" w:firstLineChars="300"/>
                    <w:rPr>
                      <w:rFonts w:ascii="宋体" w:hAnsi="宋体" w:cs="宋体"/>
                      <w:kern w:val="0"/>
                      <w:szCs w:val="21"/>
                    </w:rPr>
                  </w:pPr>
                  <w:r>
                    <w:rPr>
                      <w:rFonts w:hint="eastAsia" w:ascii="宋体" w:hAnsi="宋体" w:cs="宋体"/>
                      <w:kern w:val="0"/>
                      <w:szCs w:val="21"/>
                    </w:rPr>
                    <w:t>6</w:t>
                  </w:r>
                  <w:r>
                    <w:rPr>
                      <w:rFonts w:ascii="宋体" w:hAnsi="宋体" w:cs="宋体"/>
                      <w:kern w:val="0"/>
                      <w:szCs w:val="21"/>
                    </w:rPr>
                    <w:t>.</w:t>
                  </w:r>
                  <w:r>
                    <w:rPr>
                      <w:rFonts w:hint="eastAsia" w:ascii="宋体" w:hAnsi="宋体" w:cs="宋体"/>
                      <w:kern w:val="0"/>
                      <w:szCs w:val="21"/>
                    </w:rPr>
                    <w:t>未被列入失信被执行人、重大税收违法案件当事人名单、政府采购严重违法失信行为记录名单（由供应商在《政府采购投标及履约承诺函》中作出声明）。</w:t>
                  </w:r>
                </w:p>
                <w:p>
                  <w:pPr>
                    <w:ind w:firstLine="420" w:firstLineChars="200"/>
                    <w:rPr>
                      <w:rFonts w:ascii="宋体" w:hAnsi="宋体" w:cs="宋体"/>
                      <w:kern w:val="0"/>
                      <w:szCs w:val="21"/>
                    </w:rPr>
                  </w:pPr>
                  <w:r>
                    <w:rPr>
                      <w:rFonts w:hint="eastAsia" w:ascii="宋体" w:hAnsi="宋体" w:cs="宋体"/>
                      <w:kern w:val="0"/>
                      <w:szCs w:val="21"/>
                    </w:rPr>
                    <w:t>注：（1）“信用中国”、“中国政府采购网”、“深圳信用网”以及“深圳市政府采购监管网”为供应商信用信息的查询渠道，相关信息以开标当日的查询结果为准；</w:t>
                  </w:r>
                </w:p>
                <w:p>
                  <w:pPr>
                    <w:ind w:firstLine="420" w:firstLineChars="200"/>
                    <w:rPr>
                      <w:rFonts w:ascii="宋体" w:hAnsi="宋体" w:cs="宋体"/>
                      <w:kern w:val="0"/>
                      <w:szCs w:val="21"/>
                    </w:rPr>
                  </w:pPr>
                  <w:r>
                    <w:rPr>
                      <w:rFonts w:hint="eastAsia" w:ascii="宋体" w:hAnsi="宋体"/>
                    </w:rPr>
                    <w:t>（2）供应商</w:t>
                  </w:r>
                  <w:bookmarkStart w:id="20" w:name="_Hlk72353022"/>
                  <w:r>
                    <w:rPr>
                      <w:rFonts w:hint="eastAsia" w:ascii="宋体" w:hAnsi="宋体"/>
                    </w:rPr>
                    <w:t>投标（上传投标文件）</w:t>
                  </w:r>
                  <w:bookmarkEnd w:id="20"/>
                  <w:r>
                    <w:rPr>
                      <w:rFonts w:hint="eastAsia" w:ascii="宋体" w:hAnsi="宋体"/>
                    </w:rPr>
                    <w:t>必须先行办理注册手续，具体请按照本公告“六、其他补充事宜</w:t>
                  </w:r>
                  <w:r>
                    <w:rPr>
                      <w:rFonts w:ascii="宋体" w:hAnsi="宋体"/>
                    </w:rPr>
                    <w:t>”</w:t>
                  </w:r>
                  <w:r>
                    <w:rPr>
                      <w:rFonts w:hint="eastAsia" w:ascii="宋体" w:hAnsi="宋体"/>
                    </w:rPr>
                    <w:t>相关内容指引办理。</w:t>
                  </w:r>
                </w:p>
                <w:p>
                  <w:pPr>
                    <w:spacing w:line="360" w:lineRule="auto"/>
                    <w:rPr>
                      <w:rFonts w:ascii="宋体" w:hAnsi="宋体" w:cs="宋体"/>
                      <w:b/>
                      <w:bCs/>
                      <w:kern w:val="0"/>
                      <w:szCs w:val="21"/>
                    </w:rPr>
                  </w:pPr>
                  <w:r>
                    <w:rPr>
                      <w:rFonts w:hint="eastAsia" w:ascii="宋体" w:hAnsi="宋体" w:cs="宋体"/>
                      <w:b/>
                      <w:bCs/>
                      <w:kern w:val="0"/>
                      <w:szCs w:val="21"/>
                    </w:rPr>
                    <w:t>三、获取招标文件</w:t>
                  </w:r>
                </w:p>
                <w:p>
                  <w:pPr>
                    <w:ind w:firstLine="420" w:firstLineChars="200"/>
                    <w:rPr>
                      <w:rFonts w:ascii="宋体" w:hAnsi="宋体" w:cs="宋体"/>
                      <w:kern w:val="0"/>
                      <w:szCs w:val="21"/>
                    </w:rPr>
                  </w:pPr>
                  <w:r>
                    <w:rPr>
                      <w:rFonts w:hint="eastAsia" w:ascii="宋体" w:hAnsi="宋体" w:cs="宋体"/>
                      <w:kern w:val="0"/>
                      <w:szCs w:val="21"/>
                    </w:rPr>
                    <w:t>时间：</w:t>
                  </w:r>
                  <w:r>
                    <w:rPr>
                      <w:rFonts w:hint="eastAsia" w:ascii="宋体" w:hAnsi="宋体" w:cs="宋体"/>
                      <w:color w:val="0000FF"/>
                      <w:kern w:val="0"/>
                      <w:szCs w:val="21"/>
                      <w:u w:val="single"/>
                    </w:rPr>
                    <w:t>2021年9月27日</w:t>
                  </w:r>
                  <w:r>
                    <w:rPr>
                      <w:rFonts w:hint="eastAsia" w:ascii="宋体" w:hAnsi="宋体" w:cs="宋体"/>
                      <w:kern w:val="0"/>
                      <w:szCs w:val="21"/>
                    </w:rPr>
                    <w:t>至</w:t>
                  </w:r>
                  <w:r>
                    <w:rPr>
                      <w:rFonts w:hint="eastAsia" w:ascii="宋体" w:hAnsi="宋体" w:cs="宋体"/>
                      <w:color w:val="0000FF"/>
                      <w:kern w:val="0"/>
                      <w:szCs w:val="21"/>
                      <w:u w:val="single"/>
                    </w:rPr>
                    <w:t>2021年10月11日</w:t>
                  </w:r>
                  <w:r>
                    <w:rPr>
                      <w:rFonts w:ascii="宋体" w:hAnsi="宋体" w:cs="宋体"/>
                      <w:color w:val="0000FF"/>
                      <w:kern w:val="0"/>
                      <w:szCs w:val="21"/>
                      <w:u w:val="single"/>
                    </w:rPr>
                    <w:t>14:30:00</w:t>
                  </w:r>
                  <w:r>
                    <w:rPr>
                      <w:rFonts w:hint="eastAsia" w:ascii="宋体" w:hAnsi="宋体" w:cs="宋体"/>
                      <w:kern w:val="0"/>
                      <w:szCs w:val="21"/>
                    </w:rPr>
                    <w:t xml:space="preserve">（北京时间）每天上午00:00至12:00，下午12:00至24:00。 </w:t>
                  </w:r>
                </w:p>
                <w:p>
                  <w:pPr>
                    <w:ind w:firstLine="420" w:firstLineChars="200"/>
                    <w:rPr>
                      <w:rFonts w:ascii="宋体" w:hAnsi="宋体" w:cs="宋体"/>
                      <w:kern w:val="0"/>
                      <w:szCs w:val="21"/>
                    </w:rPr>
                  </w:pPr>
                  <w:r>
                    <w:rPr>
                      <w:rFonts w:hint="eastAsia" w:ascii="宋体" w:hAnsi="宋体" w:cs="宋体"/>
                      <w:kern w:val="0"/>
                      <w:szCs w:val="21"/>
                    </w:rPr>
                    <w:t>地点：登录深圳公共资源交易中心（深圳交易集团有限公司政府采购业务分公司）网站（</w:t>
                  </w:r>
                  <w:r>
                    <w:rPr>
                      <w:rFonts w:ascii="微软雅黑" w:hAnsi="微软雅黑" w:eastAsia="微软雅黑"/>
                      <w:color w:val="333333"/>
                      <w:shd w:val="clear" w:color="auto" w:fill="FFFFFF"/>
                    </w:rPr>
                    <w:t>http://www.szzfcg.cn/</w:t>
                  </w:r>
                  <w:r>
                    <w:rPr>
                      <w:rFonts w:hint="eastAsia" w:ascii="宋体" w:hAnsi="宋体" w:cs="宋体"/>
                      <w:kern w:val="0"/>
                      <w:szCs w:val="21"/>
                    </w:rPr>
                    <w:t xml:space="preserve">）下载本项目的招标文件。 </w:t>
                  </w:r>
                </w:p>
                <w:p>
                  <w:pPr>
                    <w:ind w:firstLine="420" w:firstLineChars="200"/>
                    <w:rPr>
                      <w:rFonts w:ascii="宋体" w:hAnsi="宋体" w:cs="宋体"/>
                      <w:kern w:val="0"/>
                      <w:szCs w:val="21"/>
                    </w:rPr>
                  </w:pPr>
                  <w:r>
                    <w:rPr>
                      <w:rFonts w:hint="eastAsia" w:ascii="宋体" w:hAnsi="宋体" w:cs="宋体"/>
                      <w:kern w:val="0"/>
                      <w:szCs w:val="21"/>
                    </w:rPr>
                    <w:t xml:space="preserve">方式：在线下载。 </w:t>
                  </w:r>
                </w:p>
                <w:p>
                  <w:pPr>
                    <w:ind w:firstLine="420" w:firstLineChars="200"/>
                    <w:rPr>
                      <w:rFonts w:ascii="宋体" w:hAnsi="宋体" w:cs="宋体"/>
                      <w:kern w:val="0"/>
                      <w:szCs w:val="21"/>
                    </w:rPr>
                  </w:pPr>
                  <w:r>
                    <w:rPr>
                      <w:rFonts w:hint="eastAsia" w:ascii="宋体" w:hAnsi="宋体" w:cs="宋体"/>
                      <w:kern w:val="0"/>
                      <w:szCs w:val="21"/>
                    </w:rPr>
                    <w:t>售价：免费。</w:t>
                  </w:r>
                </w:p>
                <w:p>
                  <w:pPr>
                    <w:spacing w:line="360" w:lineRule="auto"/>
                    <w:rPr>
                      <w:rFonts w:ascii="宋体" w:hAnsi="宋体" w:cs="宋体"/>
                      <w:b/>
                      <w:bCs/>
                      <w:kern w:val="0"/>
                      <w:szCs w:val="21"/>
                    </w:rPr>
                  </w:pPr>
                  <w:r>
                    <w:rPr>
                      <w:rFonts w:hint="eastAsia" w:ascii="宋体" w:hAnsi="宋体" w:cs="宋体"/>
                      <w:b/>
                      <w:bCs/>
                      <w:kern w:val="0"/>
                      <w:szCs w:val="21"/>
                    </w:rPr>
                    <w:t>四、提交投标文件截止时间、开标时间和地点</w:t>
                  </w:r>
                </w:p>
                <w:p>
                  <w:pPr>
                    <w:ind w:firstLine="420" w:firstLineChars="200"/>
                    <w:rPr>
                      <w:rFonts w:ascii="宋体" w:hAnsi="宋体" w:cs="宋体"/>
                      <w:iCs/>
                      <w:u w:val="single"/>
                    </w:rPr>
                  </w:pPr>
                  <w:r>
                    <w:rPr>
                      <w:rFonts w:hint="eastAsia" w:ascii="宋体" w:hAnsi="宋体"/>
                      <w:bCs/>
                      <w:color w:val="0000FF"/>
                      <w:u w:val="single"/>
                    </w:rPr>
                    <w:t>2021年10月11日   14点 30分</w:t>
                  </w:r>
                  <w:r>
                    <w:rPr>
                      <w:rFonts w:hint="eastAsia" w:ascii="宋体" w:hAnsi="宋体"/>
                      <w:bCs/>
                    </w:rPr>
                    <w:t>（北京时间）</w:t>
                  </w:r>
                </w:p>
                <w:p>
                  <w:pPr>
                    <w:ind w:firstLine="420" w:firstLineChars="200"/>
                    <w:rPr>
                      <w:rFonts w:ascii="宋体" w:hAnsi="宋体"/>
                      <w:bCs/>
                      <w:u w:val="single"/>
                    </w:rPr>
                  </w:pPr>
                  <w:r>
                    <w:rPr>
                      <w:rFonts w:hint="eastAsia" w:ascii="宋体" w:hAnsi="宋体"/>
                    </w:rPr>
                    <w:t>地点：</w:t>
                  </w:r>
                  <w:r>
                    <w:rPr>
                      <w:rFonts w:hint="eastAsia" w:ascii="宋体" w:hAnsi="宋体" w:cs="宋体"/>
                      <w:kern w:val="0"/>
                    </w:rPr>
                    <w:t>深圳公共资源交易中心（深圳交易集团有限公司政府采购业务分公司）</w:t>
                  </w:r>
                </w:p>
                <w:p>
                  <w:pPr>
                    <w:spacing w:line="360" w:lineRule="auto"/>
                    <w:rPr>
                      <w:rFonts w:ascii="宋体" w:hAnsi="宋体" w:cs="宋体"/>
                      <w:b/>
                      <w:bCs/>
                      <w:kern w:val="0"/>
                      <w:szCs w:val="21"/>
                    </w:rPr>
                  </w:pPr>
                  <w:r>
                    <w:rPr>
                      <w:rFonts w:hint="eastAsia" w:ascii="宋体" w:hAnsi="宋体" w:cs="宋体"/>
                      <w:b/>
                      <w:bCs/>
                      <w:kern w:val="0"/>
                      <w:szCs w:val="21"/>
                    </w:rPr>
                    <w:t>五、公告期限</w:t>
                  </w:r>
                </w:p>
                <w:p>
                  <w:pPr>
                    <w:ind w:firstLine="420" w:firstLineChars="200"/>
                    <w:rPr>
                      <w:rFonts w:ascii="宋体" w:hAnsi="宋体" w:cs="宋体"/>
                      <w:kern w:val="0"/>
                    </w:rPr>
                  </w:pPr>
                  <w:r>
                    <w:rPr>
                      <w:rFonts w:hint="eastAsia" w:ascii="宋体" w:hAnsi="宋体" w:cs="宋体"/>
                      <w:kern w:val="0"/>
                    </w:rPr>
                    <w:t>自本公告发布之日起5个工作日。</w:t>
                  </w:r>
                </w:p>
                <w:p>
                  <w:pPr>
                    <w:spacing w:line="360" w:lineRule="auto"/>
                    <w:rPr>
                      <w:rFonts w:ascii="宋体" w:hAnsi="宋体" w:cs="宋体"/>
                      <w:b/>
                      <w:bCs/>
                      <w:kern w:val="0"/>
                      <w:szCs w:val="21"/>
                    </w:rPr>
                  </w:pPr>
                  <w:r>
                    <w:rPr>
                      <w:rFonts w:hint="eastAsia" w:ascii="宋体" w:hAnsi="宋体" w:cs="宋体"/>
                      <w:b/>
                      <w:bCs/>
                      <w:kern w:val="0"/>
                      <w:szCs w:val="21"/>
                    </w:rPr>
                    <w:t>六、其他补充事宜</w:t>
                  </w:r>
                </w:p>
                <w:p>
                  <w:pPr>
                    <w:ind w:firstLine="420" w:firstLineChars="200"/>
                    <w:rPr>
                      <w:rFonts w:ascii="宋体" w:hAnsi="宋体"/>
                    </w:rPr>
                  </w:pPr>
                  <w:r>
                    <w:rPr>
                      <w:rFonts w:hint="eastAsia" w:ascii="宋体" w:hAnsi="宋体"/>
                    </w:rPr>
                    <w:t>1.本项目实行网上投标，采用电子投标文件。</w:t>
                  </w:r>
                </w:p>
                <w:p>
                  <w:pPr>
                    <w:ind w:firstLine="420" w:firstLineChars="200"/>
                    <w:rPr>
                      <w:rFonts w:ascii="宋体" w:hAnsi="宋体"/>
                    </w:rPr>
                  </w:pPr>
                  <w:r>
                    <w:rPr>
                      <w:rFonts w:hint="eastAsia" w:ascii="宋体" w:hAnsi="宋体"/>
                    </w:rPr>
                    <w:t>2.报名操作：投标人如确定参加投标，首先要在深圳政府采购网上报名投标，方法为登录深圳公共资源交易中心（深圳交易集团有限公司政府采购业务分公司）网后点击“应标管理→投标响应”或“应标管理→确认邀请”；如果网上报名后又不参加投标，应再到【应标管理】→【投标响应】功能点中点击“撤销响应”；如果网上报名后上传了投标文件，又不参加投标，应再到【应标管理】→【上传投标文件】功能点中进行“撤标”操作；如果是未注册为深圳政府采购的供应商，请访问</w:t>
                  </w:r>
                  <w:r>
                    <w:rPr>
                      <w:rFonts w:ascii="宋体" w:hAnsi="宋体"/>
                    </w:rPr>
                    <w:t>深圳公共资源交易中心（深圳交易集团有限公司政府采购业务分公司）</w:t>
                  </w:r>
                  <w:r>
                    <w:rPr>
                      <w:rFonts w:hint="eastAsia" w:ascii="宋体" w:hAnsi="宋体"/>
                    </w:rPr>
                    <w:t>（</w:t>
                  </w:r>
                  <w:r>
                    <w:rPr>
                      <w:rFonts w:ascii="宋体" w:hAnsi="宋体"/>
                    </w:rPr>
                    <w:t>http://www.szzfcg.cn/</w:t>
                  </w:r>
                  <w:r>
                    <w:rPr>
                      <w:rFonts w:hint="eastAsia" w:ascii="宋体" w:hAnsi="宋体"/>
                    </w:rPr>
                    <w:t>）,先办理注册手续（注册咨询：83938966；电子密钥咨询：83948165 4008301330 ），再进行投标报名。在网上报名后，点击“应标管理→下载招标文件”进行招标文件的下载。</w:t>
                  </w:r>
                </w:p>
                <w:p>
                  <w:pPr>
                    <w:ind w:firstLine="420" w:firstLineChars="200"/>
                    <w:rPr>
                      <w:rFonts w:ascii="宋体" w:hAnsi="宋体"/>
                    </w:rPr>
                  </w:pPr>
                  <w:r>
                    <w:rPr>
                      <w:rFonts w:hint="eastAsia" w:ascii="宋体" w:hAnsi="宋体"/>
                    </w:rPr>
                    <w:t>3.投标操作：具体操作为登录“深圳公共资源交易中心（深圳交易集团有限公司政府采购业务分公司）网”，用“应标管理→上传投标文件”功能点上传投标文件。本项目电子投标文件最大容量为100MB，超过此容量的文件将被拒绝。</w:t>
                  </w:r>
                </w:p>
                <w:p>
                  <w:pPr>
                    <w:ind w:firstLine="420" w:firstLineChars="200"/>
                    <w:rPr>
                      <w:rFonts w:ascii="宋体" w:hAnsi="宋体"/>
                    </w:rPr>
                  </w:pPr>
                  <w:r>
                    <w:rPr>
                      <w:rFonts w:hint="eastAsia" w:ascii="宋体" w:hAnsi="宋体"/>
                    </w:rPr>
                    <w:t>4.开标操作：投标人可以登录“深圳公共资源交易中心（深圳交易集团有限公司政府采购业务分公司）网站”，在系统登录首页面即可查看开标情况。</w:t>
                  </w:r>
                </w:p>
                <w:p>
                  <w:pPr>
                    <w:ind w:firstLine="420" w:firstLineChars="200"/>
                    <w:rPr>
                      <w:rFonts w:ascii="宋体" w:hAnsi="宋体"/>
                    </w:rPr>
                  </w:pPr>
                  <w:r>
                    <w:rPr>
                      <w:rFonts w:ascii="宋体" w:hAnsi="宋体"/>
                    </w:rPr>
                    <w:t>5</w:t>
                  </w:r>
                  <w:r>
                    <w:rPr>
                      <w:rFonts w:hint="eastAsia" w:ascii="宋体" w:hAnsi="宋体"/>
                    </w:rPr>
                    <w:t>.采购文件澄清/修改事项：</w:t>
                  </w:r>
                  <w:r>
                    <w:rPr>
                      <w:rFonts w:hint="eastAsia" w:ascii="宋体" w:hAnsi="宋体"/>
                      <w:bCs/>
                      <w:color w:val="0000FF"/>
                      <w:u w:val="single"/>
                    </w:rPr>
                    <w:t>2021年10月06日上午</w:t>
                  </w:r>
                  <w:r>
                    <w:t>00:00</w:t>
                  </w:r>
                  <w:r>
                    <w:rPr>
                      <w:rFonts w:hint="eastAsia" w:ascii="宋体" w:hAnsi="宋体"/>
                    </w:rPr>
                    <w:t>（北京时间）时前，供应商如认为采购文件存在不明确、不清晰和前后不一致等问题，要求对采购文件作出澄清的，可登录深圳公共资源交易中心（深圳交易集团有限公司政府采购业务分公司）网，在“应标管理→提出采购文件澄清要求”功能点中填写需澄清内容。</w:t>
                  </w:r>
                  <w:r>
                    <w:rPr>
                      <w:rFonts w:hint="eastAsia" w:ascii="宋体" w:hAnsi="宋体"/>
                      <w:bCs/>
                      <w:color w:val="0000FF"/>
                      <w:u w:val="single"/>
                    </w:rPr>
                    <w:t>2021年10月08日下午</w:t>
                  </w:r>
                  <w:r>
                    <w:rPr>
                      <w:rFonts w:ascii="宋体" w:hAnsi="宋体"/>
                      <w:bCs/>
                      <w:color w:val="0000FF"/>
                      <w:u w:val="single"/>
                    </w:rPr>
                    <w:t>00:00</w:t>
                  </w:r>
                  <w:r>
                    <w:rPr>
                      <w:rFonts w:hint="eastAsia" w:ascii="宋体" w:hAnsi="宋体"/>
                      <w:bCs/>
                      <w:color w:val="0000FF"/>
                      <w:u w:val="single"/>
                    </w:rPr>
                    <w:t>（北京时间）前</w:t>
                  </w:r>
                  <w:r>
                    <w:rPr>
                      <w:rFonts w:hint="eastAsia" w:ascii="宋体" w:hAnsi="宋体"/>
                    </w:rPr>
                    <w:t>将采购文件澄清/修改情况在“应标管理→采购文件澄清/修改查询”中公布，望投标人予以关注。</w:t>
                  </w:r>
                </w:p>
                <w:p>
                  <w:pPr>
                    <w:ind w:firstLine="420" w:firstLineChars="200"/>
                    <w:rPr>
                      <w:rFonts w:ascii="宋体" w:hAnsi="宋体"/>
                    </w:rPr>
                  </w:pPr>
                  <w:r>
                    <w:rPr>
                      <w:rFonts w:hint="eastAsia" w:ascii="宋体" w:hAnsi="宋体"/>
                    </w:rPr>
                    <w:t>（重要提示：“提出采购文件澄清要求”不等同于“对采购文件质疑”，供应商提出的澄清要求内容如出现“质疑”字眼，将予以退回。供应商如认为采购文件存在限制性、倾向性、其权益受到损害，应在采购文件公布之日起七个工作日内以书面形式提出质疑，质疑材料的内容应符合《政府采购质疑和投诉办法》（财政部令第94号）第十二条的要求。地址：深圳市福田区景田东路70号雅枫国际酒店北门三楼309室，联系电话：</w:t>
                  </w:r>
                  <w:r>
                    <w:rPr>
                      <w:rFonts w:ascii="宋体" w:hAnsi="宋体"/>
                    </w:rPr>
                    <w:t>0755-83948143</w:t>
                  </w:r>
                  <w:r>
                    <w:rPr>
                      <w:rFonts w:hint="eastAsia" w:ascii="宋体" w:hAnsi="宋体"/>
                    </w:rPr>
                    <w:t>。根据《深圳经济特区政府采购条例》第四十二条“供应商投诉的事项应当是经过质疑的事项”的规定，未经正式质疑的，将影响供应商行使向财政部门提起投诉的权利。）</w:t>
                  </w:r>
                </w:p>
                <w:p>
                  <w:pPr>
                    <w:ind w:firstLine="420" w:firstLineChars="200"/>
                    <w:rPr>
                      <w:rFonts w:ascii="宋体" w:hAnsi="宋体"/>
                    </w:rPr>
                  </w:pPr>
                  <w:r>
                    <w:rPr>
                      <w:rFonts w:ascii="宋体" w:hAnsi="宋体"/>
                    </w:rPr>
                    <w:t>6</w:t>
                  </w:r>
                  <w:r>
                    <w:rPr>
                      <w:rFonts w:hint="eastAsia" w:ascii="宋体" w:hAnsi="宋体"/>
                    </w:rPr>
                    <w:t>.深圳公共资源交易中心（深圳交易集团有限公司政府采购业务分公司）有权对投标人就本项目要求提供的相关证明资料（原件）进行审查。供应商提供虚假资料被查实的，则可能面临被取消本项目中标资格、列入不良行为记录名单和三年内禁止参与深圳市政府采购活动的风险。</w:t>
                  </w:r>
                </w:p>
                <w:p>
                  <w:pPr>
                    <w:ind w:firstLine="420" w:firstLineChars="200"/>
                    <w:rPr>
                      <w:rFonts w:ascii="宋体" w:hAnsi="宋体"/>
                    </w:rPr>
                  </w:pPr>
                  <w:r>
                    <w:rPr>
                      <w:rFonts w:ascii="宋体" w:hAnsi="宋体"/>
                    </w:rPr>
                    <w:t>7</w:t>
                  </w:r>
                  <w:r>
                    <w:rPr>
                      <w:rFonts w:hint="eastAsia" w:ascii="宋体" w:hAnsi="宋体"/>
                    </w:rPr>
                    <w:t>.本招标公告及本项目招标文件所涉及的时间一律为北京时间。投标人有义务在招标活动期间浏览深圳公共资源交易中心（深圳交易集团有限公司政府采购业务分公司）网（</w:t>
                  </w:r>
                  <w:r>
                    <w:rPr>
                      <w:rFonts w:ascii="宋体" w:hAnsi="宋体"/>
                    </w:rPr>
                    <w:t>http://www.szzfcg.cn/</w:t>
                  </w:r>
                  <w:r>
                    <w:rPr>
                      <w:rFonts w:hint="eastAsia" w:ascii="宋体" w:hAnsi="宋体"/>
                    </w:rPr>
                    <w:t>），在深圳公共资源交易中心（深圳交易集团有限公司政府采购业务分公司）网上公布的与本次招标项目有关的信息视为已送达各投标人。</w:t>
                  </w:r>
                </w:p>
                <w:p>
                  <w:pPr>
                    <w:ind w:firstLine="420" w:firstLineChars="200"/>
                    <w:rPr>
                      <w:rFonts w:ascii="宋体" w:hAnsi="宋体"/>
                    </w:rPr>
                  </w:pPr>
                  <w:r>
                    <w:rPr>
                      <w:rFonts w:ascii="宋体" w:hAnsi="宋体"/>
                    </w:rPr>
                    <w:t>8</w:t>
                  </w:r>
                  <w:r>
                    <w:rPr>
                      <w:rFonts w:hint="eastAsia" w:ascii="宋体" w:hAnsi="宋体"/>
                    </w:rPr>
                    <w:t>.本项目不需要投标保证金。</w:t>
                  </w:r>
                </w:p>
                <w:p>
                  <w:pPr>
                    <w:spacing w:line="360" w:lineRule="auto"/>
                    <w:rPr>
                      <w:rFonts w:ascii="宋体" w:hAnsi="宋体" w:cs="宋体"/>
                      <w:b/>
                      <w:bCs/>
                      <w:kern w:val="0"/>
                      <w:szCs w:val="21"/>
                    </w:rPr>
                  </w:pPr>
                  <w:r>
                    <w:rPr>
                      <w:rFonts w:hint="eastAsia" w:ascii="宋体" w:hAnsi="宋体" w:cs="宋体"/>
                      <w:b/>
                      <w:bCs/>
                      <w:kern w:val="0"/>
                      <w:szCs w:val="21"/>
                    </w:rPr>
                    <w:t>七、对本次采购提出询问，请按以下方式联系</w:t>
                  </w:r>
                </w:p>
                <w:p>
                  <w:pPr>
                    <w:widowControl/>
                    <w:ind w:firstLine="420" w:firstLineChars="200"/>
                    <w:jc w:val="left"/>
                    <w:rPr>
                      <w:rFonts w:ascii="宋体" w:hAnsi="宋体"/>
                    </w:rPr>
                  </w:pPr>
                  <w:r>
                    <w:rPr>
                      <w:rFonts w:hint="eastAsia" w:ascii="宋体" w:hAnsi="宋体" w:cs="宋体"/>
                    </w:rPr>
                    <w:t>1.采购人信息</w:t>
                  </w:r>
                </w:p>
                <w:p>
                  <w:pPr>
                    <w:spacing w:line="360" w:lineRule="auto"/>
                    <w:ind w:firstLine="420" w:firstLineChars="200"/>
                    <w:rPr>
                      <w:rFonts w:ascii="宋体" w:hAnsi="宋体"/>
                      <w:u w:val="single"/>
                    </w:rPr>
                  </w:pPr>
                  <w:r>
                    <w:rPr>
                      <w:rFonts w:hint="eastAsia" w:ascii="宋体" w:hAnsi="宋体"/>
                    </w:rPr>
                    <w:t>名　称：　</w:t>
                  </w:r>
                  <w:r>
                    <w:rPr>
                      <w:rFonts w:hint="eastAsia" w:ascii="宋体" w:hAnsi="宋体"/>
                      <w:color w:val="0000FF"/>
                    </w:rPr>
                    <w:t>深圳市眼科医院</w:t>
                  </w:r>
                  <w:r>
                    <w:rPr>
                      <w:rFonts w:hint="eastAsia" w:ascii="宋体" w:hAnsi="宋体"/>
                    </w:rPr>
                    <w:t xml:space="preserve"> 　</w:t>
                  </w:r>
                </w:p>
                <w:p>
                  <w:pPr>
                    <w:spacing w:line="360" w:lineRule="auto"/>
                    <w:ind w:firstLine="420" w:firstLineChars="200"/>
                    <w:rPr>
                      <w:rFonts w:ascii="宋体" w:hAnsi="宋体"/>
                      <w:u w:val="single"/>
                    </w:rPr>
                  </w:pPr>
                  <w:r>
                    <w:rPr>
                      <w:rFonts w:hint="eastAsia" w:ascii="宋体" w:hAnsi="宋体"/>
                    </w:rPr>
                    <w:t>地　址：　</w:t>
                  </w:r>
                  <w:r>
                    <w:rPr>
                      <w:rFonts w:ascii="宋体" w:hAnsi="宋体"/>
                      <w:color w:val="0000FF"/>
                    </w:rPr>
                    <w:t>深圳市</w:t>
                  </w:r>
                  <w:r>
                    <w:rPr>
                      <w:rFonts w:hint="eastAsia" w:ascii="宋体" w:hAnsi="宋体"/>
                      <w:color w:val="0000FF"/>
                    </w:rPr>
                    <w:t>福田区泽田路18号</w:t>
                  </w:r>
                </w:p>
                <w:p>
                  <w:pPr>
                    <w:spacing w:line="360" w:lineRule="auto"/>
                    <w:ind w:firstLine="420" w:firstLineChars="200"/>
                    <w:rPr>
                      <w:rFonts w:ascii="宋体" w:hAnsi="宋体"/>
                    </w:rPr>
                  </w:pPr>
                  <w:r>
                    <w:rPr>
                      <w:rFonts w:hint="eastAsia" w:ascii="宋体" w:hAnsi="宋体"/>
                    </w:rPr>
                    <w:t>联系方式：　</w:t>
                  </w:r>
                  <w:r>
                    <w:rPr>
                      <w:rFonts w:hint="eastAsia" w:ascii="宋体" w:hAnsi="宋体"/>
                      <w:color w:val="0000FF"/>
                    </w:rPr>
                    <w:t>苏小姐：0755-23959569</w:t>
                  </w:r>
                  <w:r>
                    <w:rPr>
                      <w:rFonts w:hint="eastAsia" w:ascii="宋体" w:hAnsi="宋体"/>
                    </w:rPr>
                    <w:t xml:space="preserve">　　　   　　　 </w:t>
                  </w:r>
                </w:p>
                <w:p>
                  <w:pPr>
                    <w:spacing w:line="360" w:lineRule="auto"/>
                    <w:ind w:firstLine="420" w:firstLineChars="200"/>
                    <w:jc w:val="left"/>
                    <w:rPr>
                      <w:rFonts w:ascii="宋体" w:hAnsi="宋体"/>
                    </w:rPr>
                  </w:pPr>
                  <w:r>
                    <w:rPr>
                      <w:rFonts w:hint="eastAsia" w:ascii="宋体" w:hAnsi="宋体" w:cs="宋体"/>
                    </w:rPr>
                    <w:t>2.政府集中采购机构</w:t>
                  </w:r>
                </w:p>
                <w:p>
                  <w:pPr>
                    <w:spacing w:line="360" w:lineRule="auto"/>
                    <w:ind w:firstLine="420" w:firstLineChars="200"/>
                    <w:rPr>
                      <w:rFonts w:ascii="宋体" w:hAnsi="宋体"/>
                    </w:rPr>
                  </w:pPr>
                  <w:r>
                    <w:rPr>
                      <w:rFonts w:hint="eastAsia" w:ascii="宋体" w:hAnsi="宋体"/>
                    </w:rPr>
                    <w:t xml:space="preserve">名　称： 深圳公共资源交易中心（深圳交易集团有限公司政府采购业务分公司）           </w:t>
                  </w:r>
                </w:p>
                <w:p>
                  <w:pPr>
                    <w:spacing w:line="360" w:lineRule="auto"/>
                    <w:ind w:firstLine="420" w:firstLineChars="200"/>
                    <w:rPr>
                      <w:rFonts w:ascii="宋体" w:hAnsi="宋体"/>
                    </w:rPr>
                  </w:pPr>
                  <w:r>
                    <w:rPr>
                      <w:rFonts w:hint="eastAsia" w:ascii="宋体" w:hAnsi="宋体"/>
                    </w:rPr>
                    <w:t xml:space="preserve">地　址：深圳市福田区景田路70号雅枫国际酒店北侧交易集团评审区三楼 </w:t>
                  </w:r>
                </w:p>
                <w:p>
                  <w:pPr>
                    <w:spacing w:line="360" w:lineRule="auto"/>
                    <w:ind w:firstLine="420" w:firstLineChars="200"/>
                    <w:rPr>
                      <w:rFonts w:ascii="宋体" w:hAnsi="宋体"/>
                    </w:rPr>
                  </w:pPr>
                  <w:r>
                    <w:rPr>
                      <w:rFonts w:hint="eastAsia" w:ascii="宋体" w:hAnsi="宋体"/>
                    </w:rPr>
                    <w:t xml:space="preserve">联系方式： </w:t>
                  </w:r>
                  <w:r>
                    <w:rPr>
                      <w:rFonts w:ascii="宋体" w:hAnsi="宋体"/>
                    </w:rPr>
                    <w:t>0755</w:t>
                  </w:r>
                  <w:r>
                    <w:rPr>
                      <w:rFonts w:hint="eastAsia" w:ascii="宋体" w:hAnsi="宋体"/>
                    </w:rPr>
                    <w:t>-83948100，83938584，83938599　</w:t>
                  </w:r>
                </w:p>
                <w:p>
                  <w:pPr>
                    <w:ind w:firstLine="420" w:firstLineChars="200"/>
                    <w:rPr>
                      <w:rFonts w:ascii="宋体" w:hAnsi="宋体" w:cs="宋体"/>
                      <w:kern w:val="0"/>
                      <w:szCs w:val="21"/>
                    </w:rPr>
                  </w:pPr>
                  <w:r>
                    <w:rPr>
                      <w:rFonts w:hint="eastAsia" w:ascii="宋体" w:hAnsi="宋体" w:cs="宋体"/>
                      <w:kern w:val="0"/>
                      <w:szCs w:val="21"/>
                    </w:rPr>
                    <w:t>3.项目联系方式</w:t>
                  </w:r>
                </w:p>
                <w:p>
                  <w:pPr>
                    <w:ind w:firstLine="420" w:firstLineChars="200"/>
                    <w:rPr>
                      <w:rFonts w:ascii="宋体" w:hAnsi="宋体" w:cs="宋体"/>
                      <w:kern w:val="0"/>
                      <w:szCs w:val="21"/>
                    </w:rPr>
                  </w:pPr>
                  <w:r>
                    <w:rPr>
                      <w:rFonts w:hint="eastAsia" w:ascii="宋体" w:hAnsi="宋体" w:cs="宋体"/>
                      <w:kern w:val="0"/>
                      <w:szCs w:val="21"/>
                    </w:rPr>
                    <w:t xml:space="preserve">项目联系人： </w:t>
                  </w:r>
                  <w:r>
                    <w:rPr>
                      <w:rFonts w:hint="eastAsia" w:ascii="宋体" w:hAnsi="宋体"/>
                      <w:color w:val="0000FF"/>
                    </w:rPr>
                    <w:t>夏工</w:t>
                  </w:r>
                </w:p>
                <w:p>
                  <w:pPr>
                    <w:ind w:firstLine="420" w:firstLineChars="200"/>
                    <w:rPr>
                      <w:rFonts w:ascii="宋体" w:hAnsi="宋体" w:cs="宋体"/>
                      <w:kern w:val="0"/>
                      <w:szCs w:val="21"/>
                    </w:rPr>
                  </w:pPr>
                  <w:r>
                    <w:rPr>
                      <w:rFonts w:hint="eastAsia" w:ascii="宋体" w:hAnsi="宋体" w:cs="宋体"/>
                      <w:kern w:val="0"/>
                      <w:szCs w:val="21"/>
                    </w:rPr>
                    <w:t xml:space="preserve">电  话： </w:t>
                  </w:r>
                  <w:r>
                    <w:rPr>
                      <w:rFonts w:hint="eastAsia" w:ascii="宋体" w:hAnsi="宋体"/>
                      <w:color w:val="0000FF"/>
                    </w:rPr>
                    <w:t>0755-86500046</w:t>
                  </w:r>
                </w:p>
                <w:p>
                  <w:pPr>
                    <w:pStyle w:val="7"/>
                    <w:spacing w:beforeLines="25" w:afterLines="25"/>
                    <w:ind w:firstLine="0"/>
                  </w:pPr>
                  <w:r>
                    <w:rPr>
                      <w:rFonts w:hint="eastAsia" w:ascii="宋体" w:hAnsi="宋体" w:cs="宋体"/>
                      <w:b/>
                      <w:bCs/>
                      <w:kern w:val="0"/>
                      <w:szCs w:val="21"/>
                    </w:rPr>
                    <w:t>八、附件</w:t>
                  </w:r>
                </w:p>
                <w:p>
                  <w:pPr>
                    <w:pStyle w:val="7"/>
                    <w:spacing w:beforeLines="25" w:afterLines="25"/>
                    <w:ind w:firstLine="392" w:firstLineChars="187"/>
                  </w:pPr>
                  <w:r>
                    <w:rPr>
                      <w:rFonts w:hint="eastAsia"/>
                    </w:rPr>
                    <w:t>招标文件及相关配套软件</w:t>
                  </w:r>
                </w:p>
                <w:p>
                  <w:pPr>
                    <w:spacing w:beforeAutospacing="1" w:afterAutospacing="1"/>
                    <w:rPr>
                      <w:rFonts w:ascii="宋体" w:hAnsi="宋体" w:cs="宋体"/>
                      <w:sz w:val="24"/>
                    </w:rPr>
                  </w:pPr>
                </w:p>
              </w:tc>
            </w:tr>
          </w:tbl>
          <w:p>
            <w:pPr>
              <w:rPr>
                <w:rFonts w:ascii="宋体" w:hAnsi="宋体" w:cs="宋体"/>
                <w:sz w:val="24"/>
              </w:rPr>
            </w:pPr>
          </w:p>
        </w:tc>
      </w:tr>
    </w:tbl>
    <w:p>
      <w:r>
        <w:rPr>
          <w:rFonts w:hint="eastAsia"/>
        </w:rPr>
        <w:br w:type="page"/>
      </w:r>
    </w:p>
    <w:p>
      <w:pPr>
        <w:pStyle w:val="5"/>
        <w:rPr>
          <w:sz w:val="28"/>
          <w:szCs w:val="28"/>
        </w:rPr>
      </w:pPr>
      <w:r>
        <w:rPr>
          <w:rFonts w:hint="eastAsia"/>
          <w:sz w:val="28"/>
          <w:szCs w:val="28"/>
        </w:rPr>
        <w:t>第二章 对通用条款的补充内容及其他关键信息</w:t>
      </w:r>
    </w:p>
    <w:p>
      <w:pPr>
        <w:pStyle w:val="5"/>
        <w:spacing w:beforeLines="50" w:afterLines="50"/>
        <w:rPr>
          <w:sz w:val="28"/>
          <w:szCs w:val="28"/>
        </w:rPr>
      </w:pPr>
      <w:bookmarkStart w:id="21" w:name="_Toc73517639"/>
      <w:bookmarkStart w:id="22" w:name="_Toc73521635"/>
      <w:bookmarkStart w:id="23" w:name="_Toc60631620"/>
      <w:bookmarkStart w:id="24" w:name="_Toc101074876"/>
      <w:bookmarkStart w:id="25" w:name="_Toc60560625"/>
      <w:bookmarkStart w:id="26" w:name="_Toc100052364"/>
      <w:bookmarkStart w:id="27" w:name="_Toc73521547"/>
      <w:bookmarkStart w:id="28" w:name="_Toc73518117"/>
      <w:r>
        <w:rPr>
          <w:rFonts w:hint="eastAsia"/>
          <w:szCs w:val="24"/>
        </w:rPr>
        <w:t>一、对通用条款的补充内容</w:t>
      </w:r>
    </w:p>
    <w:bookmarkEnd w:id="21"/>
    <w:bookmarkEnd w:id="22"/>
    <w:bookmarkEnd w:id="23"/>
    <w:bookmarkEnd w:id="24"/>
    <w:bookmarkEnd w:id="25"/>
    <w:bookmarkEnd w:id="26"/>
    <w:bookmarkEnd w:id="27"/>
    <w:bookmarkEnd w:id="28"/>
    <w:tbl>
      <w:tblPr>
        <w:tblStyle w:val="42"/>
        <w:tblW w:w="8367"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978"/>
        <w:gridCol w:w="2409"/>
        <w:gridCol w:w="498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b/>
                <w:bCs/>
              </w:rPr>
            </w:pPr>
            <w:r>
              <w:rPr>
                <w:rFonts w:hint="eastAsia" w:ascii="宋体" w:hAnsi="宋体"/>
                <w:b/>
                <w:bCs/>
              </w:rPr>
              <w:t>通用条款序号</w:t>
            </w:r>
          </w:p>
        </w:tc>
        <w:tc>
          <w:tcPr>
            <w:tcW w:w="2409" w:type="dxa"/>
            <w:vAlign w:val="center"/>
          </w:tcPr>
          <w:p>
            <w:pPr>
              <w:jc w:val="center"/>
              <w:rPr>
                <w:rFonts w:ascii="宋体" w:hAnsi="宋体"/>
                <w:b/>
                <w:bCs/>
              </w:rPr>
            </w:pPr>
            <w:r>
              <w:rPr>
                <w:rFonts w:hint="eastAsia" w:ascii="宋体" w:hAnsi="宋体"/>
                <w:b/>
                <w:bCs/>
              </w:rPr>
              <w:t>涉及事项</w:t>
            </w:r>
          </w:p>
        </w:tc>
        <w:tc>
          <w:tcPr>
            <w:tcW w:w="4980" w:type="dxa"/>
            <w:vAlign w:val="center"/>
          </w:tcPr>
          <w:p>
            <w:pPr>
              <w:jc w:val="center"/>
              <w:rPr>
                <w:rFonts w:ascii="宋体" w:hAnsi="宋体"/>
                <w:b/>
                <w:bCs/>
              </w:rPr>
            </w:pPr>
            <w:r>
              <w:rPr>
                <w:rFonts w:hint="eastAsia" w:ascii="宋体" w:hAnsi="宋体"/>
                <w:b/>
                <w:bCs/>
              </w:rPr>
              <w:t xml:space="preserve">具 </w:t>
            </w:r>
            <w:r>
              <w:rPr>
                <w:rFonts w:ascii="宋体" w:hAnsi="宋体"/>
                <w:b/>
                <w:bCs/>
              </w:rPr>
              <w:t xml:space="preserve"> </w:t>
            </w:r>
            <w:r>
              <w:rPr>
                <w:rFonts w:hint="eastAsia" w:ascii="宋体" w:hAnsi="宋体"/>
                <w:b/>
                <w:bCs/>
              </w:rPr>
              <w:t xml:space="preserve">体 </w:t>
            </w:r>
            <w:r>
              <w:rPr>
                <w:rFonts w:ascii="宋体" w:hAnsi="宋体"/>
                <w:b/>
                <w:bCs/>
              </w:rPr>
              <w:t xml:space="preserve"> </w:t>
            </w:r>
            <w:r>
              <w:rPr>
                <w:rFonts w:hint="eastAsia" w:ascii="宋体" w:hAnsi="宋体"/>
                <w:b/>
                <w:bCs/>
              </w:rPr>
              <w:t xml:space="preserve">补 </w:t>
            </w:r>
            <w:r>
              <w:rPr>
                <w:rFonts w:ascii="宋体" w:hAnsi="宋体"/>
                <w:b/>
                <w:bCs/>
              </w:rPr>
              <w:t xml:space="preserve"> </w:t>
            </w:r>
            <w:r>
              <w:rPr>
                <w:rFonts w:hint="eastAsia" w:ascii="宋体" w:hAnsi="宋体"/>
                <w:b/>
                <w:bCs/>
              </w:rPr>
              <w:t xml:space="preserve">充 </w:t>
            </w:r>
            <w:r>
              <w:rPr>
                <w:rFonts w:ascii="宋体" w:hAnsi="宋体"/>
                <w:b/>
                <w:bCs/>
              </w:rPr>
              <w:t xml:space="preserve"> </w:t>
            </w:r>
            <w:r>
              <w:rPr>
                <w:rFonts w:hint="eastAsia" w:ascii="宋体" w:hAnsi="宋体"/>
                <w:b/>
                <w:bCs/>
              </w:rPr>
              <w:t xml:space="preserve">内 </w:t>
            </w:r>
            <w:r>
              <w:rPr>
                <w:rFonts w:ascii="宋体" w:hAnsi="宋体"/>
                <w:b/>
                <w:bCs/>
              </w:rPr>
              <w:t xml:space="preserve"> </w:t>
            </w:r>
            <w:r>
              <w:rPr>
                <w:rFonts w:hint="eastAsia" w:ascii="宋体" w:hAnsi="宋体"/>
                <w:b/>
                <w:bCs/>
              </w:rPr>
              <w:t>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rPr>
            </w:pPr>
            <w:r>
              <w:rPr>
                <w:rFonts w:hint="eastAsia" w:ascii="宋体" w:hAnsi="宋体"/>
              </w:rPr>
              <w:t>3</w:t>
            </w:r>
            <w:r>
              <w:rPr>
                <w:rFonts w:ascii="宋体" w:hAnsi="宋体"/>
              </w:rPr>
              <w:t>.1</w:t>
            </w:r>
          </w:p>
        </w:tc>
        <w:tc>
          <w:tcPr>
            <w:tcW w:w="2409" w:type="dxa"/>
            <w:vAlign w:val="center"/>
          </w:tcPr>
          <w:p>
            <w:pPr>
              <w:jc w:val="center"/>
            </w:pPr>
            <w:r>
              <w:rPr>
                <w:rFonts w:hint="eastAsia"/>
              </w:rPr>
              <w:t>采购人</w:t>
            </w:r>
          </w:p>
        </w:tc>
        <w:tc>
          <w:tcPr>
            <w:tcW w:w="4980" w:type="dxa"/>
            <w:vAlign w:val="center"/>
          </w:tcPr>
          <w:p>
            <w:pPr>
              <w:jc w:val="center"/>
              <w:rPr>
                <w:rFonts w:ascii="宋体" w:hAnsi="宋体"/>
              </w:rPr>
            </w:pPr>
            <w:r>
              <w:rPr>
                <w:rFonts w:hint="eastAsia" w:ascii="宋体" w:hAnsi="宋体"/>
              </w:rPr>
              <w:t>深圳市眼科医院</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rPr>
            </w:pPr>
            <w:r>
              <w:rPr>
                <w:rFonts w:hint="eastAsia" w:ascii="宋体" w:hAnsi="宋体"/>
              </w:rPr>
              <w:t>3</w:t>
            </w:r>
            <w:r>
              <w:rPr>
                <w:rFonts w:ascii="宋体" w:hAnsi="宋体"/>
              </w:rPr>
              <w:t>.2</w:t>
            </w:r>
          </w:p>
        </w:tc>
        <w:tc>
          <w:tcPr>
            <w:tcW w:w="2409" w:type="dxa"/>
            <w:vAlign w:val="center"/>
          </w:tcPr>
          <w:p>
            <w:pPr>
              <w:jc w:val="center"/>
              <w:rPr>
                <w:rFonts w:ascii="宋体" w:hAnsi="宋体"/>
              </w:rPr>
            </w:pPr>
            <w:r>
              <w:rPr>
                <w:rFonts w:hint="eastAsia" w:ascii="宋体" w:hAnsi="宋体"/>
              </w:rPr>
              <w:t>政府集中采购机构</w:t>
            </w:r>
          </w:p>
        </w:tc>
        <w:tc>
          <w:tcPr>
            <w:tcW w:w="4980" w:type="dxa"/>
            <w:vAlign w:val="center"/>
          </w:tcPr>
          <w:p>
            <w:pPr>
              <w:jc w:val="left"/>
              <w:rPr>
                <w:rFonts w:ascii="宋体" w:hAnsi="宋体"/>
              </w:rPr>
            </w:pPr>
            <w:r>
              <w:rPr>
                <w:rFonts w:hint="eastAsia" w:ascii="宋体" w:hAnsi="宋体"/>
              </w:rPr>
              <w:t>深圳公共资源交易中心（深圳交易集团有限公司政府采购业务分公司）</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rPr>
            </w:pPr>
            <w:r>
              <w:rPr>
                <w:rFonts w:hint="eastAsia" w:ascii="宋体" w:hAnsi="宋体"/>
              </w:rPr>
              <w:t>5</w:t>
            </w:r>
            <w:r>
              <w:rPr>
                <w:rFonts w:ascii="宋体" w:hAnsi="宋体"/>
              </w:rPr>
              <w:t>.3</w:t>
            </w:r>
          </w:p>
        </w:tc>
        <w:tc>
          <w:tcPr>
            <w:tcW w:w="2409" w:type="dxa"/>
            <w:vAlign w:val="center"/>
          </w:tcPr>
          <w:p>
            <w:pPr>
              <w:jc w:val="center"/>
              <w:rPr>
                <w:rFonts w:ascii="宋体" w:hAnsi="宋体"/>
              </w:rPr>
            </w:pPr>
            <w:r>
              <w:rPr>
                <w:rFonts w:hint="eastAsia" w:ascii="宋体" w:hAnsi="宋体"/>
              </w:rPr>
              <w:t>联合体投标</w:t>
            </w:r>
          </w:p>
        </w:tc>
        <w:tc>
          <w:tcPr>
            <w:tcW w:w="4980" w:type="dxa"/>
            <w:vAlign w:val="center"/>
          </w:tcPr>
          <w:p>
            <w:pPr>
              <w:jc w:val="left"/>
              <w:rPr>
                <w:rFonts w:ascii="宋体" w:hAnsi="宋体"/>
                <w:highlight w:val="yellow"/>
              </w:rPr>
            </w:pPr>
            <w:r>
              <w:rPr>
                <w:rFonts w:hint="eastAsia" w:ascii="宋体" w:hAnsi="宋体"/>
                <w:highlight w:val="yellow"/>
              </w:rPr>
              <w:t>不接受</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rPr>
            </w:pPr>
            <w:r>
              <w:rPr>
                <w:rFonts w:hint="eastAsia" w:ascii="宋体" w:hAnsi="宋体"/>
              </w:rPr>
              <w:t>9</w:t>
            </w:r>
          </w:p>
        </w:tc>
        <w:tc>
          <w:tcPr>
            <w:tcW w:w="2409" w:type="dxa"/>
            <w:vAlign w:val="center"/>
          </w:tcPr>
          <w:p>
            <w:pPr>
              <w:jc w:val="center"/>
              <w:rPr>
                <w:rFonts w:ascii="宋体" w:hAnsi="宋体"/>
              </w:rPr>
            </w:pPr>
            <w:r>
              <w:rPr>
                <w:rFonts w:hint="eastAsia" w:ascii="宋体" w:hAnsi="宋体"/>
              </w:rPr>
              <w:t>踏勘现场</w:t>
            </w:r>
          </w:p>
        </w:tc>
        <w:tc>
          <w:tcPr>
            <w:tcW w:w="4980" w:type="dxa"/>
            <w:vAlign w:val="center"/>
          </w:tcPr>
          <w:p>
            <w:pPr>
              <w:jc w:val="left"/>
              <w:rPr>
                <w:rFonts w:ascii="宋体" w:hAnsi="宋体"/>
                <w:highlight w:val="yellow"/>
              </w:rPr>
            </w:pPr>
            <w:r>
              <w:rPr>
                <w:rFonts w:hint="eastAsia" w:ascii="宋体" w:hAnsi="宋体"/>
                <w:highlight w:val="yellow"/>
              </w:rPr>
              <w:t>不组织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rPr>
            </w:pPr>
            <w:r>
              <w:rPr>
                <w:rFonts w:hint="eastAsia" w:ascii="宋体" w:hAnsi="宋体"/>
              </w:rPr>
              <w:t>1</w:t>
            </w:r>
            <w:r>
              <w:rPr>
                <w:rFonts w:ascii="宋体" w:hAnsi="宋体"/>
              </w:rPr>
              <w:t>0</w:t>
            </w:r>
          </w:p>
        </w:tc>
        <w:tc>
          <w:tcPr>
            <w:tcW w:w="2409" w:type="dxa"/>
            <w:vAlign w:val="center"/>
          </w:tcPr>
          <w:p>
            <w:pPr>
              <w:jc w:val="center"/>
              <w:rPr>
                <w:rFonts w:ascii="宋体" w:hAnsi="宋体"/>
              </w:rPr>
            </w:pPr>
            <w:r>
              <w:rPr>
                <w:rFonts w:hint="eastAsia" w:ascii="宋体" w:hAnsi="宋体"/>
              </w:rPr>
              <w:t>标前会议</w:t>
            </w:r>
          </w:p>
        </w:tc>
        <w:tc>
          <w:tcPr>
            <w:tcW w:w="4980" w:type="dxa"/>
            <w:vAlign w:val="center"/>
          </w:tcPr>
          <w:p>
            <w:pPr>
              <w:jc w:val="left"/>
              <w:rPr>
                <w:rFonts w:ascii="宋体" w:hAnsi="宋体"/>
                <w:highlight w:val="yellow"/>
              </w:rPr>
            </w:pPr>
            <w:r>
              <w:rPr>
                <w:rFonts w:hint="eastAsia" w:ascii="宋体" w:hAnsi="宋体"/>
                <w:highlight w:val="yellow"/>
              </w:rPr>
              <w:t>不组织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rPr>
            </w:pPr>
            <w:r>
              <w:rPr>
                <w:rFonts w:hint="eastAsia" w:ascii="宋体" w:hAnsi="宋体"/>
              </w:rPr>
              <w:t>1</w:t>
            </w:r>
            <w:r>
              <w:rPr>
                <w:rFonts w:ascii="宋体" w:hAnsi="宋体"/>
              </w:rPr>
              <w:t>2</w:t>
            </w:r>
            <w:r>
              <w:rPr>
                <w:rFonts w:hint="eastAsia" w:ascii="宋体" w:hAnsi="宋体"/>
              </w:rPr>
              <w:t>/1</w:t>
            </w:r>
            <w:r>
              <w:rPr>
                <w:rFonts w:ascii="宋体" w:hAnsi="宋体"/>
              </w:rPr>
              <w:t>3</w:t>
            </w:r>
          </w:p>
        </w:tc>
        <w:tc>
          <w:tcPr>
            <w:tcW w:w="2409" w:type="dxa"/>
            <w:vAlign w:val="center"/>
          </w:tcPr>
          <w:p>
            <w:pPr>
              <w:jc w:val="center"/>
              <w:rPr>
                <w:rFonts w:ascii="宋体" w:hAnsi="宋体"/>
              </w:rPr>
            </w:pPr>
            <w:r>
              <w:rPr>
                <w:rFonts w:hint="eastAsia" w:ascii="宋体" w:hAnsi="宋体"/>
              </w:rPr>
              <w:t>招标文件的澄清和修改</w:t>
            </w:r>
          </w:p>
        </w:tc>
        <w:tc>
          <w:tcPr>
            <w:tcW w:w="4980" w:type="dxa"/>
            <w:vAlign w:val="center"/>
          </w:tcPr>
          <w:p>
            <w:pPr>
              <w:jc w:val="left"/>
              <w:rPr>
                <w:rFonts w:ascii="宋体" w:hAnsi="宋体"/>
              </w:rPr>
            </w:pPr>
            <w:r>
              <w:rPr>
                <w:rFonts w:hint="eastAsia" w:ascii="宋体" w:hAnsi="宋体"/>
              </w:rPr>
              <w:t>不晚于投标截止日三日前（详见招标公告），投标人有义务在招标期间在政府集中采购机构网站浏览与本项目有关的澄清和修改信息</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rPr>
            </w:pPr>
            <w:r>
              <w:rPr>
                <w:rFonts w:hint="eastAsia" w:ascii="宋体" w:hAnsi="宋体"/>
              </w:rPr>
              <w:t>2</w:t>
            </w:r>
            <w:r>
              <w:rPr>
                <w:rFonts w:ascii="宋体" w:hAnsi="宋体"/>
              </w:rPr>
              <w:t>0</w:t>
            </w:r>
          </w:p>
        </w:tc>
        <w:tc>
          <w:tcPr>
            <w:tcW w:w="2409" w:type="dxa"/>
            <w:vAlign w:val="center"/>
          </w:tcPr>
          <w:p>
            <w:pPr>
              <w:jc w:val="center"/>
              <w:rPr>
                <w:rFonts w:ascii="宋体" w:hAnsi="宋体"/>
              </w:rPr>
            </w:pPr>
            <w:r>
              <w:rPr>
                <w:rFonts w:hint="eastAsia" w:ascii="宋体" w:hAnsi="宋体"/>
              </w:rPr>
              <w:t>投标有效期</w:t>
            </w:r>
          </w:p>
        </w:tc>
        <w:tc>
          <w:tcPr>
            <w:tcW w:w="4980" w:type="dxa"/>
            <w:vAlign w:val="center"/>
          </w:tcPr>
          <w:p>
            <w:pPr>
              <w:jc w:val="center"/>
              <w:rPr>
                <w:rFonts w:ascii="宋体" w:hAnsi="宋体"/>
              </w:rPr>
            </w:pPr>
            <w:r>
              <w:rPr>
                <w:rFonts w:hint="eastAsia" w:ascii="宋体" w:hAnsi="宋体"/>
              </w:rPr>
              <w:t>120个日历日</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rPr>
            </w:pPr>
            <w:r>
              <w:rPr>
                <w:rFonts w:hint="eastAsia" w:ascii="宋体" w:hAnsi="宋体"/>
              </w:rPr>
              <w:t>2</w:t>
            </w:r>
            <w:r>
              <w:rPr>
                <w:rFonts w:ascii="宋体" w:hAnsi="宋体"/>
              </w:rPr>
              <w:t>2</w:t>
            </w:r>
          </w:p>
        </w:tc>
        <w:tc>
          <w:tcPr>
            <w:tcW w:w="2409" w:type="dxa"/>
            <w:vAlign w:val="center"/>
          </w:tcPr>
          <w:p>
            <w:pPr>
              <w:jc w:val="center"/>
              <w:rPr>
                <w:rFonts w:ascii="宋体" w:hAnsi="宋体"/>
              </w:rPr>
            </w:pPr>
            <w:r>
              <w:rPr>
                <w:rFonts w:hint="eastAsia" w:ascii="宋体" w:hAnsi="宋体"/>
              </w:rPr>
              <w:t>投标人的替代方案</w:t>
            </w:r>
          </w:p>
        </w:tc>
        <w:tc>
          <w:tcPr>
            <w:tcW w:w="4980" w:type="dxa"/>
            <w:vAlign w:val="center"/>
          </w:tcPr>
          <w:p>
            <w:pPr>
              <w:jc w:val="center"/>
              <w:rPr>
                <w:rFonts w:ascii="宋体" w:hAnsi="宋体"/>
              </w:rPr>
            </w:pPr>
            <w:r>
              <w:rPr>
                <w:rFonts w:hint="eastAsia" w:ascii="宋体" w:hAnsi="宋体"/>
              </w:rPr>
              <w:t>不接受</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rPr>
            </w:pPr>
            <w:r>
              <w:rPr>
                <w:rFonts w:hint="eastAsia" w:ascii="宋体" w:hAnsi="宋体"/>
              </w:rPr>
              <w:t>2</w:t>
            </w:r>
            <w:r>
              <w:rPr>
                <w:rFonts w:ascii="宋体" w:hAnsi="宋体"/>
              </w:rPr>
              <w:t>5</w:t>
            </w:r>
          </w:p>
        </w:tc>
        <w:tc>
          <w:tcPr>
            <w:tcW w:w="2409" w:type="dxa"/>
            <w:vAlign w:val="center"/>
          </w:tcPr>
          <w:p>
            <w:pPr>
              <w:jc w:val="center"/>
              <w:rPr>
                <w:rFonts w:ascii="宋体" w:hAnsi="宋体"/>
              </w:rPr>
            </w:pPr>
            <w:r>
              <w:rPr>
                <w:rFonts w:hint="eastAsia" w:ascii="宋体" w:hAnsi="宋体"/>
              </w:rPr>
              <w:t>投标文件的大小</w:t>
            </w:r>
          </w:p>
        </w:tc>
        <w:tc>
          <w:tcPr>
            <w:tcW w:w="4980" w:type="dxa"/>
            <w:vAlign w:val="center"/>
          </w:tcPr>
          <w:p>
            <w:pPr>
              <w:jc w:val="left"/>
              <w:rPr>
                <w:rFonts w:ascii="宋体" w:hAnsi="宋体"/>
              </w:rPr>
            </w:pPr>
            <w:r>
              <w:rPr>
                <w:rFonts w:hint="eastAsia" w:ascii="宋体" w:hAnsi="宋体"/>
              </w:rPr>
              <w:t>投标文件大小不得超过</w:t>
            </w:r>
            <w:r>
              <w:rPr>
                <w:rFonts w:ascii="宋体" w:hAnsi="宋体"/>
              </w:rPr>
              <w:t>1</w:t>
            </w:r>
            <w:r>
              <w:rPr>
                <w:rFonts w:hint="eastAsia" w:ascii="宋体" w:hAnsi="宋体"/>
              </w:rPr>
              <w:t>00MB</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rPr>
            </w:pPr>
            <w:r>
              <w:rPr>
                <w:rFonts w:hint="eastAsia" w:ascii="宋体" w:hAnsi="宋体"/>
              </w:rPr>
              <w:t>2</w:t>
            </w:r>
            <w:r>
              <w:rPr>
                <w:rFonts w:ascii="宋体" w:hAnsi="宋体"/>
              </w:rPr>
              <w:t>6</w:t>
            </w:r>
          </w:p>
        </w:tc>
        <w:tc>
          <w:tcPr>
            <w:tcW w:w="2409" w:type="dxa"/>
            <w:vAlign w:val="center"/>
          </w:tcPr>
          <w:p>
            <w:pPr>
              <w:jc w:val="center"/>
              <w:rPr>
                <w:rFonts w:ascii="宋体" w:hAnsi="宋体"/>
              </w:rPr>
            </w:pPr>
            <w:bookmarkStart w:id="29" w:name="_Hlk71664860"/>
            <w:r>
              <w:rPr>
                <w:rFonts w:hint="eastAsia" w:ascii="宋体" w:hAnsi="宋体"/>
              </w:rPr>
              <w:t>样品、现场演示、方案讲解</w:t>
            </w:r>
            <w:bookmarkEnd w:id="29"/>
          </w:p>
        </w:tc>
        <w:tc>
          <w:tcPr>
            <w:tcW w:w="4980" w:type="dxa"/>
            <w:vAlign w:val="center"/>
          </w:tcPr>
          <w:p>
            <w:pPr>
              <w:jc w:val="left"/>
              <w:rPr>
                <w:rFonts w:ascii="宋体" w:hAnsi="宋体"/>
              </w:rPr>
            </w:pPr>
            <w:r>
              <w:rPr>
                <w:rFonts w:hint="eastAsia" w:ascii="宋体" w:hAnsi="宋体"/>
                <w:highlight w:val="yellow"/>
              </w:rPr>
              <w:t>无</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rPr>
            </w:pPr>
            <w:r>
              <w:rPr>
                <w:rFonts w:hint="eastAsia" w:ascii="宋体" w:hAnsi="宋体"/>
              </w:rPr>
              <w:t>3</w:t>
            </w:r>
            <w:r>
              <w:rPr>
                <w:rFonts w:ascii="宋体" w:hAnsi="宋体"/>
              </w:rPr>
              <w:t>7</w:t>
            </w:r>
          </w:p>
        </w:tc>
        <w:tc>
          <w:tcPr>
            <w:tcW w:w="2409" w:type="dxa"/>
            <w:vAlign w:val="center"/>
          </w:tcPr>
          <w:p>
            <w:pPr>
              <w:jc w:val="center"/>
              <w:rPr>
                <w:rFonts w:ascii="宋体" w:hAnsi="宋体"/>
              </w:rPr>
            </w:pPr>
            <w:r>
              <w:rPr>
                <w:rFonts w:hint="eastAsia" w:ascii="宋体" w:hAnsi="宋体"/>
              </w:rPr>
              <w:t>评审方法</w:t>
            </w:r>
          </w:p>
        </w:tc>
        <w:tc>
          <w:tcPr>
            <w:tcW w:w="4980" w:type="dxa"/>
            <w:vAlign w:val="center"/>
          </w:tcPr>
          <w:p>
            <w:pPr>
              <w:jc w:val="left"/>
              <w:rPr>
                <w:rFonts w:ascii="宋体" w:hAnsi="宋体"/>
              </w:rPr>
            </w:pPr>
            <w:r>
              <w:rPr>
                <w:rFonts w:hint="eastAsia" w:ascii="宋体" w:hAnsi="宋体"/>
                <w:highlight w:val="yellow"/>
              </w:rPr>
              <w:t>综合评分法</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rPr>
            </w:pPr>
            <w:r>
              <w:rPr>
                <w:rFonts w:hint="eastAsia" w:ascii="宋体" w:hAnsi="宋体"/>
              </w:rPr>
              <w:t>3</w:t>
            </w:r>
            <w:r>
              <w:rPr>
                <w:rFonts w:ascii="宋体" w:hAnsi="宋体"/>
              </w:rPr>
              <w:t>8</w:t>
            </w:r>
          </w:p>
        </w:tc>
        <w:tc>
          <w:tcPr>
            <w:tcW w:w="2409" w:type="dxa"/>
            <w:vAlign w:val="center"/>
          </w:tcPr>
          <w:p>
            <w:pPr>
              <w:jc w:val="center"/>
              <w:rPr>
                <w:rFonts w:ascii="宋体" w:hAnsi="宋体"/>
              </w:rPr>
            </w:pPr>
            <w:r>
              <w:rPr>
                <w:rFonts w:hint="eastAsia" w:ascii="宋体" w:hAnsi="宋体"/>
              </w:rPr>
              <w:t>定标方法</w:t>
            </w:r>
          </w:p>
        </w:tc>
        <w:tc>
          <w:tcPr>
            <w:tcW w:w="4980" w:type="dxa"/>
            <w:vAlign w:val="center"/>
          </w:tcPr>
          <w:p>
            <w:pPr>
              <w:jc w:val="left"/>
              <w:rPr>
                <w:rFonts w:ascii="宋体" w:hAnsi="宋体"/>
              </w:rPr>
            </w:pPr>
            <w:r>
              <w:rPr>
                <w:rFonts w:hint="eastAsia" w:ascii="宋体" w:hAnsi="宋体"/>
                <w:highlight w:val="yellow"/>
              </w:rPr>
              <w:t>非评定分离</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rPr>
            </w:pPr>
            <w:r>
              <w:rPr>
                <w:rFonts w:hint="eastAsia" w:ascii="宋体" w:hAnsi="宋体"/>
              </w:rPr>
              <w:t>4</w:t>
            </w:r>
            <w:r>
              <w:rPr>
                <w:rFonts w:ascii="宋体" w:hAnsi="宋体"/>
              </w:rPr>
              <w:t>6</w:t>
            </w:r>
          </w:p>
        </w:tc>
        <w:tc>
          <w:tcPr>
            <w:tcW w:w="2409" w:type="dxa"/>
            <w:vAlign w:val="center"/>
          </w:tcPr>
          <w:p>
            <w:pPr>
              <w:jc w:val="center"/>
              <w:rPr>
                <w:rFonts w:ascii="宋体" w:hAnsi="宋体"/>
              </w:rPr>
            </w:pPr>
            <w:r>
              <w:rPr>
                <w:rFonts w:hint="eastAsia" w:ascii="宋体" w:hAnsi="宋体"/>
              </w:rPr>
              <w:t>履约担保</w:t>
            </w:r>
          </w:p>
        </w:tc>
        <w:tc>
          <w:tcPr>
            <w:tcW w:w="4980" w:type="dxa"/>
            <w:vAlign w:val="center"/>
          </w:tcPr>
          <w:p>
            <w:pPr>
              <w:jc w:val="left"/>
              <w:rPr>
                <w:rFonts w:ascii="宋体" w:hAnsi="宋体"/>
                <w:highlight w:val="yellow"/>
              </w:rPr>
            </w:pPr>
            <w:r>
              <w:rPr>
                <w:rFonts w:hint="eastAsia" w:ascii="宋体" w:hAnsi="宋体"/>
                <w:highlight w:val="yellow"/>
              </w:rPr>
              <w:t>不需要</w:t>
            </w:r>
          </w:p>
        </w:tc>
      </w:tr>
    </w:tbl>
    <w:p>
      <w:pPr>
        <w:rPr>
          <w:b/>
        </w:rPr>
      </w:pPr>
      <w:r>
        <w:rPr>
          <w:rFonts w:hint="eastAsia"/>
          <w:szCs w:val="21"/>
        </w:rPr>
        <w:t>备注：本表是通用条款相关条款的补充和明确，如与通用条款内容相冲突的，以本表为准。</w:t>
      </w:r>
    </w:p>
    <w:p>
      <w:pPr>
        <w:rPr>
          <w:b/>
        </w:rPr>
      </w:pPr>
    </w:p>
    <w:p>
      <w:pPr>
        <w:pStyle w:val="5"/>
        <w:spacing w:beforeLines="50" w:afterLines="50"/>
        <w:rPr>
          <w:szCs w:val="24"/>
        </w:rPr>
      </w:pPr>
      <w:r>
        <w:rPr>
          <w:rFonts w:hint="eastAsia"/>
          <w:szCs w:val="24"/>
        </w:rPr>
        <w:t>二、其他关键信息</w:t>
      </w:r>
    </w:p>
    <w:p>
      <w:pPr>
        <w:ind w:firstLine="422" w:firstLineChars="200"/>
        <w:rPr>
          <w:b/>
          <w:bCs/>
        </w:rPr>
      </w:pPr>
      <w:r>
        <w:rPr>
          <w:rFonts w:hint="eastAsia"/>
          <w:b/>
          <w:bCs/>
        </w:rPr>
        <w:t>（一）与“对通用条款的补充内容”章节相关的事项</w:t>
      </w:r>
    </w:p>
    <w:p>
      <w:pPr>
        <w:ind w:firstLine="420" w:firstLineChars="200"/>
      </w:pPr>
      <w:bookmarkStart w:id="30" w:name="_Hlk72579465"/>
    </w:p>
    <w:p>
      <w:pPr>
        <w:jc w:val="center"/>
      </w:pPr>
      <w:r>
        <w:rPr>
          <w:rFonts w:hint="eastAsia"/>
          <w:b/>
        </w:rPr>
        <w:t>非评定分离项目</w:t>
      </w:r>
    </w:p>
    <w:tbl>
      <w:tblPr>
        <w:tblStyle w:val="43"/>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11"/>
        <w:gridCol w:w="4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4211" w:type="dxa"/>
            <w:vAlign w:val="center"/>
          </w:tcPr>
          <w:p>
            <w:pPr>
              <w:jc w:val="center"/>
            </w:pPr>
            <w:r>
              <w:rPr>
                <w:rFonts w:hint="eastAsia"/>
              </w:rPr>
              <w:t>评标方法</w:t>
            </w:r>
          </w:p>
        </w:tc>
        <w:tc>
          <w:tcPr>
            <w:tcW w:w="4402" w:type="dxa"/>
            <w:vAlign w:val="center"/>
          </w:tcPr>
          <w:p>
            <w:pPr>
              <w:jc w:val="center"/>
            </w:pPr>
            <w:r>
              <w:rPr>
                <w:rFonts w:hint="eastAsia"/>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4211" w:type="dxa"/>
            <w:vAlign w:val="center"/>
          </w:tcPr>
          <w:p>
            <w:pPr>
              <w:jc w:val="center"/>
            </w:pPr>
            <w:r>
              <w:rPr>
                <w:rFonts w:hint="eastAsia"/>
              </w:rPr>
              <w:t>候选中标供应商数量</w:t>
            </w:r>
          </w:p>
        </w:tc>
        <w:tc>
          <w:tcPr>
            <w:tcW w:w="4402" w:type="dxa"/>
            <w:vAlign w:val="center"/>
          </w:tcPr>
          <w:p>
            <w:pPr>
              <w:jc w:val="center"/>
            </w:pPr>
            <w:r>
              <w:rPr>
                <w:rFonts w:hint="eastAsi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4211" w:type="dxa"/>
            <w:vAlign w:val="center"/>
          </w:tcPr>
          <w:p>
            <w:pPr>
              <w:jc w:val="center"/>
            </w:pPr>
            <w:r>
              <w:rPr>
                <w:rFonts w:hint="eastAsia"/>
              </w:rPr>
              <w:t>中标供应商数量</w:t>
            </w:r>
          </w:p>
        </w:tc>
        <w:tc>
          <w:tcPr>
            <w:tcW w:w="4402" w:type="dxa"/>
            <w:vAlign w:val="center"/>
          </w:tcPr>
          <w:p>
            <w:pPr>
              <w:jc w:val="center"/>
            </w:pPr>
            <w:r>
              <w:rPr>
                <w:rFonts w:hint="eastAsia"/>
              </w:rPr>
              <w:t>1</w:t>
            </w:r>
          </w:p>
        </w:tc>
      </w:tr>
    </w:tbl>
    <w:p>
      <w:pPr>
        <w:rPr>
          <w:rFonts w:ascii="宋体" w:hAnsi="宋体"/>
          <w:szCs w:val="21"/>
        </w:rPr>
      </w:pPr>
    </w:p>
    <w:p>
      <w:pPr>
        <w:rPr>
          <w:rFonts w:ascii="宋体" w:hAnsi="宋体"/>
          <w:b/>
        </w:rPr>
      </w:pPr>
    </w:p>
    <w:bookmarkEnd w:id="30"/>
    <w:p>
      <w:pPr>
        <w:ind w:firstLine="422" w:firstLineChars="200"/>
        <w:rPr>
          <w:b/>
          <w:bCs/>
        </w:rPr>
      </w:pPr>
      <w:r>
        <w:rPr>
          <w:rFonts w:hint="eastAsia"/>
          <w:b/>
        </w:rPr>
        <w:t>（二）其他事项</w:t>
      </w:r>
    </w:p>
    <w:p>
      <w:r>
        <w:rPr>
          <w:highlight w:val="yellow"/>
        </w:rPr>
        <w:t>1</w:t>
      </w:r>
      <w:r>
        <w:rPr>
          <w:rFonts w:hint="eastAsia"/>
          <w:highlight w:val="yellow"/>
        </w:rPr>
        <w:t>、关于享受优惠政策的主体及价格扣除比例</w:t>
      </w:r>
    </w:p>
    <w:p>
      <w:pPr>
        <w:ind w:firstLine="420" w:firstLineChars="200"/>
      </w:pPr>
      <w:r>
        <w:rPr>
          <w:rFonts w:hint="eastAsia"/>
        </w:rPr>
        <w:t>（1）投标人提供的服务</w:t>
      </w:r>
      <w:r>
        <w:rPr>
          <w:rFonts w:hint="eastAsia"/>
          <w:b/>
        </w:rPr>
        <w:t>全部</w:t>
      </w:r>
      <w:r>
        <w:rPr>
          <w:rFonts w:hint="eastAsia"/>
        </w:rPr>
        <w:t>均由优惠主体承接，则对其投标总价给予</w:t>
      </w:r>
      <w:r>
        <w:rPr>
          <w:color w:val="FF0000"/>
          <w:u w:val="single"/>
        </w:rPr>
        <w:t xml:space="preserve">  10  %</w:t>
      </w:r>
      <w:r>
        <w:rPr>
          <w:rFonts w:hint="eastAsia"/>
        </w:rPr>
        <w:t>的扣除，用扣除后的价格参与评审。满足多项优惠政策的企业，不重复享受多项价格扣除政策。</w:t>
      </w:r>
    </w:p>
    <w:p>
      <w:pPr>
        <w:ind w:firstLine="420" w:firstLineChars="200"/>
      </w:pPr>
      <w:r>
        <w:rPr>
          <w:rFonts w:hint="eastAsia"/>
        </w:rPr>
        <w:t>备注：（a）优惠主体包括小型企业、微型企业、监狱企业、残疾人福利性单位；中小企业是指在中华人民共和国境内依法设立，依据国务院批准的中小企业划分标准确定的中型企业、小型企业、微型企业，但与大企业的负责人为同一人，或者与大企业存在直接控股、管理关系的除外；符合中小企业划分标准的个体工商户，在政府采购活动中视同中小企业；(</w:t>
      </w:r>
      <w:r>
        <w:t>b)</w:t>
      </w:r>
      <w:r>
        <w:rPr>
          <w:rFonts w:hint="eastAsia"/>
        </w:rPr>
        <w:t>优惠主体承接是指提供服务的人员为中小企业依照《中华人民共和国劳动合同法》订立劳动合同的从业人员。</w:t>
      </w:r>
    </w:p>
    <w:p>
      <w:pPr>
        <w:ind w:firstLine="420" w:firstLineChars="200"/>
        <w:rPr>
          <w:color w:val="FF0000"/>
        </w:rPr>
      </w:pPr>
      <w:r>
        <w:rPr>
          <w:rFonts w:hint="eastAsia"/>
        </w:rPr>
        <w:t>（2）根据</w:t>
      </w:r>
      <w:r>
        <w:rPr>
          <w:rFonts w:hint="eastAsia"/>
          <w:szCs w:val="22"/>
        </w:rPr>
        <w:t>《工业和信息化部、国家统计局、国家发展和改革委员会、财政部关于印发中小企业划型标准规定的通知》（工信部联企业〔2011〕300 号）</w:t>
      </w:r>
      <w:r>
        <w:rPr>
          <w:rFonts w:hint="eastAsia"/>
        </w:rPr>
        <w:t>，</w:t>
      </w:r>
      <w:bookmarkStart w:id="31" w:name="_Hlk71970739"/>
      <w:r>
        <w:rPr>
          <w:rFonts w:hint="eastAsia"/>
          <w:color w:val="FF0000"/>
        </w:rPr>
        <w:t>本项目</w:t>
      </w:r>
      <w:bookmarkStart w:id="32" w:name="_Hlk71924718"/>
      <w:r>
        <w:rPr>
          <w:rFonts w:hint="eastAsia"/>
          <w:color w:val="FF0000"/>
        </w:rPr>
        <w:t>采购标的（服务需求）对应的中小企业划分标准所属行业</w:t>
      </w:r>
      <w:bookmarkEnd w:id="32"/>
      <w:r>
        <w:rPr>
          <w:rFonts w:hint="eastAsia"/>
          <w:color w:val="FF0000"/>
        </w:rPr>
        <w:t>为</w:t>
      </w:r>
      <w:r>
        <w:rPr>
          <w:rFonts w:hint="eastAsia"/>
          <w:color w:val="FF0000"/>
          <w:highlight w:val="yellow"/>
          <w:u w:val="single"/>
        </w:rPr>
        <w:t>软件和信息技术服务</w:t>
      </w:r>
      <w:r>
        <w:rPr>
          <w:rFonts w:hint="eastAsia"/>
          <w:color w:val="FF0000"/>
          <w:highlight w:val="yellow"/>
        </w:rPr>
        <w:t>业。</w:t>
      </w:r>
      <w:bookmarkEnd w:id="31"/>
    </w:p>
    <w:p>
      <w:pPr>
        <w:ind w:firstLine="420" w:firstLineChars="200"/>
      </w:pPr>
      <w:r>
        <w:rPr>
          <w:rFonts w:hint="eastAsia"/>
        </w:rPr>
        <w:t>（3）小型企业、微型企业、残疾人福利性单位作为优惠主体的认定资料为《中小企业声明函》、《残疾人福利性单位声明函》；监狱企业作为优惠主体的认定资料为省级以上监狱管理局、戒毒管理局出具的监狱企业证明文件。声明函样式见本招标文件第一册专用条款第四章“</w:t>
      </w:r>
      <w:r>
        <w:rPr>
          <w:rFonts w:hint="eastAsia" w:ascii="宋体" w:hAnsi="宋体"/>
          <w:szCs w:val="21"/>
        </w:rPr>
        <w:t>投标文件组成要求及格式</w:t>
      </w:r>
      <w:r>
        <w:rPr>
          <w:rFonts w:hint="eastAsia"/>
        </w:rPr>
        <w:t>”中“三、投标人情况及资格证明文件”章节提供的格式）。</w:t>
      </w:r>
    </w:p>
    <w:p>
      <w:pPr>
        <w:ind w:firstLine="420" w:firstLineChars="200"/>
        <w:rPr>
          <w:rFonts w:ascii="仿宋" w:hAnsi="仿宋" w:eastAsia="仿宋"/>
          <w:sz w:val="28"/>
          <w:szCs w:val="28"/>
        </w:rPr>
      </w:pPr>
      <w:r>
        <w:rPr>
          <w:rFonts w:hint="eastAsia"/>
        </w:rPr>
        <w:t>（4）享受价格扣除获得政府采购合同的，小微企业不得将合同分包给大中型企业。</w:t>
      </w:r>
    </w:p>
    <w:p>
      <w:pPr>
        <w:widowControl/>
        <w:jc w:val="left"/>
        <w:rPr>
          <w:rFonts w:ascii="宋体" w:hAnsi="宋体"/>
          <w:b/>
          <w:bCs/>
          <w:kern w:val="0"/>
          <w:sz w:val="28"/>
          <w:szCs w:val="28"/>
        </w:rPr>
      </w:pPr>
      <w:bookmarkStart w:id="33" w:name="_Toc128884461"/>
    </w:p>
    <w:p>
      <w:pPr>
        <w:pStyle w:val="5"/>
        <w:rPr>
          <w:sz w:val="28"/>
          <w:szCs w:val="28"/>
        </w:rPr>
      </w:pPr>
      <w:r>
        <w:rPr>
          <w:rFonts w:hint="eastAsia"/>
          <w:sz w:val="28"/>
          <w:szCs w:val="28"/>
        </w:rPr>
        <w:t>第三章 用户需求书</w:t>
      </w:r>
    </w:p>
    <w:p>
      <w:pPr>
        <w:pStyle w:val="5"/>
        <w:spacing w:beforeLines="50" w:afterLines="50"/>
        <w:rPr>
          <w:szCs w:val="24"/>
        </w:rPr>
      </w:pPr>
      <w:r>
        <w:rPr>
          <w:rFonts w:hint="eastAsia"/>
          <w:szCs w:val="24"/>
        </w:rPr>
        <w:t xml:space="preserve"> </w:t>
      </w:r>
      <w:r>
        <w:rPr>
          <w:szCs w:val="24"/>
        </w:rPr>
        <w:t xml:space="preserve"> </w:t>
      </w:r>
      <w:r>
        <w:rPr>
          <w:rFonts w:hint="eastAsia"/>
          <w:szCs w:val="24"/>
        </w:rPr>
        <w:t>一、项目基本信息</w:t>
      </w:r>
    </w:p>
    <w:p>
      <w:pPr>
        <w:rPr>
          <w:rFonts w:ascii="宋体" w:hAnsi="宋体"/>
          <w:b/>
          <w:color w:val="FF0000"/>
          <w:szCs w:val="21"/>
        </w:rPr>
      </w:pPr>
    </w:p>
    <w:tbl>
      <w:tblPr>
        <w:tblStyle w:val="42"/>
        <w:tblpPr w:leftFromText="180" w:rightFromText="180" w:vertAnchor="text" w:horzAnchor="margin" w:tblpY="173"/>
        <w:tblW w:w="8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2234"/>
        <w:gridCol w:w="2410"/>
        <w:gridCol w:w="3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426" w:type="dxa"/>
            <w:vAlign w:val="center"/>
          </w:tcPr>
          <w:p>
            <w:pPr>
              <w:jc w:val="center"/>
              <w:rPr>
                <w:bCs/>
                <w:szCs w:val="21"/>
              </w:rPr>
            </w:pPr>
            <w:r>
              <w:rPr>
                <w:rFonts w:hint="eastAsia"/>
                <w:bCs/>
                <w:szCs w:val="21"/>
              </w:rPr>
              <w:t>序号</w:t>
            </w:r>
          </w:p>
        </w:tc>
        <w:tc>
          <w:tcPr>
            <w:tcW w:w="2234" w:type="dxa"/>
            <w:vAlign w:val="center"/>
          </w:tcPr>
          <w:p>
            <w:pPr>
              <w:jc w:val="center"/>
              <w:rPr>
                <w:bCs/>
                <w:szCs w:val="21"/>
              </w:rPr>
            </w:pPr>
            <w:r>
              <w:rPr>
                <w:rFonts w:hint="eastAsia"/>
                <w:szCs w:val="21"/>
              </w:rPr>
              <w:t>采购计划编号</w:t>
            </w:r>
          </w:p>
        </w:tc>
        <w:tc>
          <w:tcPr>
            <w:tcW w:w="2410" w:type="dxa"/>
            <w:vAlign w:val="center"/>
          </w:tcPr>
          <w:p>
            <w:pPr>
              <w:jc w:val="center"/>
              <w:rPr>
                <w:bCs/>
                <w:szCs w:val="21"/>
              </w:rPr>
            </w:pPr>
            <w:r>
              <w:rPr>
                <w:rFonts w:hint="eastAsia"/>
                <w:bCs/>
                <w:szCs w:val="21"/>
              </w:rPr>
              <w:t>采购项目名称</w:t>
            </w:r>
          </w:p>
        </w:tc>
        <w:tc>
          <w:tcPr>
            <w:tcW w:w="3118" w:type="dxa"/>
            <w:vAlign w:val="center"/>
          </w:tcPr>
          <w:p>
            <w:pPr>
              <w:jc w:val="center"/>
              <w:rPr>
                <w:b/>
                <w:bCs/>
                <w:szCs w:val="21"/>
              </w:rPr>
            </w:pPr>
            <w:r>
              <w:rPr>
                <w:rFonts w:hint="eastAsia"/>
                <w:b/>
                <w:bCs/>
                <w:szCs w:val="21"/>
              </w:rPr>
              <w:t>财政预算限额（元）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426" w:type="dxa"/>
            <w:vAlign w:val="center"/>
          </w:tcPr>
          <w:p>
            <w:pPr>
              <w:jc w:val="center"/>
              <w:rPr>
                <w:bCs/>
                <w:szCs w:val="21"/>
              </w:rPr>
            </w:pPr>
            <w:r>
              <w:rPr>
                <w:rFonts w:hint="eastAsia"/>
                <w:bCs/>
                <w:szCs w:val="21"/>
              </w:rPr>
              <w:t>1</w:t>
            </w:r>
          </w:p>
        </w:tc>
        <w:tc>
          <w:tcPr>
            <w:tcW w:w="2234" w:type="dxa"/>
            <w:vAlign w:val="center"/>
          </w:tcPr>
          <w:p>
            <w:pPr>
              <w:jc w:val="center"/>
              <w:rPr>
                <w:bCs/>
                <w:szCs w:val="21"/>
              </w:rPr>
            </w:pPr>
            <w:r>
              <w:rPr>
                <w:bCs/>
                <w:szCs w:val="21"/>
              </w:rPr>
              <w:t>PLAN-2021-440301-0102018021-01099</w:t>
            </w:r>
          </w:p>
        </w:tc>
        <w:tc>
          <w:tcPr>
            <w:tcW w:w="2410" w:type="dxa"/>
            <w:vAlign w:val="center"/>
          </w:tcPr>
          <w:p>
            <w:pPr>
              <w:jc w:val="center"/>
              <w:rPr>
                <w:b/>
                <w:bCs/>
                <w:szCs w:val="21"/>
              </w:rPr>
            </w:pPr>
            <w:r>
              <w:t>深圳市眼科医院全成本核算系统项目</w:t>
            </w:r>
          </w:p>
        </w:tc>
        <w:tc>
          <w:tcPr>
            <w:tcW w:w="3118" w:type="dxa"/>
            <w:vAlign w:val="center"/>
          </w:tcPr>
          <w:p>
            <w:pPr>
              <w:jc w:val="center"/>
              <w:rPr>
                <w:bCs/>
                <w:szCs w:val="21"/>
              </w:rPr>
            </w:pPr>
            <w:r>
              <w:t>1,200,000.00</w:t>
            </w:r>
          </w:p>
        </w:tc>
      </w:tr>
    </w:tbl>
    <w:p>
      <w:pPr>
        <w:pStyle w:val="5"/>
        <w:spacing w:beforeLines="50" w:afterLines="50"/>
        <w:rPr>
          <w:szCs w:val="24"/>
        </w:rPr>
      </w:pPr>
    </w:p>
    <w:p>
      <w:pPr>
        <w:pStyle w:val="5"/>
        <w:spacing w:beforeLines="50" w:afterLines="50"/>
        <w:rPr>
          <w:szCs w:val="24"/>
        </w:rPr>
      </w:pPr>
      <w:r>
        <w:rPr>
          <w:rFonts w:hint="eastAsia"/>
          <w:szCs w:val="24"/>
        </w:rPr>
        <w:t>二、项目概况</w:t>
      </w:r>
    </w:p>
    <w:p>
      <w:pPr>
        <w:ind w:firstLine="420" w:firstLineChars="200"/>
      </w:pPr>
      <w:r>
        <w:rPr>
          <w:rFonts w:hint="eastAsia"/>
        </w:rPr>
        <w:t>以DRG、DIP为代表的按病种打包付费的支付制度改革已成为倒逼医院改革的杠杆，医院如何通过内部运营方式的变革控制医疗费用，调整业务结构，提高运营效率，降低运营成本成为医院发展的核心话题。强化医院运营管理势在必行，亟待从政策层面予以引导与规范。2020年12月25日，《关于加强公立医院运营管理的指导意见》（以下简称《指导意见》）发布，《指导意见》明确了公立医院运营管理的概念内涵和任务要求以及清晰的实施路径，同时明确了运营管理的双工具，即全成本管理和绩效管理。随后，《公立医院成本核算规范》的发布进一步对建立健全成本核算与管理体系做出了明确要求，发挥成本核算在医疗服务定价、公立医院成本控制和绩效评价中的作用。</w:t>
      </w:r>
    </w:p>
    <w:p>
      <w:pPr>
        <w:ind w:firstLine="420" w:firstLineChars="200"/>
      </w:pPr>
      <w:r>
        <w:rPr>
          <w:rFonts w:hint="eastAsia"/>
        </w:rPr>
        <w:t>医院亟需建立有效的成本管理工具和机制，满足内部成本控制、医疗服务定价、绩效管理等特定需求，促进管理模式从粗放式向精细化、规范化转变，优化资源配置、提高运营效率，保障医院健康、可持续发展。</w:t>
      </w:r>
    </w:p>
    <w:p>
      <w:pPr>
        <w:rPr>
          <w:rFonts w:ascii="宋体" w:hAnsi="宋体"/>
          <w:b/>
          <w:color w:val="FF0000"/>
          <w:szCs w:val="21"/>
        </w:rPr>
      </w:pPr>
    </w:p>
    <w:p>
      <w:pPr>
        <w:pStyle w:val="5"/>
        <w:spacing w:beforeLines="50" w:afterLines="50"/>
        <w:rPr>
          <w:szCs w:val="24"/>
        </w:rPr>
      </w:pPr>
      <w:r>
        <w:rPr>
          <w:rFonts w:hint="eastAsia"/>
          <w:szCs w:val="24"/>
        </w:rPr>
        <w:t>三、</w:t>
      </w:r>
      <w:bookmarkStart w:id="34" w:name="_Hlk72073432"/>
      <w:r>
        <w:rPr>
          <w:rFonts w:hint="eastAsia"/>
          <w:szCs w:val="24"/>
        </w:rPr>
        <w:t>服务需求明细</w:t>
      </w:r>
      <w:bookmarkEnd w:id="34"/>
    </w:p>
    <w:tbl>
      <w:tblPr>
        <w:tblStyle w:val="42"/>
        <w:tblpPr w:leftFromText="180" w:rightFromText="180" w:vertAnchor="text" w:horzAnchor="margin" w:tblpY="173"/>
        <w:tblW w:w="86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2598"/>
        <w:gridCol w:w="2693"/>
        <w:gridCol w:w="127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71" w:type="dxa"/>
            <w:vAlign w:val="center"/>
          </w:tcPr>
          <w:p>
            <w:pPr>
              <w:jc w:val="center"/>
              <w:rPr>
                <w:bCs/>
                <w:szCs w:val="21"/>
              </w:rPr>
            </w:pPr>
            <w:r>
              <w:rPr>
                <w:rFonts w:hint="eastAsia"/>
                <w:bCs/>
                <w:szCs w:val="21"/>
              </w:rPr>
              <w:t>序号</w:t>
            </w:r>
          </w:p>
        </w:tc>
        <w:tc>
          <w:tcPr>
            <w:tcW w:w="2598" w:type="dxa"/>
            <w:vAlign w:val="center"/>
          </w:tcPr>
          <w:p>
            <w:pPr>
              <w:jc w:val="center"/>
              <w:rPr>
                <w:bCs/>
                <w:szCs w:val="21"/>
              </w:rPr>
            </w:pPr>
            <w:r>
              <w:rPr>
                <w:rFonts w:hint="eastAsia"/>
                <w:szCs w:val="21"/>
              </w:rPr>
              <w:t>采购计划编号</w:t>
            </w:r>
          </w:p>
        </w:tc>
        <w:tc>
          <w:tcPr>
            <w:tcW w:w="2693" w:type="dxa"/>
            <w:vAlign w:val="center"/>
          </w:tcPr>
          <w:p>
            <w:pPr>
              <w:jc w:val="center"/>
              <w:rPr>
                <w:bCs/>
                <w:szCs w:val="21"/>
              </w:rPr>
            </w:pPr>
            <w:r>
              <w:rPr>
                <w:rFonts w:hint="eastAsia"/>
                <w:bCs/>
                <w:szCs w:val="21"/>
              </w:rPr>
              <w:t>服务需求名称（标的名称）</w:t>
            </w:r>
          </w:p>
        </w:tc>
        <w:tc>
          <w:tcPr>
            <w:tcW w:w="1276" w:type="dxa"/>
            <w:vAlign w:val="center"/>
          </w:tcPr>
          <w:p>
            <w:pPr>
              <w:jc w:val="center"/>
              <w:rPr>
                <w:bCs/>
                <w:szCs w:val="21"/>
              </w:rPr>
            </w:pPr>
            <w:r>
              <w:rPr>
                <w:rFonts w:hint="eastAsia"/>
                <w:bCs/>
                <w:szCs w:val="21"/>
              </w:rPr>
              <w:t>数量</w:t>
            </w:r>
          </w:p>
        </w:tc>
        <w:tc>
          <w:tcPr>
            <w:tcW w:w="1276" w:type="dxa"/>
            <w:vAlign w:val="center"/>
          </w:tcPr>
          <w:p>
            <w:pPr>
              <w:jc w:val="center"/>
              <w:rPr>
                <w:bCs/>
                <w:szCs w:val="21"/>
              </w:rPr>
            </w:pPr>
            <w:r>
              <w:rPr>
                <w:rFonts w:hint="eastAsia"/>
                <w:bCs/>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71" w:type="dxa"/>
            <w:vAlign w:val="center"/>
          </w:tcPr>
          <w:p>
            <w:pPr>
              <w:jc w:val="center"/>
              <w:rPr>
                <w:bCs/>
                <w:szCs w:val="21"/>
              </w:rPr>
            </w:pPr>
            <w:r>
              <w:rPr>
                <w:bCs/>
                <w:szCs w:val="21"/>
              </w:rPr>
              <w:t>2</w:t>
            </w:r>
          </w:p>
        </w:tc>
        <w:tc>
          <w:tcPr>
            <w:tcW w:w="2598" w:type="dxa"/>
            <w:vAlign w:val="center"/>
          </w:tcPr>
          <w:p>
            <w:pPr>
              <w:jc w:val="center"/>
              <w:rPr>
                <w:bCs/>
                <w:szCs w:val="21"/>
              </w:rPr>
            </w:pPr>
            <w:r>
              <w:rPr>
                <w:bCs/>
                <w:szCs w:val="21"/>
              </w:rPr>
              <w:t>PLAN-2021-440301-0102018021-01099</w:t>
            </w:r>
          </w:p>
        </w:tc>
        <w:tc>
          <w:tcPr>
            <w:tcW w:w="2693" w:type="dxa"/>
            <w:vAlign w:val="center"/>
          </w:tcPr>
          <w:p>
            <w:pPr>
              <w:jc w:val="center"/>
              <w:rPr>
                <w:bCs/>
                <w:szCs w:val="21"/>
              </w:rPr>
            </w:pPr>
            <w:r>
              <w:rPr>
                <w:rFonts w:hint="eastAsia"/>
                <w:bCs/>
                <w:szCs w:val="21"/>
              </w:rPr>
              <w:t>全成本核算系统</w:t>
            </w:r>
          </w:p>
        </w:tc>
        <w:tc>
          <w:tcPr>
            <w:tcW w:w="1276" w:type="dxa"/>
            <w:vAlign w:val="center"/>
          </w:tcPr>
          <w:p>
            <w:pPr>
              <w:jc w:val="center"/>
              <w:rPr>
                <w:bCs/>
                <w:szCs w:val="21"/>
              </w:rPr>
            </w:pPr>
            <w:r>
              <w:rPr>
                <w:rFonts w:hint="eastAsia"/>
                <w:bCs/>
                <w:szCs w:val="21"/>
              </w:rPr>
              <w:t>1</w:t>
            </w:r>
          </w:p>
        </w:tc>
        <w:tc>
          <w:tcPr>
            <w:tcW w:w="1276" w:type="dxa"/>
            <w:vAlign w:val="center"/>
          </w:tcPr>
          <w:p>
            <w:pPr>
              <w:jc w:val="center"/>
              <w:rPr>
                <w:bCs/>
                <w:szCs w:val="21"/>
              </w:rPr>
            </w:pPr>
            <w:r>
              <w:rPr>
                <w:rFonts w:hint="eastAsia"/>
                <w:bCs/>
                <w:szCs w:val="21"/>
              </w:rPr>
              <w:t>项</w:t>
            </w:r>
          </w:p>
        </w:tc>
      </w:tr>
    </w:tbl>
    <w:p>
      <w:pPr>
        <w:rPr>
          <w:rFonts w:ascii="宋体" w:hAnsi="宋体"/>
          <w:b/>
          <w:color w:val="FF0000"/>
          <w:szCs w:val="21"/>
        </w:rPr>
      </w:pPr>
    </w:p>
    <w:p>
      <w:pPr>
        <w:pStyle w:val="5"/>
        <w:spacing w:beforeLines="50" w:afterLines="50"/>
        <w:rPr>
          <w:szCs w:val="24"/>
        </w:rPr>
      </w:pPr>
      <w:r>
        <w:rPr>
          <w:rFonts w:hint="eastAsia"/>
          <w:szCs w:val="24"/>
        </w:rPr>
        <w:t>四、实质性条款</w:t>
      </w:r>
    </w:p>
    <w:tbl>
      <w:tblPr>
        <w:tblStyle w:val="42"/>
        <w:tblW w:w="8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74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pPr>
              <w:adjustRightInd w:val="0"/>
              <w:snapToGrid w:val="0"/>
              <w:spacing w:line="360" w:lineRule="auto"/>
              <w:jc w:val="center"/>
              <w:rPr>
                <w:rFonts w:ascii="宋体" w:hAnsi="宋体"/>
                <w:kern w:val="0"/>
                <w:szCs w:val="21"/>
              </w:rPr>
            </w:pPr>
            <w:r>
              <w:rPr>
                <w:rFonts w:hint="eastAsia" w:ascii="宋体" w:hAnsi="宋体"/>
                <w:kern w:val="0"/>
                <w:szCs w:val="21"/>
              </w:rPr>
              <w:t>序号</w:t>
            </w:r>
          </w:p>
        </w:tc>
        <w:tc>
          <w:tcPr>
            <w:tcW w:w="7483" w:type="dxa"/>
          </w:tcPr>
          <w:p>
            <w:pPr>
              <w:adjustRightInd w:val="0"/>
              <w:snapToGrid w:val="0"/>
              <w:spacing w:line="360" w:lineRule="auto"/>
              <w:jc w:val="center"/>
              <w:rPr>
                <w:rFonts w:ascii="宋体" w:hAnsi="宋体"/>
                <w:kern w:val="0"/>
                <w:szCs w:val="21"/>
              </w:rPr>
            </w:pPr>
            <w:r>
              <w:rPr>
                <w:rFonts w:hint="eastAsia" w:ascii="宋体" w:hAnsi="宋体"/>
                <w:kern w:val="0"/>
                <w:szCs w:val="21"/>
              </w:rPr>
              <w:t>实质性条款具体内容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pPr>
              <w:adjustRightInd w:val="0"/>
              <w:snapToGrid w:val="0"/>
              <w:spacing w:line="360" w:lineRule="auto"/>
              <w:jc w:val="center"/>
              <w:rPr>
                <w:rFonts w:ascii="宋体" w:hAnsi="宋体"/>
                <w:kern w:val="0"/>
                <w:szCs w:val="21"/>
              </w:rPr>
            </w:pPr>
            <w:r>
              <w:rPr>
                <w:rFonts w:hint="eastAsia" w:ascii="宋体" w:hAnsi="宋体"/>
                <w:kern w:val="0"/>
                <w:szCs w:val="21"/>
              </w:rPr>
              <w:t>1</w:t>
            </w:r>
          </w:p>
        </w:tc>
        <w:tc>
          <w:tcPr>
            <w:tcW w:w="7483" w:type="dxa"/>
          </w:tcPr>
          <w:p>
            <w:pPr>
              <w:rPr>
                <w:rFonts w:hAnsi="宋体" w:eastAsiaTheme="minorEastAsia"/>
                <w:kern w:val="0"/>
                <w:szCs w:val="21"/>
              </w:rPr>
            </w:pPr>
            <w:r>
              <w:rPr>
                <w:rFonts w:hint="eastAsia"/>
              </w:rPr>
              <w:t>完全满足本项目服务期限的要求。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pPr>
              <w:adjustRightInd w:val="0"/>
              <w:snapToGrid w:val="0"/>
              <w:spacing w:line="360" w:lineRule="auto"/>
              <w:jc w:val="center"/>
            </w:pPr>
            <w:r>
              <w:rPr>
                <w:rFonts w:hint="eastAsia"/>
              </w:rPr>
              <w:t>2</w:t>
            </w:r>
          </w:p>
        </w:tc>
        <w:tc>
          <w:tcPr>
            <w:tcW w:w="7483" w:type="dxa"/>
          </w:tcPr>
          <w:p>
            <w:r>
              <w:rPr>
                <w:rFonts w:hint="eastAsia"/>
              </w:rPr>
              <w:t>系统免费维保期</w:t>
            </w:r>
            <w:r>
              <w:rPr>
                <w:rFonts w:hint="eastAsia"/>
                <w:u w:val="single"/>
                <w:shd w:val="clear" w:color="auto" w:fill="FFFFFF"/>
              </w:rPr>
              <w:t xml:space="preserve">   </w:t>
            </w:r>
            <w:r>
              <w:rPr>
                <w:u w:val="single"/>
                <w:shd w:val="clear" w:color="auto" w:fill="FFFFFF"/>
              </w:rPr>
              <w:t>1</w:t>
            </w:r>
            <w:r>
              <w:rPr>
                <w:rFonts w:hint="eastAsia"/>
                <w:u w:val="single"/>
                <w:shd w:val="clear" w:color="auto" w:fill="FFFFFF"/>
              </w:rPr>
              <w:t xml:space="preserve">   </w:t>
            </w:r>
            <w:r>
              <w:rPr>
                <w:rFonts w:hint="eastAsia"/>
              </w:rPr>
              <w:t>年，时间自最终验收合格之日起计算。</w:t>
            </w:r>
          </w:p>
        </w:tc>
      </w:tr>
    </w:tbl>
    <w:p>
      <w:pPr>
        <w:pStyle w:val="4"/>
        <w:tabs>
          <w:tab w:val="left" w:pos="765"/>
        </w:tabs>
        <w:rPr>
          <w:rFonts w:ascii="黑体"/>
          <w:b w:val="0"/>
          <w:kern w:val="0"/>
          <w:sz w:val="24"/>
          <w:szCs w:val="24"/>
        </w:rPr>
      </w:pPr>
      <w:r>
        <w:rPr>
          <w:rFonts w:hint="eastAsia" w:ascii="黑体"/>
          <w:b w:val="0"/>
          <w:kern w:val="0"/>
          <w:sz w:val="24"/>
          <w:szCs w:val="24"/>
        </w:rPr>
        <w:t>注：上表所列内容为不可负偏离条款，负偏离将视为未实质性满足招标文件要求作投标无效处理。</w:t>
      </w:r>
      <w:bookmarkEnd w:id="33"/>
    </w:p>
    <w:p>
      <w:pPr>
        <w:rPr>
          <w:b/>
          <w:bCs/>
          <w:sz w:val="24"/>
        </w:rPr>
      </w:pPr>
    </w:p>
    <w:p>
      <w:pPr>
        <w:pStyle w:val="5"/>
        <w:spacing w:beforeLines="50" w:afterLines="50"/>
        <w:rPr>
          <w:szCs w:val="24"/>
        </w:rPr>
      </w:pPr>
      <w:r>
        <w:rPr>
          <w:rFonts w:hint="eastAsia"/>
          <w:szCs w:val="24"/>
        </w:rPr>
        <w:t>五、技术要求</w:t>
      </w:r>
    </w:p>
    <w:p>
      <w:pPr>
        <w:pStyle w:val="190"/>
        <w:spacing w:line="360" w:lineRule="auto"/>
        <w:ind w:firstLine="422" w:firstLineChars="200"/>
        <w:rPr>
          <w:rFonts w:ascii="宋体" w:hAnsi="宋体"/>
          <w:szCs w:val="21"/>
        </w:rPr>
      </w:pPr>
      <w:r>
        <w:rPr>
          <w:rFonts w:hint="eastAsia" w:ascii="宋体" w:hAnsi="宋体"/>
          <w:b/>
          <w:bCs/>
          <w:szCs w:val="21"/>
        </w:rPr>
        <w:t>总体要求：</w:t>
      </w:r>
      <w:r>
        <w:rPr>
          <w:rFonts w:hint="eastAsia" w:ascii="宋体" w:hAnsi="宋体"/>
          <w:szCs w:val="21"/>
        </w:rPr>
        <w:t>需要从成本管理这个贯穿于所有运营管理及医疗服务的过程中进行突破，从科室到项目再到病种的一体化核算体系立足于医院长远的战略目标，致力于培植医院核心竞争力，建立以作业为中心的可追溯性的成本核算体系，追根溯源，不断改进作业方式，合理地进行资源配置，实现持续降低成本的目标。</w:t>
      </w:r>
    </w:p>
    <w:p>
      <w:pPr>
        <w:pStyle w:val="190"/>
        <w:spacing w:line="360" w:lineRule="auto"/>
        <w:ind w:firstLine="420" w:firstLineChars="200"/>
        <w:rPr>
          <w:rFonts w:ascii="宋体" w:hAnsi="宋体"/>
          <w:szCs w:val="21"/>
        </w:rPr>
      </w:pPr>
      <w:r>
        <w:rPr>
          <w:rFonts w:hint="eastAsia" w:ascii="宋体" w:hAnsi="宋体"/>
          <w:szCs w:val="21"/>
        </w:rPr>
        <w:t>建立适合医院应用的全成本核算的理论方法和合理的成本分摊方法，形成以成本核算为数据处理中心的业务管理模式。医院成本管理流程与应用设计完全符合最新公立医院成本核算办法等相关文件要求，通过精细化的核算，让管理创造价值。</w:t>
      </w:r>
    </w:p>
    <w:p>
      <w:pPr>
        <w:pStyle w:val="190"/>
        <w:spacing w:line="360" w:lineRule="auto"/>
        <w:ind w:firstLine="420" w:firstLineChars="200"/>
        <w:rPr>
          <w:rFonts w:ascii="宋体" w:hAnsi="宋体"/>
          <w:szCs w:val="21"/>
        </w:rPr>
      </w:pPr>
      <w:r>
        <w:rPr>
          <w:rFonts w:hint="eastAsia" w:ascii="宋体" w:hAnsi="宋体"/>
          <w:szCs w:val="21"/>
        </w:rPr>
        <w:t>成本一体化核算要是以科室、项目、病种为对象，以运营管理为导向来审视医院医疗资源的投入产出效益，同时成本核算结果数据也是政府医疗服务价格改革、支付方式改革提供必要的数据依据，用成本数据争取医疗服务价格的调整，促进支付标准的制定和谈判，保证医院基本的运营发展。通过目标成本管理手段，优化资源配置结构，控制无效的成本支出，以最优的成本保证医疗服务的需要，落实科室的权责利，提高员工的工作积极性，为医院谋取合理的收益，促进医院不断发展壮大。</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5"/>
        <w:gridCol w:w="3758"/>
        <w:gridCol w:w="4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4363" w:type="dxa"/>
            <w:gridSpan w:val="2"/>
            <w:shd w:val="clear" w:color="auto" w:fill="F2F2F2"/>
            <w:vAlign w:val="center"/>
          </w:tcPr>
          <w:p>
            <w:pPr>
              <w:jc w:val="center"/>
              <w:rPr>
                <w:rFonts w:ascii="宋体" w:hAnsi="宋体" w:cs="仿宋_GB2312"/>
                <w:b/>
                <w:szCs w:val="21"/>
              </w:rPr>
            </w:pPr>
            <w:r>
              <w:rPr>
                <w:rFonts w:hint="eastAsia" w:ascii="宋体" w:hAnsi="宋体" w:cs="仿宋_GB2312"/>
                <w:b/>
                <w:szCs w:val="21"/>
              </w:rPr>
              <w:t>需求范围</w:t>
            </w:r>
          </w:p>
        </w:tc>
        <w:tc>
          <w:tcPr>
            <w:tcW w:w="4159" w:type="dxa"/>
            <w:shd w:val="clear" w:color="auto" w:fill="F2F2F2"/>
            <w:vAlign w:val="center"/>
          </w:tcPr>
          <w:p>
            <w:pPr>
              <w:jc w:val="center"/>
              <w:rPr>
                <w:rFonts w:ascii="宋体" w:hAnsi="宋体" w:cs="仿宋_GB2312"/>
                <w:b/>
                <w:szCs w:val="21"/>
              </w:rPr>
            </w:pPr>
            <w:r>
              <w:rPr>
                <w:rFonts w:hint="eastAsia" w:ascii="宋体" w:hAnsi="宋体" w:cs="仿宋_GB2312"/>
                <w:b/>
                <w:szCs w:val="21"/>
              </w:rPr>
              <w:t>数量/服务频次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5" w:type="dxa"/>
            <w:vAlign w:val="center"/>
          </w:tcPr>
          <w:p>
            <w:pPr>
              <w:pStyle w:val="70"/>
              <w:numPr>
                <w:ilvl w:val="0"/>
                <w:numId w:val="13"/>
              </w:numPr>
              <w:adjustRightInd w:val="0"/>
              <w:snapToGrid w:val="0"/>
              <w:spacing w:before="120" w:after="120"/>
              <w:ind w:left="-79" w:firstLine="420"/>
              <w:jc w:val="center"/>
              <w:rPr>
                <w:rFonts w:ascii="宋体" w:hAnsi="宋体" w:cs="仿宋_GB2312"/>
                <w:color w:val="000000"/>
                <w:szCs w:val="21"/>
              </w:rPr>
            </w:pPr>
          </w:p>
        </w:tc>
        <w:tc>
          <w:tcPr>
            <w:tcW w:w="3758" w:type="dxa"/>
            <w:vAlign w:val="center"/>
          </w:tcPr>
          <w:p>
            <w:pPr>
              <w:jc w:val="center"/>
              <w:rPr>
                <w:rFonts w:ascii="宋体" w:hAnsi="宋体" w:cs="仿宋_GB2312"/>
                <w:szCs w:val="21"/>
              </w:rPr>
            </w:pPr>
            <w:r>
              <w:rPr>
                <w:rFonts w:hint="eastAsia" w:ascii="宋体" w:hAnsi="宋体" w:cs="仿宋_GB2312"/>
                <w:szCs w:val="21"/>
              </w:rPr>
              <w:t>成本管理诊断服务</w:t>
            </w:r>
          </w:p>
        </w:tc>
        <w:tc>
          <w:tcPr>
            <w:tcW w:w="4159" w:type="dxa"/>
            <w:vAlign w:val="center"/>
          </w:tcPr>
          <w:p>
            <w:pPr>
              <w:jc w:val="center"/>
              <w:rPr>
                <w:rFonts w:ascii="宋体" w:hAnsi="宋体" w:cs="仿宋_GB2312"/>
                <w:szCs w:val="21"/>
              </w:rPr>
            </w:pPr>
            <w:r>
              <w:rPr>
                <w:rFonts w:hint="eastAsia" w:ascii="宋体" w:hAnsi="宋体" w:cs="仿宋_GB2312"/>
                <w:szCs w:val="21"/>
              </w:rPr>
              <w:t>服务周期内一次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5" w:type="dxa"/>
            <w:vAlign w:val="center"/>
          </w:tcPr>
          <w:p>
            <w:pPr>
              <w:pStyle w:val="70"/>
              <w:numPr>
                <w:ilvl w:val="0"/>
                <w:numId w:val="13"/>
              </w:numPr>
              <w:adjustRightInd w:val="0"/>
              <w:snapToGrid w:val="0"/>
              <w:spacing w:before="120" w:after="120"/>
              <w:ind w:left="-79" w:firstLine="420"/>
              <w:jc w:val="center"/>
              <w:rPr>
                <w:rFonts w:ascii="宋体" w:hAnsi="宋体" w:cs="仿宋_GB2312"/>
                <w:color w:val="000000"/>
                <w:szCs w:val="21"/>
              </w:rPr>
            </w:pPr>
          </w:p>
        </w:tc>
        <w:tc>
          <w:tcPr>
            <w:tcW w:w="3758" w:type="dxa"/>
            <w:vAlign w:val="center"/>
          </w:tcPr>
          <w:p>
            <w:pPr>
              <w:jc w:val="center"/>
              <w:rPr>
                <w:rFonts w:ascii="宋体" w:hAnsi="宋体" w:cs="仿宋_GB2312"/>
                <w:szCs w:val="21"/>
              </w:rPr>
            </w:pPr>
            <w:r>
              <w:rPr>
                <w:rFonts w:hint="eastAsia" w:ascii="宋体" w:hAnsi="宋体" w:cs="仿宋_GB2312"/>
                <w:szCs w:val="21"/>
              </w:rPr>
              <w:t>成本核算方案设计服务</w:t>
            </w:r>
          </w:p>
        </w:tc>
        <w:tc>
          <w:tcPr>
            <w:tcW w:w="4159" w:type="dxa"/>
            <w:vAlign w:val="center"/>
          </w:tcPr>
          <w:p>
            <w:pPr>
              <w:jc w:val="center"/>
              <w:rPr>
                <w:rFonts w:ascii="宋体" w:hAnsi="宋体" w:cs="仿宋_GB2312"/>
                <w:szCs w:val="21"/>
              </w:rPr>
            </w:pPr>
            <w:r>
              <w:rPr>
                <w:rFonts w:hint="eastAsia" w:ascii="宋体" w:hAnsi="宋体" w:cs="仿宋_GB2312"/>
                <w:szCs w:val="21"/>
              </w:rPr>
              <w:t>服务周期内一次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5" w:type="dxa"/>
            <w:vAlign w:val="center"/>
          </w:tcPr>
          <w:p>
            <w:pPr>
              <w:pStyle w:val="70"/>
              <w:numPr>
                <w:ilvl w:val="0"/>
                <w:numId w:val="13"/>
              </w:numPr>
              <w:adjustRightInd w:val="0"/>
              <w:snapToGrid w:val="0"/>
              <w:spacing w:before="120" w:after="120"/>
              <w:ind w:left="-79" w:firstLine="420"/>
              <w:jc w:val="center"/>
              <w:rPr>
                <w:rFonts w:ascii="宋体" w:hAnsi="宋体" w:cs="仿宋_GB2312"/>
                <w:color w:val="000000"/>
                <w:szCs w:val="21"/>
              </w:rPr>
            </w:pPr>
          </w:p>
        </w:tc>
        <w:tc>
          <w:tcPr>
            <w:tcW w:w="3758" w:type="dxa"/>
            <w:vAlign w:val="center"/>
          </w:tcPr>
          <w:p>
            <w:pPr>
              <w:jc w:val="center"/>
              <w:rPr>
                <w:rFonts w:ascii="宋体" w:hAnsi="宋体" w:cs="仿宋_GB2312"/>
                <w:szCs w:val="21"/>
              </w:rPr>
            </w:pPr>
            <w:r>
              <w:rPr>
                <w:rFonts w:hint="eastAsia" w:ascii="宋体" w:hAnsi="宋体" w:cs="仿宋_GB2312"/>
                <w:szCs w:val="21"/>
              </w:rPr>
              <w:t>成本数据治理服务</w:t>
            </w:r>
          </w:p>
        </w:tc>
        <w:tc>
          <w:tcPr>
            <w:tcW w:w="4159" w:type="dxa"/>
            <w:vAlign w:val="center"/>
          </w:tcPr>
          <w:p>
            <w:pPr>
              <w:jc w:val="center"/>
              <w:rPr>
                <w:rFonts w:ascii="宋体" w:hAnsi="宋体" w:cs="仿宋_GB2312"/>
                <w:szCs w:val="21"/>
              </w:rPr>
            </w:pPr>
            <w:r>
              <w:rPr>
                <w:rFonts w:hint="eastAsia" w:ascii="宋体" w:hAnsi="宋体" w:cs="仿宋_GB2312"/>
                <w:szCs w:val="21"/>
              </w:rPr>
              <w:t>服务周期内一次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5" w:type="dxa"/>
            <w:vAlign w:val="center"/>
          </w:tcPr>
          <w:p>
            <w:pPr>
              <w:pStyle w:val="70"/>
              <w:numPr>
                <w:ilvl w:val="0"/>
                <w:numId w:val="13"/>
              </w:numPr>
              <w:adjustRightInd w:val="0"/>
              <w:snapToGrid w:val="0"/>
              <w:spacing w:before="120" w:after="120"/>
              <w:ind w:left="-79" w:firstLine="420"/>
              <w:jc w:val="center"/>
              <w:rPr>
                <w:rFonts w:ascii="宋体" w:hAnsi="宋体" w:cs="仿宋_GB2312"/>
                <w:color w:val="000000"/>
                <w:szCs w:val="21"/>
              </w:rPr>
            </w:pPr>
          </w:p>
        </w:tc>
        <w:tc>
          <w:tcPr>
            <w:tcW w:w="3758" w:type="dxa"/>
            <w:vAlign w:val="center"/>
          </w:tcPr>
          <w:p>
            <w:pPr>
              <w:jc w:val="center"/>
              <w:rPr>
                <w:rFonts w:ascii="宋体" w:hAnsi="宋体" w:cs="仿宋_GB2312"/>
                <w:szCs w:val="21"/>
              </w:rPr>
            </w:pPr>
            <w:r>
              <w:rPr>
                <w:rFonts w:hint="eastAsia" w:ascii="宋体" w:hAnsi="宋体" w:cs="仿宋_GB2312"/>
                <w:szCs w:val="21"/>
              </w:rPr>
              <w:t>成本核算服务</w:t>
            </w:r>
          </w:p>
        </w:tc>
        <w:tc>
          <w:tcPr>
            <w:tcW w:w="4159" w:type="dxa"/>
            <w:vAlign w:val="center"/>
          </w:tcPr>
          <w:p>
            <w:pPr>
              <w:jc w:val="center"/>
              <w:rPr>
                <w:rFonts w:ascii="宋体" w:hAnsi="宋体" w:cs="仿宋_GB2312"/>
                <w:szCs w:val="21"/>
              </w:rPr>
            </w:pPr>
            <w:r>
              <w:rPr>
                <w:rFonts w:hint="eastAsia" w:ascii="宋体" w:hAnsi="宋体" w:cs="仿宋_GB2312"/>
                <w:szCs w:val="21"/>
              </w:rPr>
              <w:t>服务周期内一次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5" w:type="dxa"/>
            <w:vAlign w:val="center"/>
          </w:tcPr>
          <w:p>
            <w:pPr>
              <w:pStyle w:val="70"/>
              <w:numPr>
                <w:ilvl w:val="0"/>
                <w:numId w:val="13"/>
              </w:numPr>
              <w:adjustRightInd w:val="0"/>
              <w:snapToGrid w:val="0"/>
              <w:spacing w:before="120" w:after="120"/>
              <w:ind w:left="-79" w:firstLine="420"/>
              <w:jc w:val="center"/>
              <w:rPr>
                <w:rFonts w:ascii="宋体" w:hAnsi="宋体" w:cs="仿宋_GB2312"/>
                <w:color w:val="000000"/>
                <w:szCs w:val="21"/>
              </w:rPr>
            </w:pPr>
          </w:p>
        </w:tc>
        <w:tc>
          <w:tcPr>
            <w:tcW w:w="3758" w:type="dxa"/>
            <w:vAlign w:val="center"/>
          </w:tcPr>
          <w:p>
            <w:pPr>
              <w:jc w:val="center"/>
              <w:rPr>
                <w:rFonts w:ascii="宋体" w:hAnsi="宋体" w:cs="仿宋_GB2312"/>
                <w:szCs w:val="21"/>
              </w:rPr>
            </w:pPr>
            <w:r>
              <w:rPr>
                <w:rFonts w:hint="eastAsia" w:ascii="宋体" w:hAnsi="宋体" w:cs="仿宋_GB2312"/>
                <w:szCs w:val="21"/>
              </w:rPr>
              <w:t>系统管理平台</w:t>
            </w:r>
          </w:p>
        </w:tc>
        <w:tc>
          <w:tcPr>
            <w:tcW w:w="4159" w:type="dxa"/>
            <w:vAlign w:val="center"/>
          </w:tcPr>
          <w:p>
            <w:pPr>
              <w:jc w:val="center"/>
              <w:rPr>
                <w:rFonts w:ascii="宋体" w:hAnsi="宋体" w:cs="仿宋_GB2312"/>
                <w:szCs w:val="21"/>
              </w:rPr>
            </w:pPr>
            <w:r>
              <w:rPr>
                <w:rFonts w:hint="eastAsia" w:ascii="宋体" w:hAnsi="宋体" w:cs="仿宋_GB2312"/>
                <w:szCs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5" w:type="dxa"/>
            <w:vAlign w:val="center"/>
          </w:tcPr>
          <w:p>
            <w:pPr>
              <w:pStyle w:val="70"/>
              <w:numPr>
                <w:ilvl w:val="0"/>
                <w:numId w:val="13"/>
              </w:numPr>
              <w:adjustRightInd w:val="0"/>
              <w:snapToGrid w:val="0"/>
              <w:spacing w:before="120" w:after="120"/>
              <w:ind w:left="-79" w:firstLine="420"/>
              <w:jc w:val="center"/>
              <w:rPr>
                <w:rFonts w:ascii="宋体" w:hAnsi="宋体" w:cs="仿宋_GB2312"/>
                <w:color w:val="000000"/>
                <w:szCs w:val="21"/>
              </w:rPr>
            </w:pPr>
          </w:p>
        </w:tc>
        <w:tc>
          <w:tcPr>
            <w:tcW w:w="3758" w:type="dxa"/>
            <w:vAlign w:val="center"/>
          </w:tcPr>
          <w:p>
            <w:pPr>
              <w:jc w:val="center"/>
              <w:rPr>
                <w:rFonts w:ascii="宋体" w:hAnsi="宋体" w:cs="仿宋_GB2312"/>
                <w:szCs w:val="21"/>
              </w:rPr>
            </w:pPr>
            <w:r>
              <w:rPr>
                <w:rFonts w:hint="eastAsia" w:ascii="宋体" w:hAnsi="宋体" w:cs="仿宋_GB2312"/>
                <w:szCs w:val="21"/>
              </w:rPr>
              <w:t>科室成本管理系统</w:t>
            </w:r>
          </w:p>
        </w:tc>
        <w:tc>
          <w:tcPr>
            <w:tcW w:w="4159" w:type="dxa"/>
            <w:vAlign w:val="center"/>
          </w:tcPr>
          <w:p>
            <w:pPr>
              <w:jc w:val="center"/>
              <w:rPr>
                <w:rFonts w:ascii="宋体" w:hAnsi="宋体" w:cs="仿宋_GB2312"/>
                <w:szCs w:val="21"/>
              </w:rPr>
            </w:pPr>
            <w:r>
              <w:rPr>
                <w:rFonts w:hint="eastAsia" w:ascii="宋体" w:hAnsi="宋体" w:cs="仿宋_GB2312"/>
                <w:szCs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5" w:type="dxa"/>
            <w:vAlign w:val="center"/>
          </w:tcPr>
          <w:p>
            <w:pPr>
              <w:pStyle w:val="70"/>
              <w:numPr>
                <w:ilvl w:val="0"/>
                <w:numId w:val="13"/>
              </w:numPr>
              <w:adjustRightInd w:val="0"/>
              <w:snapToGrid w:val="0"/>
              <w:spacing w:before="120" w:after="120"/>
              <w:ind w:left="-79" w:firstLine="420"/>
              <w:jc w:val="center"/>
              <w:rPr>
                <w:rFonts w:ascii="宋体" w:hAnsi="宋体" w:cs="仿宋_GB2312"/>
                <w:color w:val="000000"/>
                <w:szCs w:val="21"/>
              </w:rPr>
            </w:pPr>
          </w:p>
        </w:tc>
        <w:tc>
          <w:tcPr>
            <w:tcW w:w="3758" w:type="dxa"/>
            <w:vAlign w:val="center"/>
          </w:tcPr>
          <w:p>
            <w:pPr>
              <w:jc w:val="center"/>
              <w:rPr>
                <w:rFonts w:ascii="宋体" w:hAnsi="宋体" w:cs="仿宋_GB2312"/>
                <w:szCs w:val="21"/>
              </w:rPr>
            </w:pPr>
            <w:r>
              <w:rPr>
                <w:rFonts w:hint="eastAsia" w:ascii="宋体" w:hAnsi="宋体" w:cs="仿宋_GB2312"/>
                <w:szCs w:val="21"/>
              </w:rPr>
              <w:t>服务项目成本管理系统</w:t>
            </w:r>
          </w:p>
        </w:tc>
        <w:tc>
          <w:tcPr>
            <w:tcW w:w="4159" w:type="dxa"/>
            <w:vAlign w:val="center"/>
          </w:tcPr>
          <w:p>
            <w:pPr>
              <w:jc w:val="center"/>
              <w:rPr>
                <w:rFonts w:ascii="宋体" w:hAnsi="宋体" w:cs="仿宋_GB2312"/>
                <w:szCs w:val="21"/>
              </w:rPr>
            </w:pPr>
            <w:r>
              <w:rPr>
                <w:rFonts w:hint="eastAsia" w:ascii="宋体" w:hAnsi="宋体" w:cs="仿宋_GB2312"/>
                <w:szCs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5" w:type="dxa"/>
            <w:vAlign w:val="center"/>
          </w:tcPr>
          <w:p>
            <w:pPr>
              <w:pStyle w:val="70"/>
              <w:numPr>
                <w:ilvl w:val="0"/>
                <w:numId w:val="13"/>
              </w:numPr>
              <w:adjustRightInd w:val="0"/>
              <w:snapToGrid w:val="0"/>
              <w:spacing w:before="120" w:after="120"/>
              <w:ind w:left="-79" w:firstLine="420"/>
              <w:jc w:val="center"/>
              <w:rPr>
                <w:rFonts w:ascii="宋体" w:hAnsi="宋体" w:cs="仿宋_GB2312"/>
                <w:color w:val="000000"/>
                <w:szCs w:val="21"/>
              </w:rPr>
            </w:pPr>
          </w:p>
        </w:tc>
        <w:tc>
          <w:tcPr>
            <w:tcW w:w="3758" w:type="dxa"/>
            <w:vAlign w:val="center"/>
          </w:tcPr>
          <w:p>
            <w:pPr>
              <w:jc w:val="center"/>
              <w:rPr>
                <w:rFonts w:ascii="宋体" w:hAnsi="宋体" w:cs="仿宋_GB2312"/>
                <w:szCs w:val="21"/>
              </w:rPr>
            </w:pPr>
            <w:r>
              <w:rPr>
                <w:rFonts w:hint="eastAsia" w:ascii="宋体" w:hAnsi="宋体" w:cs="仿宋_GB2312"/>
                <w:szCs w:val="21"/>
              </w:rPr>
              <w:t>DIP成本管理系统</w:t>
            </w:r>
          </w:p>
        </w:tc>
        <w:tc>
          <w:tcPr>
            <w:tcW w:w="4159" w:type="dxa"/>
            <w:vAlign w:val="center"/>
          </w:tcPr>
          <w:p>
            <w:pPr>
              <w:jc w:val="center"/>
              <w:rPr>
                <w:rFonts w:ascii="宋体" w:hAnsi="宋体" w:cs="仿宋_GB2312"/>
                <w:szCs w:val="21"/>
              </w:rPr>
            </w:pPr>
            <w:r>
              <w:rPr>
                <w:rFonts w:hint="eastAsia" w:ascii="宋体" w:hAnsi="宋体" w:cs="仿宋_GB2312"/>
                <w:szCs w:val="21"/>
              </w:rPr>
              <w:t>1套</w:t>
            </w:r>
          </w:p>
        </w:tc>
      </w:tr>
    </w:tbl>
    <w:p>
      <w:pPr>
        <w:pStyle w:val="190"/>
        <w:spacing w:line="360" w:lineRule="auto"/>
        <w:rPr>
          <w:rFonts w:ascii="宋体" w:hAnsi="宋体"/>
          <w:b/>
          <w:bCs/>
          <w:szCs w:val="21"/>
        </w:rPr>
      </w:pPr>
      <w:r>
        <w:rPr>
          <w:rFonts w:hint="eastAsia" w:ascii="宋体" w:hAnsi="宋体"/>
          <w:b/>
          <w:bCs/>
          <w:szCs w:val="21"/>
        </w:rPr>
        <w:t>详细具体的服务需求内容：</w:t>
      </w:r>
    </w:p>
    <w:p>
      <w:pPr>
        <w:pStyle w:val="3"/>
        <w:rPr>
          <w:sz w:val="21"/>
          <w:szCs w:val="21"/>
        </w:rPr>
      </w:pPr>
      <w:r>
        <w:rPr>
          <w:rFonts w:hint="eastAsia"/>
          <w:sz w:val="21"/>
          <w:szCs w:val="21"/>
        </w:rPr>
        <w:t>1、成本管理数据服务需求</w:t>
      </w:r>
    </w:p>
    <w:p>
      <w:pPr>
        <w:pStyle w:val="4"/>
        <w:rPr>
          <w:rFonts w:ascii="宋体" w:hAnsi="宋体" w:eastAsia="宋体"/>
          <w:sz w:val="21"/>
          <w:szCs w:val="21"/>
        </w:rPr>
      </w:pPr>
      <w:r>
        <w:rPr>
          <w:rFonts w:hint="eastAsia" w:ascii="宋体" w:hAnsi="宋体" w:eastAsia="宋体"/>
          <w:sz w:val="21"/>
          <w:szCs w:val="21"/>
        </w:rPr>
        <w:t>1.1医院成本管理诊断服务需求</w:t>
      </w:r>
    </w:p>
    <w:p>
      <w:pPr>
        <w:pStyle w:val="4"/>
        <w:rPr>
          <w:szCs w:val="21"/>
        </w:rPr>
      </w:pPr>
      <w:r>
        <w:rPr>
          <w:rFonts w:hint="eastAsia"/>
          <w:szCs w:val="21"/>
        </w:rPr>
        <w:t>需基于对医院成本管理现状的调研及对存在问题的了解，结合医院总体运营数据的分析，寻找医院在成本管理意识、管理方法与措施等方面需要提升的地方，形成医院成本管理调研报告。</w:t>
      </w:r>
    </w:p>
    <w:p>
      <w:pPr>
        <w:pStyle w:val="4"/>
        <w:rPr>
          <w:rFonts w:ascii="宋体" w:hAnsi="宋体" w:eastAsia="宋体"/>
          <w:sz w:val="21"/>
          <w:szCs w:val="21"/>
        </w:rPr>
      </w:pPr>
      <w:r>
        <w:rPr>
          <w:rFonts w:hint="eastAsia" w:ascii="宋体" w:hAnsi="宋体" w:eastAsia="宋体"/>
          <w:sz w:val="21"/>
          <w:szCs w:val="21"/>
        </w:rPr>
        <w:t>1.2医院成本核算方案设计需求</w:t>
      </w:r>
    </w:p>
    <w:p>
      <w:pPr>
        <w:spacing w:line="360" w:lineRule="auto"/>
        <w:ind w:firstLine="420" w:firstLineChars="200"/>
        <w:rPr>
          <w:rFonts w:ascii="宋体" w:hAnsi="宋体"/>
          <w:szCs w:val="21"/>
        </w:rPr>
      </w:pPr>
      <w:r>
        <w:rPr>
          <w:rFonts w:hint="eastAsia" w:ascii="宋体" w:hAnsi="宋体"/>
          <w:szCs w:val="21"/>
        </w:rPr>
        <w:t>需结合医院现状，为医院设计成本核算方案，对医院成本核算单元、成本项目、成本分摊方案、作业模型、成本报表体系等内容进行设计，理清各维度相互之间的数据关系，出具医院作业模型库，提供医院成本核算服务详细方案。</w:t>
      </w:r>
    </w:p>
    <w:p>
      <w:pPr>
        <w:pStyle w:val="4"/>
        <w:rPr>
          <w:rFonts w:ascii="宋体" w:hAnsi="宋体" w:eastAsia="宋体"/>
          <w:sz w:val="21"/>
          <w:szCs w:val="21"/>
        </w:rPr>
      </w:pPr>
      <w:r>
        <w:rPr>
          <w:rFonts w:hint="eastAsia" w:ascii="宋体" w:hAnsi="宋体" w:eastAsia="宋体"/>
          <w:sz w:val="21"/>
          <w:szCs w:val="21"/>
        </w:rPr>
        <w:t>1.3医院成本数据治理服务需求</w:t>
      </w:r>
    </w:p>
    <w:p>
      <w:pPr>
        <w:spacing w:line="360" w:lineRule="auto"/>
        <w:ind w:firstLine="420" w:firstLineChars="200"/>
        <w:rPr>
          <w:rFonts w:ascii="宋体" w:hAnsi="宋体"/>
          <w:szCs w:val="21"/>
        </w:rPr>
      </w:pPr>
      <w:r>
        <w:rPr>
          <w:rFonts w:hint="eastAsia" w:ascii="宋体" w:hAnsi="宋体"/>
          <w:szCs w:val="21"/>
        </w:rPr>
        <w:t>需要为医院建立统一的成本数据标准、采集规范，提供成本数据采集方案，实现对成本核算涉及的数据进行治理，数据范围包括财务支出数据、收入数据、内部服务量、外部服务量、病案首页、各项资源消耗数据</w:t>
      </w:r>
      <w:r>
        <w:rPr>
          <w:rFonts w:ascii="宋体" w:hAnsi="宋体"/>
          <w:szCs w:val="21"/>
        </w:rPr>
        <w:t>(包括人员经费、卫生材料消耗、固定资产折旧)等，并与相应信息化系统进行数据集成或批量导入，对数据进行规则校验与核对，提升数据合理性，进一步提升数据质量</w:t>
      </w:r>
      <w:bookmarkStart w:id="35" w:name="_Hlk41378259"/>
      <w:r>
        <w:rPr>
          <w:rFonts w:ascii="宋体" w:hAnsi="宋体"/>
          <w:szCs w:val="21"/>
        </w:rPr>
        <w:t>。</w:t>
      </w:r>
      <w:r>
        <w:rPr>
          <w:rFonts w:hint="eastAsia" w:ascii="宋体" w:hAnsi="宋体"/>
          <w:szCs w:val="21"/>
        </w:rPr>
        <w:t xml:space="preserve"> </w:t>
      </w:r>
      <w:bookmarkEnd w:id="35"/>
    </w:p>
    <w:p>
      <w:pPr>
        <w:pStyle w:val="4"/>
        <w:rPr>
          <w:rFonts w:ascii="宋体" w:hAnsi="宋体" w:eastAsia="宋体"/>
          <w:sz w:val="21"/>
          <w:szCs w:val="21"/>
        </w:rPr>
      </w:pPr>
      <w:r>
        <w:rPr>
          <w:rFonts w:hint="eastAsia" w:ascii="宋体" w:hAnsi="宋体" w:eastAsia="宋体"/>
          <w:sz w:val="21"/>
          <w:szCs w:val="21"/>
        </w:rPr>
        <w:t>1.4医院成本核算服务需求</w:t>
      </w:r>
    </w:p>
    <w:p>
      <w:pPr>
        <w:pStyle w:val="4"/>
        <w:rPr>
          <w:rFonts w:ascii="宋体" w:hAnsi="宋体" w:eastAsia="宋体"/>
          <w:sz w:val="21"/>
          <w:szCs w:val="21"/>
        </w:rPr>
      </w:pPr>
      <w:r>
        <w:rPr>
          <w:rFonts w:hint="eastAsia" w:ascii="宋体" w:hAnsi="宋体" w:eastAsia="宋体"/>
          <w:sz w:val="21"/>
          <w:szCs w:val="21"/>
        </w:rPr>
        <w:t>（1）科室成本核算服务</w:t>
      </w:r>
    </w:p>
    <w:p>
      <w:pPr>
        <w:spacing w:line="360" w:lineRule="auto"/>
        <w:ind w:firstLine="420" w:firstLineChars="200"/>
        <w:rPr>
          <w:rFonts w:ascii="宋体" w:hAnsi="宋体"/>
          <w:szCs w:val="21"/>
        </w:rPr>
      </w:pPr>
      <w:r>
        <w:rPr>
          <w:rFonts w:hint="eastAsia" w:ascii="宋体" w:hAnsi="宋体"/>
          <w:szCs w:val="21"/>
        </w:rPr>
        <w:t>需按照医院管理要求分析医院科室成本核算结果，并出具科室成本核算报表和数据报告。</w:t>
      </w:r>
    </w:p>
    <w:p>
      <w:pPr>
        <w:pStyle w:val="4"/>
        <w:rPr>
          <w:rFonts w:ascii="宋体" w:hAnsi="宋体" w:eastAsia="宋体"/>
          <w:sz w:val="21"/>
          <w:szCs w:val="21"/>
        </w:rPr>
      </w:pPr>
      <w:r>
        <w:rPr>
          <w:rFonts w:hint="eastAsia" w:ascii="宋体" w:hAnsi="宋体" w:eastAsia="宋体"/>
          <w:sz w:val="21"/>
          <w:szCs w:val="21"/>
        </w:rPr>
        <w:t>（2）项目成本核算服务</w:t>
      </w:r>
    </w:p>
    <w:p>
      <w:pPr>
        <w:ind w:firstLine="420" w:firstLineChars="200"/>
        <w:rPr>
          <w:rFonts w:ascii="宋体" w:hAnsi="宋体"/>
          <w:szCs w:val="21"/>
        </w:rPr>
      </w:pPr>
      <w:r>
        <w:rPr>
          <w:rFonts w:hint="eastAsia" w:ascii="宋体" w:hAnsi="宋体"/>
          <w:szCs w:val="21"/>
        </w:rPr>
        <w:t>需按照医院管理要求分析医院项目成本核算结果，并出具项目成本核算报表和数据报告。</w:t>
      </w:r>
    </w:p>
    <w:p>
      <w:pPr>
        <w:pStyle w:val="4"/>
        <w:rPr>
          <w:rFonts w:ascii="宋体" w:hAnsi="宋体" w:eastAsia="宋体"/>
          <w:sz w:val="21"/>
          <w:szCs w:val="21"/>
        </w:rPr>
      </w:pPr>
      <w:r>
        <w:rPr>
          <w:rFonts w:hint="eastAsia" w:ascii="宋体" w:hAnsi="宋体" w:eastAsia="宋体"/>
          <w:sz w:val="21"/>
          <w:szCs w:val="21"/>
        </w:rPr>
        <w:t>（3）DIP成本核算服务</w:t>
      </w:r>
    </w:p>
    <w:p>
      <w:pPr>
        <w:spacing w:line="360" w:lineRule="auto"/>
        <w:ind w:firstLine="420" w:firstLineChars="200"/>
        <w:rPr>
          <w:rFonts w:ascii="宋体" w:hAnsi="宋体"/>
          <w:szCs w:val="21"/>
        </w:rPr>
      </w:pPr>
      <w:r>
        <w:rPr>
          <w:rFonts w:hint="eastAsia" w:ascii="宋体" w:hAnsi="宋体"/>
          <w:szCs w:val="21"/>
        </w:rPr>
        <w:t>需按照医院管理要求分析医院DIP成本核算结果，并出具DIP成本核算报表和数据报告。</w:t>
      </w:r>
    </w:p>
    <w:p>
      <w:pPr>
        <w:pStyle w:val="4"/>
        <w:rPr>
          <w:rFonts w:ascii="宋体" w:hAnsi="宋体" w:eastAsia="宋体"/>
          <w:sz w:val="21"/>
          <w:szCs w:val="21"/>
        </w:rPr>
      </w:pPr>
      <w:r>
        <w:rPr>
          <w:rFonts w:hint="eastAsia" w:ascii="宋体" w:hAnsi="宋体" w:eastAsia="宋体"/>
          <w:sz w:val="21"/>
          <w:szCs w:val="21"/>
        </w:rPr>
        <w:t>2成本管理系统需求</w:t>
      </w:r>
    </w:p>
    <w:p>
      <w:pPr>
        <w:pStyle w:val="4"/>
        <w:rPr>
          <w:rFonts w:ascii="宋体" w:hAnsi="宋体" w:eastAsia="宋体"/>
          <w:sz w:val="21"/>
          <w:szCs w:val="21"/>
        </w:rPr>
      </w:pPr>
      <w:r>
        <w:rPr>
          <w:rFonts w:hint="eastAsia" w:ascii="宋体" w:hAnsi="宋体" w:eastAsia="宋体"/>
          <w:sz w:val="21"/>
          <w:szCs w:val="21"/>
        </w:rPr>
        <w:t>2.1系统管理平台</w:t>
      </w:r>
    </w:p>
    <w:p>
      <w:pPr>
        <w:pStyle w:val="4"/>
        <w:rPr>
          <w:rFonts w:ascii="宋体" w:hAnsi="宋体" w:eastAsia="宋体"/>
          <w:sz w:val="21"/>
          <w:szCs w:val="21"/>
        </w:rPr>
      </w:pPr>
      <w:r>
        <w:rPr>
          <w:rFonts w:hint="eastAsia" w:ascii="宋体" w:hAnsi="宋体" w:eastAsia="宋体"/>
          <w:sz w:val="21"/>
          <w:szCs w:val="21"/>
        </w:rPr>
        <w:t>（1）基础信息管理</w:t>
      </w:r>
    </w:p>
    <w:p>
      <w:pPr>
        <w:spacing w:line="360" w:lineRule="auto"/>
        <w:ind w:firstLine="420" w:firstLineChars="200"/>
        <w:rPr>
          <w:rFonts w:ascii="宋体" w:hAnsi="宋体"/>
          <w:szCs w:val="21"/>
        </w:rPr>
      </w:pPr>
      <w:r>
        <w:rPr>
          <w:rFonts w:hint="eastAsia" w:ascii="宋体" w:hAnsi="宋体"/>
          <w:szCs w:val="21"/>
        </w:rPr>
        <w:t>系统需提供组织架构、职工、收入、成本、物资、资产、药品、供应商等信息的维护功能以及其他基础数据的字典管理功能。</w:t>
      </w:r>
    </w:p>
    <w:p>
      <w:pPr>
        <w:spacing w:line="360" w:lineRule="auto"/>
        <w:ind w:firstLine="420" w:firstLineChars="200"/>
        <w:rPr>
          <w:rFonts w:ascii="宋体" w:hAnsi="宋体"/>
          <w:szCs w:val="21"/>
        </w:rPr>
      </w:pPr>
      <w:r>
        <w:rPr>
          <w:rFonts w:hint="eastAsia" w:ascii="宋体" w:hAnsi="宋体"/>
          <w:szCs w:val="21"/>
        </w:rPr>
        <w:t>支持对医院字典的添加、删除、修改、查询、导入等功能。</w:t>
      </w:r>
    </w:p>
    <w:p>
      <w:pPr>
        <w:pStyle w:val="4"/>
        <w:rPr>
          <w:rFonts w:ascii="宋体" w:hAnsi="宋体" w:eastAsia="宋体"/>
          <w:sz w:val="21"/>
          <w:szCs w:val="21"/>
        </w:rPr>
      </w:pPr>
      <w:r>
        <w:rPr>
          <w:rFonts w:hint="eastAsia" w:ascii="宋体" w:hAnsi="宋体" w:eastAsia="宋体"/>
          <w:sz w:val="21"/>
          <w:szCs w:val="21"/>
        </w:rPr>
        <w:t>（2）参数管理</w:t>
      </w:r>
    </w:p>
    <w:p>
      <w:pPr>
        <w:spacing w:line="360" w:lineRule="auto"/>
        <w:ind w:firstLine="420" w:firstLineChars="200"/>
        <w:rPr>
          <w:rFonts w:ascii="宋体" w:hAnsi="宋体"/>
          <w:szCs w:val="21"/>
        </w:rPr>
      </w:pPr>
      <w:r>
        <w:rPr>
          <w:rFonts w:hint="eastAsia" w:ascii="宋体" w:hAnsi="宋体"/>
          <w:szCs w:val="21"/>
        </w:rPr>
        <w:t>支持系统参数的配置管理，系统可内置参数配置项，根据管理需求自行调节参数，满足单位灵活运用。</w:t>
      </w:r>
    </w:p>
    <w:p>
      <w:pPr>
        <w:pStyle w:val="4"/>
        <w:rPr>
          <w:rFonts w:ascii="宋体" w:hAnsi="宋体" w:eastAsia="宋体"/>
          <w:sz w:val="21"/>
          <w:szCs w:val="21"/>
        </w:rPr>
      </w:pPr>
      <w:r>
        <w:rPr>
          <w:rFonts w:hint="eastAsia" w:ascii="宋体" w:hAnsi="宋体" w:eastAsia="宋体"/>
          <w:sz w:val="21"/>
          <w:szCs w:val="21"/>
        </w:rPr>
        <w:t>（3）系统管理</w:t>
      </w:r>
    </w:p>
    <w:p>
      <w:pPr>
        <w:pStyle w:val="70"/>
        <w:spacing w:line="360" w:lineRule="auto"/>
        <w:ind w:left="420" w:firstLine="0" w:firstLineChars="0"/>
        <w:rPr>
          <w:rFonts w:ascii="宋体" w:hAnsi="宋体"/>
          <w:szCs w:val="21"/>
        </w:rPr>
      </w:pPr>
      <w:r>
        <w:rPr>
          <w:rFonts w:hint="eastAsia" w:ascii="宋体" w:hAnsi="宋体"/>
          <w:szCs w:val="21"/>
        </w:rPr>
        <w:t>a.</w:t>
      </w:r>
      <w:r>
        <w:rPr>
          <w:rFonts w:ascii="宋体" w:hAnsi="宋体"/>
          <w:szCs w:val="21"/>
        </w:rPr>
        <w:t>权限管理</w:t>
      </w:r>
    </w:p>
    <w:p>
      <w:pPr>
        <w:spacing w:line="360" w:lineRule="auto"/>
        <w:ind w:firstLine="420" w:firstLineChars="200"/>
        <w:rPr>
          <w:rFonts w:ascii="宋体" w:hAnsi="宋体"/>
          <w:szCs w:val="21"/>
        </w:rPr>
      </w:pPr>
      <w:r>
        <w:rPr>
          <w:rFonts w:hint="eastAsia" w:ascii="宋体" w:hAnsi="宋体"/>
          <w:szCs w:val="21"/>
        </w:rPr>
        <w:t>为管理员、角色、用户赋予功能权限和数据权限，并提供统一权限查询功能。</w:t>
      </w:r>
    </w:p>
    <w:p>
      <w:pPr>
        <w:pStyle w:val="70"/>
        <w:spacing w:line="360" w:lineRule="auto"/>
        <w:ind w:left="420" w:firstLine="0" w:firstLineChars="0"/>
        <w:rPr>
          <w:rFonts w:ascii="宋体" w:hAnsi="宋体"/>
          <w:szCs w:val="21"/>
        </w:rPr>
      </w:pPr>
      <w:r>
        <w:rPr>
          <w:rFonts w:hint="eastAsia" w:ascii="宋体" w:hAnsi="宋体"/>
          <w:szCs w:val="21"/>
        </w:rPr>
        <w:t>b.日志管理</w:t>
      </w:r>
    </w:p>
    <w:p>
      <w:pPr>
        <w:spacing w:line="360" w:lineRule="auto"/>
        <w:ind w:firstLine="420" w:firstLineChars="200"/>
        <w:rPr>
          <w:rFonts w:ascii="宋体" w:hAnsi="宋体"/>
          <w:szCs w:val="21"/>
        </w:rPr>
      </w:pPr>
      <w:r>
        <w:rPr>
          <w:rFonts w:hint="eastAsia" w:ascii="宋体" w:hAnsi="宋体"/>
          <w:szCs w:val="21"/>
        </w:rPr>
        <w:t>系统日志管理能够记录用户进入某个功能节点的时间和用户退出某个功能节点的时间，并提供用户对日志的管理功能。</w:t>
      </w:r>
    </w:p>
    <w:p>
      <w:pPr>
        <w:pStyle w:val="70"/>
        <w:spacing w:line="360" w:lineRule="auto"/>
        <w:ind w:left="420" w:firstLine="0" w:firstLineChars="0"/>
        <w:rPr>
          <w:rFonts w:ascii="宋体" w:hAnsi="宋体"/>
          <w:szCs w:val="21"/>
        </w:rPr>
      </w:pPr>
      <w:r>
        <w:rPr>
          <w:rFonts w:hint="eastAsia" w:ascii="宋体" w:hAnsi="宋体"/>
          <w:szCs w:val="21"/>
        </w:rPr>
        <w:t>c.统一门户</w:t>
      </w:r>
    </w:p>
    <w:p>
      <w:pPr>
        <w:spacing w:line="360" w:lineRule="auto"/>
        <w:ind w:firstLine="420" w:firstLineChars="200"/>
        <w:rPr>
          <w:rFonts w:ascii="宋体" w:hAnsi="宋体"/>
          <w:szCs w:val="21"/>
        </w:rPr>
      </w:pPr>
      <w:r>
        <w:rPr>
          <w:rFonts w:hint="eastAsia" w:ascii="宋体" w:hAnsi="宋体"/>
          <w:szCs w:val="21"/>
        </w:rPr>
        <w:t>支持统一门户管理，进行待办事项、预警信息、公告信息等模块的自定义配置。</w:t>
      </w:r>
    </w:p>
    <w:p>
      <w:pPr>
        <w:pStyle w:val="4"/>
        <w:rPr>
          <w:rFonts w:ascii="宋体" w:hAnsi="宋体" w:eastAsia="宋体"/>
          <w:sz w:val="21"/>
          <w:szCs w:val="21"/>
        </w:rPr>
      </w:pPr>
      <w:r>
        <w:rPr>
          <w:rFonts w:hint="eastAsia" w:ascii="宋体" w:hAnsi="宋体" w:eastAsia="宋体"/>
          <w:sz w:val="21"/>
          <w:szCs w:val="21"/>
        </w:rPr>
        <w:t>2.2科室成本管理系统</w:t>
      </w:r>
    </w:p>
    <w:p>
      <w:pPr>
        <w:pStyle w:val="70"/>
        <w:numPr>
          <w:ilvl w:val="0"/>
          <w:numId w:val="14"/>
        </w:numPr>
        <w:spacing w:line="360" w:lineRule="auto"/>
        <w:ind w:firstLineChars="0"/>
        <w:rPr>
          <w:rFonts w:ascii="宋体" w:hAnsi="宋体"/>
          <w:szCs w:val="21"/>
        </w:rPr>
      </w:pPr>
      <w:r>
        <w:rPr>
          <w:rFonts w:hint="eastAsia" w:ascii="宋体" w:hAnsi="宋体"/>
          <w:szCs w:val="21"/>
        </w:rPr>
        <w:t>具备基础数据维护功能</w:t>
      </w:r>
    </w:p>
    <w:p>
      <w:pPr>
        <w:spacing w:line="360" w:lineRule="auto"/>
        <w:ind w:firstLine="420" w:firstLineChars="200"/>
        <w:rPr>
          <w:rFonts w:ascii="宋体" w:hAnsi="宋体"/>
          <w:szCs w:val="21"/>
        </w:rPr>
      </w:pPr>
      <w:r>
        <w:rPr>
          <w:rFonts w:hint="eastAsia" w:ascii="宋体" w:hAnsi="宋体"/>
          <w:szCs w:val="21"/>
        </w:rPr>
        <w:t>系统需具备基础数据维护功能，包括收入数据、成本数据、工作量数据、其他数据等。</w:t>
      </w:r>
    </w:p>
    <w:p>
      <w:pPr>
        <w:pStyle w:val="70"/>
        <w:numPr>
          <w:ilvl w:val="0"/>
          <w:numId w:val="14"/>
        </w:numPr>
        <w:spacing w:line="360" w:lineRule="auto"/>
        <w:ind w:firstLineChars="0"/>
        <w:rPr>
          <w:rFonts w:ascii="宋体" w:hAnsi="宋体"/>
          <w:szCs w:val="21"/>
        </w:rPr>
      </w:pPr>
      <w:r>
        <w:rPr>
          <w:rFonts w:hint="eastAsia" w:ascii="宋体" w:hAnsi="宋体"/>
          <w:szCs w:val="21"/>
        </w:rPr>
        <w:t>成本归集管理</w:t>
      </w:r>
    </w:p>
    <w:p>
      <w:pPr>
        <w:spacing w:line="360" w:lineRule="auto"/>
        <w:ind w:firstLine="480"/>
        <w:rPr>
          <w:rFonts w:ascii="宋体" w:hAnsi="宋体"/>
          <w:szCs w:val="21"/>
        </w:rPr>
      </w:pPr>
      <w:r>
        <w:rPr>
          <w:rFonts w:hint="eastAsia" w:ascii="宋体" w:hAnsi="宋体"/>
          <w:szCs w:val="21"/>
        </w:rPr>
        <w:t>支持根据对应关系自动对成本进行归集的功能，归集过程中可提供成本数据与成本总账的校验功能。</w:t>
      </w:r>
    </w:p>
    <w:p>
      <w:pPr>
        <w:pStyle w:val="70"/>
        <w:numPr>
          <w:ilvl w:val="0"/>
          <w:numId w:val="14"/>
        </w:numPr>
        <w:spacing w:line="360" w:lineRule="auto"/>
        <w:ind w:firstLineChars="0"/>
        <w:rPr>
          <w:rFonts w:ascii="宋体" w:hAnsi="宋体"/>
          <w:szCs w:val="21"/>
        </w:rPr>
      </w:pPr>
      <w:r>
        <w:rPr>
          <w:rFonts w:hint="eastAsia" w:ascii="宋体" w:hAnsi="宋体"/>
          <w:szCs w:val="21"/>
        </w:rPr>
        <w:t>二次分配管理</w:t>
      </w:r>
    </w:p>
    <w:p>
      <w:pPr>
        <w:spacing w:line="360" w:lineRule="auto"/>
        <w:ind w:firstLine="420" w:firstLineChars="200"/>
        <w:rPr>
          <w:rFonts w:ascii="宋体" w:hAnsi="宋体"/>
          <w:szCs w:val="21"/>
        </w:rPr>
      </w:pPr>
      <w:r>
        <w:rPr>
          <w:rFonts w:hint="eastAsia" w:ascii="宋体" w:hAnsi="宋体"/>
          <w:szCs w:val="21"/>
        </w:rPr>
        <w:t>支持对成本的二次分配管理，可根据管理需要灵活设定分配和归集的先后顺序，可根据分配规则自动对成本进行分配。</w:t>
      </w:r>
    </w:p>
    <w:p>
      <w:pPr>
        <w:pStyle w:val="70"/>
        <w:numPr>
          <w:ilvl w:val="0"/>
          <w:numId w:val="14"/>
        </w:numPr>
        <w:spacing w:line="360" w:lineRule="auto"/>
        <w:ind w:firstLineChars="0"/>
        <w:rPr>
          <w:rFonts w:ascii="宋体" w:hAnsi="宋体"/>
          <w:szCs w:val="21"/>
        </w:rPr>
      </w:pPr>
      <w:r>
        <w:rPr>
          <w:rFonts w:hint="eastAsia" w:ascii="宋体" w:hAnsi="宋体"/>
          <w:szCs w:val="21"/>
        </w:rPr>
        <w:t>核算模型管理</w:t>
      </w:r>
    </w:p>
    <w:p>
      <w:pPr>
        <w:spacing w:line="360" w:lineRule="auto"/>
        <w:ind w:firstLine="420" w:firstLineChars="200"/>
        <w:rPr>
          <w:rFonts w:ascii="宋体" w:hAnsi="宋体"/>
          <w:szCs w:val="21"/>
        </w:rPr>
      </w:pPr>
      <w:r>
        <w:rPr>
          <w:rFonts w:hint="eastAsia" w:ascii="宋体" w:hAnsi="宋体"/>
          <w:szCs w:val="21"/>
        </w:rPr>
        <w:t>核算模型需支持成本要素的分配方法，科室之间的定向关系设置以及科室院区之间的分摊关系管理。</w:t>
      </w:r>
    </w:p>
    <w:p>
      <w:pPr>
        <w:pStyle w:val="70"/>
        <w:numPr>
          <w:ilvl w:val="0"/>
          <w:numId w:val="14"/>
        </w:numPr>
        <w:spacing w:line="360" w:lineRule="auto"/>
        <w:ind w:firstLineChars="0"/>
        <w:rPr>
          <w:rFonts w:ascii="宋体" w:hAnsi="宋体"/>
          <w:szCs w:val="21"/>
        </w:rPr>
      </w:pPr>
      <w:r>
        <w:rPr>
          <w:rFonts w:hint="eastAsia" w:ascii="宋体" w:hAnsi="宋体"/>
          <w:szCs w:val="21"/>
        </w:rPr>
        <w:t>分摊计算管理</w:t>
      </w:r>
    </w:p>
    <w:p>
      <w:pPr>
        <w:spacing w:line="360" w:lineRule="auto"/>
        <w:ind w:firstLine="420" w:firstLineChars="200"/>
        <w:rPr>
          <w:rFonts w:ascii="宋体" w:hAnsi="宋体"/>
          <w:szCs w:val="21"/>
        </w:rPr>
      </w:pPr>
      <w:r>
        <w:rPr>
          <w:rFonts w:hint="eastAsia" w:ascii="宋体" w:hAnsi="宋体"/>
          <w:szCs w:val="21"/>
        </w:rPr>
        <w:t>要求按照《医院财务制度》规定的“三级四类分摊法”对成本数据进行分摊，完成全成本核算工作，并能提供对医疗业务成本、医疗成本、医疗全成本、医院全成本的处理，分摊管理支持同一科室不同成本项目按不同的动因进行分摊，支持同级分摊、定向分摊，支持对分摊的数据进行校验，确保分摊结果的准确性。</w:t>
      </w:r>
    </w:p>
    <w:p>
      <w:pPr>
        <w:pStyle w:val="70"/>
        <w:numPr>
          <w:ilvl w:val="0"/>
          <w:numId w:val="14"/>
        </w:numPr>
        <w:spacing w:line="360" w:lineRule="auto"/>
        <w:ind w:firstLineChars="0"/>
        <w:rPr>
          <w:rFonts w:ascii="宋体" w:hAnsi="宋体"/>
          <w:szCs w:val="21"/>
        </w:rPr>
      </w:pPr>
      <w:r>
        <w:rPr>
          <w:rFonts w:ascii="Arial" w:hAnsi="Arial" w:cs="Arial"/>
          <w:szCs w:val="21"/>
        </w:rPr>
        <w:t>▲</w:t>
      </w:r>
      <w:r>
        <w:rPr>
          <w:rFonts w:hint="eastAsia" w:ascii="宋体" w:hAnsi="宋体"/>
          <w:szCs w:val="21"/>
        </w:rPr>
        <w:t>成本预算</w:t>
      </w:r>
    </w:p>
    <w:p>
      <w:pPr>
        <w:spacing w:line="360" w:lineRule="auto"/>
        <w:ind w:firstLine="420" w:firstLineChars="200"/>
        <w:rPr>
          <w:rFonts w:ascii="宋体" w:hAnsi="宋体"/>
          <w:szCs w:val="21"/>
        </w:rPr>
      </w:pPr>
      <w:r>
        <w:rPr>
          <w:rFonts w:hint="eastAsia" w:ascii="宋体" w:hAnsi="宋体"/>
          <w:szCs w:val="21"/>
        </w:rPr>
        <w:t>支持成本的预算管理，支持对于业务计划、成本预测、成本预算与执行分析的管理。成本预测可提供高低点预测、本量利预测、回归预测方法进行下期成本预算。</w:t>
      </w:r>
    </w:p>
    <w:p>
      <w:pPr>
        <w:pStyle w:val="70"/>
        <w:numPr>
          <w:ilvl w:val="0"/>
          <w:numId w:val="14"/>
        </w:numPr>
        <w:spacing w:line="360" w:lineRule="auto"/>
        <w:ind w:firstLineChars="0"/>
        <w:rPr>
          <w:rFonts w:ascii="宋体" w:hAnsi="宋体"/>
          <w:szCs w:val="21"/>
        </w:rPr>
      </w:pPr>
      <w:r>
        <w:rPr>
          <w:rFonts w:ascii="Arial" w:hAnsi="Arial" w:cs="Arial"/>
          <w:szCs w:val="21"/>
        </w:rPr>
        <w:t>▲</w:t>
      </w:r>
      <w:r>
        <w:rPr>
          <w:rFonts w:hint="eastAsia" w:ascii="宋体" w:hAnsi="宋体"/>
          <w:szCs w:val="21"/>
        </w:rPr>
        <w:t>成本考核</w:t>
      </w:r>
    </w:p>
    <w:p>
      <w:pPr>
        <w:spacing w:line="360" w:lineRule="auto"/>
        <w:ind w:firstLine="420" w:firstLineChars="200"/>
        <w:rPr>
          <w:rFonts w:ascii="宋体" w:hAnsi="宋体"/>
          <w:szCs w:val="21"/>
        </w:rPr>
      </w:pPr>
      <w:r>
        <w:rPr>
          <w:rFonts w:hint="eastAsia" w:ascii="宋体" w:hAnsi="宋体"/>
          <w:szCs w:val="21"/>
        </w:rPr>
        <w:t>支持利用成本考核功能对成本的数据结果进行展示，包括收入数据、成本数据以及医疗收益数据。</w:t>
      </w:r>
    </w:p>
    <w:p>
      <w:pPr>
        <w:pStyle w:val="70"/>
        <w:numPr>
          <w:ilvl w:val="0"/>
          <w:numId w:val="14"/>
        </w:numPr>
        <w:spacing w:line="360" w:lineRule="auto"/>
        <w:ind w:firstLineChars="0"/>
        <w:rPr>
          <w:rFonts w:ascii="宋体" w:hAnsi="宋体"/>
          <w:szCs w:val="21"/>
        </w:rPr>
      </w:pPr>
      <w:r>
        <w:rPr>
          <w:rFonts w:hint="eastAsia" w:ascii="宋体" w:hAnsi="宋体"/>
          <w:szCs w:val="21"/>
        </w:rPr>
        <w:t>成本报表功能</w:t>
      </w:r>
    </w:p>
    <w:p>
      <w:pPr>
        <w:spacing w:line="360" w:lineRule="auto"/>
        <w:ind w:firstLine="420" w:firstLineChars="200"/>
        <w:rPr>
          <w:rFonts w:ascii="宋体" w:hAnsi="宋体"/>
          <w:szCs w:val="21"/>
        </w:rPr>
      </w:pPr>
      <w:r>
        <w:rPr>
          <w:rFonts w:hint="eastAsia" w:ascii="宋体" w:hAnsi="宋体"/>
          <w:szCs w:val="21"/>
        </w:rPr>
        <w:t>支持公立医院1</w:t>
      </w:r>
      <w:r>
        <w:rPr>
          <w:rFonts w:ascii="宋体" w:hAnsi="宋体"/>
          <w:szCs w:val="21"/>
        </w:rPr>
        <w:t>4</w:t>
      </w:r>
      <w:r>
        <w:rPr>
          <w:rFonts w:hint="eastAsia" w:ascii="宋体" w:hAnsi="宋体"/>
          <w:szCs w:val="21"/>
        </w:rPr>
        <w:t>张成本管理报表的自动生成。</w:t>
      </w:r>
    </w:p>
    <w:p>
      <w:pPr>
        <w:pStyle w:val="70"/>
        <w:numPr>
          <w:ilvl w:val="0"/>
          <w:numId w:val="14"/>
        </w:numPr>
        <w:spacing w:line="360" w:lineRule="auto"/>
        <w:ind w:firstLineChars="0"/>
        <w:rPr>
          <w:rFonts w:ascii="宋体" w:hAnsi="宋体"/>
          <w:szCs w:val="21"/>
        </w:rPr>
      </w:pPr>
      <w:bookmarkStart w:id="36" w:name="_Hlk41051550"/>
      <w:r>
        <w:rPr>
          <w:rFonts w:hint="eastAsia" w:ascii="宋体" w:hAnsi="宋体"/>
          <w:szCs w:val="21"/>
        </w:rPr>
        <w:t>成本分析功能</w:t>
      </w:r>
    </w:p>
    <w:p>
      <w:pPr>
        <w:spacing w:line="360" w:lineRule="auto"/>
        <w:ind w:firstLine="420" w:firstLineChars="200"/>
        <w:rPr>
          <w:rFonts w:ascii="宋体" w:hAnsi="宋体"/>
          <w:szCs w:val="21"/>
        </w:rPr>
      </w:pPr>
      <w:r>
        <w:rPr>
          <w:rFonts w:hint="eastAsia" w:ascii="宋体" w:hAnsi="宋体"/>
          <w:szCs w:val="21"/>
        </w:rPr>
        <w:t>可提供收支结余分析、科室分析、本量利分析、人力、药耗专题分析等综合分析功能。</w:t>
      </w:r>
    </w:p>
    <w:bookmarkEnd w:id="36"/>
    <w:p>
      <w:pPr>
        <w:pStyle w:val="70"/>
        <w:numPr>
          <w:ilvl w:val="0"/>
          <w:numId w:val="14"/>
        </w:numPr>
        <w:spacing w:line="360" w:lineRule="auto"/>
        <w:ind w:firstLineChars="0"/>
        <w:rPr>
          <w:rFonts w:ascii="宋体" w:hAnsi="宋体"/>
          <w:szCs w:val="21"/>
        </w:rPr>
      </w:pPr>
      <w:r>
        <w:rPr>
          <w:rFonts w:ascii="Arial" w:hAnsi="Arial" w:cs="Arial"/>
          <w:szCs w:val="21"/>
        </w:rPr>
        <w:t>▲</w:t>
      </w:r>
      <w:r>
        <w:rPr>
          <w:rFonts w:hint="eastAsia" w:ascii="宋体" w:hAnsi="宋体"/>
          <w:szCs w:val="21"/>
        </w:rPr>
        <w:t>成本监测</w:t>
      </w:r>
    </w:p>
    <w:p>
      <w:pPr>
        <w:spacing w:line="360" w:lineRule="auto"/>
        <w:ind w:firstLine="420" w:firstLineChars="200"/>
        <w:rPr>
          <w:rFonts w:ascii="宋体" w:hAnsi="宋体"/>
          <w:szCs w:val="21"/>
        </w:rPr>
      </w:pPr>
      <w:r>
        <w:rPr>
          <w:rFonts w:hint="eastAsia" w:ascii="宋体" w:hAnsi="宋体"/>
          <w:szCs w:val="21"/>
        </w:rPr>
        <w:t>支持对于医疗服务项目频次、门诊工作量、住院工作量、医院各科室成本、医院一次性医用耗材等进行监测。</w:t>
      </w:r>
    </w:p>
    <w:p>
      <w:pPr>
        <w:pStyle w:val="70"/>
        <w:numPr>
          <w:ilvl w:val="0"/>
          <w:numId w:val="14"/>
        </w:numPr>
        <w:spacing w:line="360" w:lineRule="auto"/>
        <w:ind w:firstLineChars="0"/>
        <w:rPr>
          <w:rFonts w:ascii="宋体" w:hAnsi="宋体"/>
          <w:szCs w:val="21"/>
        </w:rPr>
      </w:pPr>
      <w:r>
        <w:rPr>
          <w:rFonts w:hint="eastAsia" w:ascii="宋体" w:hAnsi="宋体"/>
          <w:szCs w:val="21"/>
        </w:rPr>
        <w:t>基础设置功能</w:t>
      </w:r>
    </w:p>
    <w:p>
      <w:pPr>
        <w:spacing w:line="360" w:lineRule="auto"/>
        <w:ind w:firstLine="420" w:firstLineChars="200"/>
        <w:rPr>
          <w:rFonts w:ascii="宋体" w:hAnsi="宋体"/>
          <w:szCs w:val="21"/>
        </w:rPr>
      </w:pPr>
      <w:r>
        <w:rPr>
          <w:rFonts w:hint="eastAsia" w:ascii="宋体" w:hAnsi="宋体"/>
          <w:szCs w:val="21"/>
        </w:rPr>
        <w:t>支持科室成本相关的参数配置、字典设置、业务项与成本项之间的对应关系设置以及相关校验规则的设置等。</w:t>
      </w:r>
    </w:p>
    <w:p>
      <w:pPr>
        <w:pStyle w:val="4"/>
        <w:rPr>
          <w:rFonts w:ascii="宋体" w:hAnsi="宋体" w:eastAsia="宋体"/>
          <w:sz w:val="21"/>
          <w:szCs w:val="21"/>
        </w:rPr>
      </w:pPr>
      <w:r>
        <w:rPr>
          <w:rFonts w:hint="eastAsia" w:ascii="宋体" w:hAnsi="宋体" w:eastAsia="宋体"/>
          <w:sz w:val="21"/>
          <w:szCs w:val="21"/>
        </w:rPr>
        <w:t>2.3医疗服务项目成本管理系统</w:t>
      </w:r>
    </w:p>
    <w:p>
      <w:pPr>
        <w:pStyle w:val="70"/>
        <w:numPr>
          <w:ilvl w:val="0"/>
          <w:numId w:val="15"/>
        </w:numPr>
        <w:spacing w:line="360" w:lineRule="auto"/>
        <w:ind w:left="1140" w:firstLineChars="0"/>
        <w:rPr>
          <w:rFonts w:ascii="宋体" w:hAnsi="宋体"/>
          <w:szCs w:val="21"/>
        </w:rPr>
      </w:pPr>
      <w:r>
        <w:rPr>
          <w:rFonts w:hint="eastAsia" w:ascii="宋体" w:hAnsi="宋体"/>
          <w:szCs w:val="21"/>
        </w:rPr>
        <w:t>具备基础数据维护功能</w:t>
      </w:r>
    </w:p>
    <w:p>
      <w:pPr>
        <w:spacing w:line="360" w:lineRule="auto"/>
        <w:ind w:firstLine="420" w:firstLineChars="200"/>
        <w:rPr>
          <w:rFonts w:ascii="宋体" w:hAnsi="宋体"/>
          <w:szCs w:val="21"/>
        </w:rPr>
      </w:pPr>
      <w:r>
        <w:rPr>
          <w:rFonts w:hint="eastAsia" w:ascii="宋体" w:hAnsi="宋体"/>
          <w:szCs w:val="21"/>
        </w:rPr>
        <w:t>系统需具备基础数据维护功能，包括收入数据、成本数据、其他数据等。</w:t>
      </w:r>
    </w:p>
    <w:p>
      <w:pPr>
        <w:pStyle w:val="70"/>
        <w:numPr>
          <w:ilvl w:val="0"/>
          <w:numId w:val="15"/>
        </w:numPr>
        <w:spacing w:line="360" w:lineRule="auto"/>
        <w:ind w:left="1140" w:firstLineChars="0"/>
        <w:rPr>
          <w:rFonts w:ascii="宋体" w:hAnsi="宋体"/>
          <w:szCs w:val="21"/>
        </w:rPr>
      </w:pPr>
      <w:r>
        <w:rPr>
          <w:rFonts w:ascii="Arial" w:hAnsi="Arial" w:cs="Arial"/>
          <w:szCs w:val="21"/>
        </w:rPr>
        <w:t>▲</w:t>
      </w:r>
      <w:r>
        <w:rPr>
          <w:rFonts w:hint="eastAsia" w:ascii="宋体" w:hAnsi="宋体"/>
          <w:szCs w:val="21"/>
        </w:rPr>
        <w:t>核算方法与核算模型</w:t>
      </w:r>
    </w:p>
    <w:p>
      <w:pPr>
        <w:spacing w:line="360" w:lineRule="auto"/>
        <w:ind w:firstLine="420" w:firstLineChars="200"/>
        <w:rPr>
          <w:rFonts w:ascii="宋体" w:hAnsi="宋体"/>
          <w:szCs w:val="21"/>
        </w:rPr>
      </w:pPr>
      <w:r>
        <w:rPr>
          <w:rFonts w:hint="eastAsia" w:ascii="宋体" w:hAnsi="宋体"/>
          <w:szCs w:val="21"/>
        </w:rPr>
        <w:t>项目成本核算方法需支持作业成本法、比例系数法、成本当量法。</w:t>
      </w:r>
    </w:p>
    <w:p>
      <w:pPr>
        <w:spacing w:line="360" w:lineRule="auto"/>
        <w:ind w:firstLine="420" w:firstLineChars="200"/>
        <w:rPr>
          <w:rFonts w:ascii="宋体" w:hAnsi="宋体"/>
          <w:szCs w:val="21"/>
        </w:rPr>
      </w:pPr>
      <w:r>
        <w:rPr>
          <w:rFonts w:hint="eastAsia" w:ascii="宋体" w:hAnsi="宋体"/>
          <w:szCs w:val="21"/>
        </w:rPr>
        <w:t>可根据核算方法的不同搭建不同的核算模型，支持作业成本法、比例系数法、成本当量法，可进行直接成本和间接成本核算模型的搭建，作业成本法支持引用作业成本知识库，体现某科室某服务项目的人工配备、材料消耗、设备配置等资源消耗因素；成本当量法支持项目当量值的设置。</w:t>
      </w:r>
    </w:p>
    <w:p>
      <w:pPr>
        <w:pStyle w:val="70"/>
        <w:numPr>
          <w:ilvl w:val="0"/>
          <w:numId w:val="15"/>
        </w:numPr>
        <w:spacing w:line="360" w:lineRule="auto"/>
        <w:ind w:left="1140" w:firstLineChars="0"/>
        <w:rPr>
          <w:rFonts w:ascii="宋体" w:hAnsi="宋体"/>
          <w:szCs w:val="21"/>
        </w:rPr>
      </w:pPr>
      <w:r>
        <w:rPr>
          <w:rFonts w:ascii="Arial" w:hAnsi="Arial" w:cs="Arial"/>
          <w:szCs w:val="21"/>
        </w:rPr>
        <w:t>▲</w:t>
      </w:r>
      <w:r>
        <w:rPr>
          <w:rFonts w:hint="eastAsia" w:ascii="宋体" w:hAnsi="宋体"/>
          <w:szCs w:val="21"/>
        </w:rPr>
        <w:t>具备成本计算功能</w:t>
      </w:r>
    </w:p>
    <w:p>
      <w:pPr>
        <w:spacing w:line="360" w:lineRule="auto"/>
        <w:ind w:firstLine="420" w:firstLineChars="200"/>
        <w:rPr>
          <w:rFonts w:ascii="宋体" w:hAnsi="宋体"/>
          <w:szCs w:val="21"/>
        </w:rPr>
      </w:pPr>
      <w:r>
        <w:rPr>
          <w:rFonts w:hint="eastAsia" w:ascii="宋体" w:hAnsi="宋体"/>
          <w:szCs w:val="21"/>
        </w:rPr>
        <w:t>具备使用作业成本法进行目标成本的计算以及实际成本的测算功能。</w:t>
      </w:r>
    </w:p>
    <w:p>
      <w:pPr>
        <w:spacing w:line="360" w:lineRule="auto"/>
        <w:ind w:firstLine="420" w:firstLineChars="200"/>
        <w:rPr>
          <w:rFonts w:ascii="宋体" w:hAnsi="宋体"/>
          <w:szCs w:val="21"/>
        </w:rPr>
      </w:pPr>
      <w:r>
        <w:rPr>
          <w:rFonts w:hint="eastAsia" w:ascii="宋体" w:hAnsi="宋体"/>
          <w:szCs w:val="21"/>
        </w:rPr>
        <w:t>使用作业成本法对医疗服务项目的间接成本进行分摊时，分摊过程分为：资源成本分配和作业成本分配。</w:t>
      </w:r>
    </w:p>
    <w:p>
      <w:pPr>
        <w:pStyle w:val="70"/>
        <w:numPr>
          <w:ilvl w:val="0"/>
          <w:numId w:val="15"/>
        </w:numPr>
        <w:spacing w:line="360" w:lineRule="auto"/>
        <w:ind w:left="1140" w:firstLineChars="0"/>
        <w:rPr>
          <w:rFonts w:ascii="宋体" w:hAnsi="宋体"/>
          <w:szCs w:val="21"/>
        </w:rPr>
      </w:pPr>
      <w:r>
        <w:rPr>
          <w:rFonts w:ascii="Arial" w:hAnsi="Arial" w:cs="Arial"/>
          <w:szCs w:val="21"/>
        </w:rPr>
        <w:t>▲</w:t>
      </w:r>
      <w:r>
        <w:rPr>
          <w:rFonts w:hint="eastAsia" w:ascii="宋体" w:hAnsi="宋体"/>
          <w:szCs w:val="21"/>
        </w:rPr>
        <w:t>具备调价与补偿测算功能</w:t>
      </w:r>
    </w:p>
    <w:p>
      <w:pPr>
        <w:spacing w:line="360" w:lineRule="auto"/>
        <w:ind w:firstLine="420" w:firstLineChars="200"/>
        <w:rPr>
          <w:rFonts w:ascii="宋体" w:hAnsi="宋体"/>
          <w:szCs w:val="21"/>
        </w:rPr>
      </w:pPr>
      <w:r>
        <w:rPr>
          <w:rFonts w:hint="eastAsia" w:ascii="宋体" w:hAnsi="宋体"/>
          <w:szCs w:val="21"/>
        </w:rPr>
        <w:t>需具备补偿测算、调价测算及影响分析、项目价格测算等测算功能。</w:t>
      </w:r>
    </w:p>
    <w:p>
      <w:pPr>
        <w:pStyle w:val="70"/>
        <w:numPr>
          <w:ilvl w:val="0"/>
          <w:numId w:val="15"/>
        </w:numPr>
        <w:spacing w:line="360" w:lineRule="auto"/>
        <w:ind w:left="1140" w:firstLineChars="0"/>
        <w:rPr>
          <w:rFonts w:ascii="宋体" w:hAnsi="宋体"/>
          <w:szCs w:val="21"/>
        </w:rPr>
      </w:pPr>
      <w:r>
        <w:rPr>
          <w:rFonts w:hint="eastAsia" w:ascii="宋体" w:hAnsi="宋体"/>
          <w:szCs w:val="21"/>
        </w:rPr>
        <w:t>成本报表与分析</w:t>
      </w:r>
    </w:p>
    <w:p>
      <w:pPr>
        <w:spacing w:line="360" w:lineRule="auto"/>
        <w:ind w:firstLine="420" w:firstLineChars="200"/>
        <w:rPr>
          <w:rFonts w:ascii="宋体" w:hAnsi="宋体"/>
          <w:szCs w:val="21"/>
        </w:rPr>
      </w:pPr>
      <w:r>
        <w:rPr>
          <w:rFonts w:hint="eastAsia" w:ascii="宋体" w:hAnsi="宋体"/>
          <w:szCs w:val="21"/>
        </w:rPr>
        <w:t>成本报表需支持从成本收益、成本分析、成本结构、成本控制等角度对项目成本核算结果进行分析。</w:t>
      </w:r>
    </w:p>
    <w:p>
      <w:pPr>
        <w:spacing w:line="360" w:lineRule="auto"/>
        <w:ind w:firstLine="420" w:firstLineChars="200"/>
        <w:rPr>
          <w:rFonts w:ascii="宋体" w:hAnsi="宋体"/>
          <w:szCs w:val="21"/>
        </w:rPr>
      </w:pPr>
      <w:r>
        <w:rPr>
          <w:rFonts w:hint="eastAsia" w:ascii="宋体" w:hAnsi="宋体"/>
          <w:szCs w:val="21"/>
        </w:rPr>
        <w:t>成本分析需支持人员效率分析、设备使用率分析、物资利用率分析以及目标成本分析等。</w:t>
      </w:r>
    </w:p>
    <w:p>
      <w:pPr>
        <w:pStyle w:val="4"/>
        <w:rPr>
          <w:rFonts w:ascii="宋体" w:hAnsi="宋体" w:eastAsia="宋体"/>
          <w:sz w:val="21"/>
          <w:szCs w:val="21"/>
        </w:rPr>
      </w:pPr>
      <w:r>
        <w:rPr>
          <w:rFonts w:hint="eastAsia" w:ascii="宋体" w:hAnsi="宋体" w:eastAsia="宋体"/>
          <w:sz w:val="21"/>
          <w:szCs w:val="21"/>
        </w:rPr>
        <w:t>2.4DIP成本管理系统</w:t>
      </w:r>
    </w:p>
    <w:p>
      <w:pPr>
        <w:spacing w:line="360" w:lineRule="auto"/>
        <w:ind w:firstLine="420" w:firstLineChars="200"/>
        <w:rPr>
          <w:rFonts w:ascii="宋体" w:hAnsi="宋体"/>
          <w:szCs w:val="21"/>
        </w:rPr>
      </w:pPr>
      <w:bookmarkStart w:id="37" w:name="_Hlk41384402"/>
      <w:r>
        <w:rPr>
          <w:rFonts w:hint="eastAsia" w:ascii="宋体" w:hAnsi="宋体"/>
          <w:szCs w:val="21"/>
        </w:rPr>
        <w:t>DIP成本管理需要支持的功能如下：</w:t>
      </w:r>
    </w:p>
    <w:p>
      <w:pPr>
        <w:spacing w:line="360" w:lineRule="auto"/>
        <w:ind w:firstLine="420" w:firstLineChars="200"/>
        <w:rPr>
          <w:szCs w:val="21"/>
        </w:rPr>
      </w:pPr>
      <w:r>
        <w:rPr>
          <w:szCs w:val="21"/>
        </w:rPr>
        <w:t>▲</w:t>
      </w:r>
      <w:r>
        <w:rPr>
          <w:rFonts w:hint="eastAsia"/>
          <w:szCs w:val="21"/>
        </w:rPr>
        <w:t>基础数据管理</w:t>
      </w:r>
    </w:p>
    <w:p>
      <w:pPr>
        <w:spacing w:line="360" w:lineRule="auto"/>
        <w:ind w:firstLine="420" w:firstLineChars="200"/>
        <w:rPr>
          <w:szCs w:val="21"/>
        </w:rPr>
      </w:pPr>
      <w:r>
        <w:rPr>
          <w:rFonts w:hint="eastAsia"/>
          <w:szCs w:val="21"/>
        </w:rPr>
        <w:t>基础数据维护，包括病案首页、病例收费明细、项目成本，通过病种临床路径，建立病种与医疗服务项目的关联关系，便于病种与项目成本关联分析。</w:t>
      </w:r>
    </w:p>
    <w:p>
      <w:pPr>
        <w:spacing w:line="360" w:lineRule="auto"/>
        <w:ind w:firstLine="420" w:firstLineChars="200"/>
        <w:rPr>
          <w:szCs w:val="21"/>
        </w:rPr>
      </w:pPr>
      <w:r>
        <w:rPr>
          <w:rFonts w:hint="eastAsia"/>
          <w:szCs w:val="21"/>
        </w:rPr>
        <w:t>（2）核算模型</w:t>
      </w:r>
    </w:p>
    <w:p>
      <w:pPr>
        <w:spacing w:line="360" w:lineRule="auto"/>
        <w:ind w:firstLine="420" w:firstLineChars="200"/>
        <w:rPr>
          <w:szCs w:val="21"/>
        </w:rPr>
      </w:pPr>
      <w:r>
        <w:rPr>
          <w:rFonts w:hint="eastAsia"/>
          <w:szCs w:val="21"/>
        </w:rPr>
        <w:t>实现按照给定规则进行样本病历数据筛选，支持病种核算模型的搭建，模型可分科室级核算模型以及院级核算模型。</w:t>
      </w:r>
    </w:p>
    <w:p>
      <w:pPr>
        <w:spacing w:line="360" w:lineRule="auto"/>
        <w:ind w:firstLine="420" w:firstLineChars="200"/>
        <w:rPr>
          <w:szCs w:val="21"/>
        </w:rPr>
      </w:pPr>
      <w:r>
        <w:rPr>
          <w:rFonts w:hint="eastAsia"/>
          <w:szCs w:val="21"/>
        </w:rPr>
        <w:t>（3）</w:t>
      </w:r>
      <w:r>
        <w:rPr>
          <w:szCs w:val="21"/>
        </w:rPr>
        <w:t>▲</w:t>
      </w:r>
      <w:r>
        <w:rPr>
          <w:rFonts w:hint="eastAsia"/>
          <w:szCs w:val="21"/>
        </w:rPr>
        <w:t>具备成本计算功能</w:t>
      </w:r>
    </w:p>
    <w:p>
      <w:pPr>
        <w:spacing w:line="360" w:lineRule="auto"/>
        <w:ind w:firstLine="420" w:firstLineChars="200"/>
        <w:rPr>
          <w:szCs w:val="21"/>
        </w:rPr>
      </w:pPr>
      <w:r>
        <w:rPr>
          <w:rFonts w:hint="eastAsia"/>
          <w:szCs w:val="21"/>
        </w:rPr>
        <w:t>对病人病种成本、科室病种成本、全院病种成本、临床路径病种成本进行计算、查询。成本的核算采用“项目叠加法”，并同时支持实际成本和基于临床路径的标准成本两种结果。</w:t>
      </w:r>
    </w:p>
    <w:p>
      <w:pPr>
        <w:spacing w:line="360" w:lineRule="auto"/>
        <w:ind w:firstLine="420" w:firstLineChars="200"/>
        <w:rPr>
          <w:szCs w:val="21"/>
        </w:rPr>
      </w:pPr>
      <w:r>
        <w:rPr>
          <w:rFonts w:hint="eastAsia"/>
          <w:szCs w:val="21"/>
        </w:rPr>
        <w:t>（4）</w:t>
      </w:r>
      <w:r>
        <w:rPr>
          <w:szCs w:val="21"/>
        </w:rPr>
        <w:t>▲</w:t>
      </w:r>
      <w:r>
        <w:rPr>
          <w:rFonts w:hint="eastAsia"/>
          <w:szCs w:val="21"/>
        </w:rPr>
        <w:t>成本分析</w:t>
      </w:r>
    </w:p>
    <w:p>
      <w:pPr>
        <w:spacing w:line="360" w:lineRule="auto"/>
        <w:ind w:firstLine="420" w:firstLineChars="200"/>
        <w:rPr>
          <w:szCs w:val="21"/>
        </w:rPr>
      </w:pPr>
      <w:r>
        <w:rPr>
          <w:rFonts w:hint="eastAsia"/>
          <w:szCs w:val="21"/>
        </w:rPr>
        <w:t>支持对DIP病种进行构成分析、趋势分析、对比分析、控制分析。分析维度包括院级、科室级、责任医师级、病历级等。分析从盈亏的总体情况挖掘到各个收费类别再到具体的收费项目。</w:t>
      </w:r>
    </w:p>
    <w:bookmarkEnd w:id="37"/>
    <w:p>
      <w:pPr>
        <w:pStyle w:val="4"/>
        <w:rPr>
          <w:rFonts w:ascii="宋体" w:hAnsi="宋体" w:eastAsia="宋体"/>
          <w:sz w:val="21"/>
          <w:szCs w:val="21"/>
        </w:rPr>
      </w:pPr>
      <w:r>
        <w:rPr>
          <w:rFonts w:hint="eastAsia" w:ascii="宋体" w:hAnsi="宋体" w:eastAsia="宋体"/>
          <w:sz w:val="21"/>
          <w:szCs w:val="21"/>
        </w:rPr>
        <w:t>3其他技术要求</w:t>
      </w:r>
    </w:p>
    <w:p>
      <w:pPr>
        <w:spacing w:line="360" w:lineRule="auto"/>
        <w:ind w:firstLine="420" w:firstLineChars="200"/>
        <w:rPr>
          <w:rFonts w:ascii="宋体" w:hAnsi="宋体"/>
          <w:szCs w:val="21"/>
        </w:rPr>
      </w:pPr>
      <w:r>
        <w:rPr>
          <w:rFonts w:hint="eastAsia" w:ascii="宋体" w:hAnsi="宋体"/>
          <w:szCs w:val="21"/>
        </w:rPr>
        <w:t>3.1系统采用B/S架构：系统各模块需采用同一技术架构，在统一的底层基础平台上进行设计。</w:t>
      </w:r>
    </w:p>
    <w:p>
      <w:pPr>
        <w:spacing w:line="360" w:lineRule="auto"/>
        <w:ind w:firstLine="420" w:firstLineChars="200"/>
        <w:rPr>
          <w:rFonts w:ascii="宋体" w:hAnsi="宋体"/>
          <w:szCs w:val="21"/>
        </w:rPr>
      </w:pPr>
      <w:r>
        <w:rPr>
          <w:rFonts w:hint="eastAsia" w:ascii="宋体" w:hAnsi="宋体"/>
          <w:szCs w:val="21"/>
        </w:rPr>
        <w:t>3.2与第三方信息系统的数据交换：提供与医院第三方系统统一接口的维护与管理系统，实现针对HIS、EMR等关键医疗业务信息系统的数据交换。</w:t>
      </w:r>
    </w:p>
    <w:p>
      <w:pPr>
        <w:spacing w:line="360" w:lineRule="auto"/>
        <w:ind w:firstLine="420" w:firstLineChars="200"/>
        <w:rPr>
          <w:rFonts w:ascii="宋体" w:hAnsi="宋体"/>
          <w:szCs w:val="21"/>
        </w:rPr>
      </w:pPr>
      <w:r>
        <w:rPr>
          <w:rFonts w:hint="eastAsia" w:ascii="宋体" w:hAnsi="宋体"/>
          <w:szCs w:val="21"/>
        </w:rPr>
        <w:t>3.3关键技术：根据医院一体化应用功能需求和相关建设规范，考虑到系统运行的长远规划，以及整个系统的跨平台性、安全性、可靠性、稳定性、易维护性以及可扩展性，建议采用J2EE架构来设计。</w:t>
      </w:r>
    </w:p>
    <w:p>
      <w:pPr>
        <w:spacing w:line="360" w:lineRule="auto"/>
        <w:ind w:firstLine="420" w:firstLineChars="200"/>
        <w:rPr>
          <w:rFonts w:ascii="宋体" w:hAnsi="宋体"/>
          <w:szCs w:val="21"/>
        </w:rPr>
      </w:pPr>
      <w:r>
        <w:rPr>
          <w:rFonts w:hint="eastAsia" w:ascii="宋体" w:hAnsi="宋体"/>
          <w:szCs w:val="21"/>
        </w:rPr>
        <w:t>3.4先进性：系统要利用一些现行的、技术成熟的开发工具来辅助完成系统建设。</w:t>
      </w:r>
    </w:p>
    <w:p>
      <w:pPr>
        <w:spacing w:line="360" w:lineRule="auto"/>
        <w:ind w:firstLine="420" w:firstLineChars="200"/>
        <w:rPr>
          <w:rFonts w:ascii="宋体" w:hAnsi="宋体"/>
          <w:szCs w:val="21"/>
        </w:rPr>
      </w:pPr>
      <w:r>
        <w:rPr>
          <w:rFonts w:hint="eastAsia" w:ascii="宋体" w:hAnsi="宋体"/>
          <w:szCs w:val="21"/>
        </w:rPr>
        <w:t>3.5健壮性：系统稳定可靠，保证每周7*24小时不间断正常运行，工作日期间不能宕机，年平均宕机时间应小于8小时。</w:t>
      </w:r>
    </w:p>
    <w:p>
      <w:pPr>
        <w:spacing w:line="360" w:lineRule="auto"/>
        <w:ind w:firstLine="420" w:firstLineChars="200"/>
        <w:rPr>
          <w:rFonts w:ascii="宋体" w:hAnsi="宋体"/>
          <w:szCs w:val="21"/>
        </w:rPr>
      </w:pPr>
      <w:r>
        <w:rPr>
          <w:rFonts w:hint="eastAsia" w:ascii="宋体" w:hAnsi="宋体"/>
          <w:szCs w:val="21"/>
        </w:rPr>
        <w:t>需提供下列系统的测试报告，包括：系统平台、科室成本核算、项目成本核算、病种成本核算、DRG成本核算,以证明公司具备系统开发和测试的能力。其中：测试报告的产品名称必须包含如上关键字；出具测试报告的主体必须为第三方专业机构（信息产业中心、信息安全评测中心、CNAS）。</w:t>
      </w:r>
    </w:p>
    <w:p>
      <w:pPr>
        <w:spacing w:line="360" w:lineRule="auto"/>
        <w:ind w:firstLine="420" w:firstLineChars="200"/>
        <w:rPr>
          <w:rFonts w:ascii="宋体" w:hAnsi="宋体"/>
          <w:szCs w:val="21"/>
        </w:rPr>
      </w:pPr>
      <w:r>
        <w:rPr>
          <w:rFonts w:hint="eastAsia" w:ascii="宋体" w:hAnsi="宋体"/>
          <w:szCs w:val="21"/>
        </w:rPr>
        <w:t>3.6安全性：信息安全要体现在信息管理全过程：收集、录入、传输、储存、交流、查询、反馈、分析、利用、发布；系统的安全主要体现在整个系统的安全稳定和持续的运行。要对设施、技术和管理乃至整个运作体系，建立全面的安全保障体系，并能动态地根据安全检测、评估结果，调整安全策略，运用新的安全技术，进行持续改进，以控制新出现的安全隐患与风险。</w:t>
      </w:r>
    </w:p>
    <w:p>
      <w:pPr>
        <w:spacing w:line="360" w:lineRule="auto"/>
        <w:ind w:firstLine="420" w:firstLineChars="200"/>
        <w:rPr>
          <w:rFonts w:ascii="宋体" w:hAnsi="宋体"/>
          <w:szCs w:val="21"/>
        </w:rPr>
      </w:pPr>
      <w:r>
        <w:rPr>
          <w:rFonts w:hint="eastAsia" w:ascii="宋体" w:hAnsi="宋体"/>
          <w:szCs w:val="21"/>
        </w:rPr>
        <w:t>3.7灵活性：建立灵活多样的多字段查询功能，为用户的组合查询、统计分析和信息利用提供方便；设计多种数据导出格式，如 Excel 和 XML格式，满足不同用户的数据分析输出需要；建立合理、多样、灵活的数据采集方式，满足不同发展水平的医疗单位的需要。</w:t>
      </w:r>
    </w:p>
    <w:p>
      <w:pPr>
        <w:spacing w:line="360" w:lineRule="auto"/>
        <w:ind w:firstLine="420" w:firstLineChars="200"/>
        <w:rPr>
          <w:rFonts w:ascii="宋体" w:hAnsi="宋体"/>
          <w:szCs w:val="21"/>
        </w:rPr>
      </w:pPr>
      <w:r>
        <w:rPr>
          <w:rFonts w:hint="eastAsia" w:ascii="宋体" w:hAnsi="宋体"/>
          <w:szCs w:val="21"/>
        </w:rPr>
        <w:t>3.8延展性：数据库结构的设计应充分考虑发展和移植的需要，建立系统良好的扩展性和伸缩性，适度冗余也是系统建设的必要环节。</w:t>
      </w:r>
    </w:p>
    <w:p>
      <w:pPr>
        <w:spacing w:line="360" w:lineRule="auto"/>
        <w:ind w:firstLine="420" w:firstLineChars="200"/>
        <w:rPr>
          <w:rFonts w:ascii="宋体" w:hAnsi="宋体"/>
          <w:szCs w:val="21"/>
        </w:rPr>
      </w:pPr>
      <w:r>
        <w:rPr>
          <w:rFonts w:hint="eastAsia" w:ascii="宋体" w:hAnsi="宋体"/>
          <w:szCs w:val="21"/>
        </w:rPr>
        <w:t>3.9完整性 ：在数据的采集和数据交换环节要确保数据的完整性。</w:t>
      </w:r>
    </w:p>
    <w:p>
      <w:pPr>
        <w:rPr>
          <w:b/>
          <w:szCs w:val="21"/>
        </w:rPr>
      </w:pPr>
      <w:r>
        <w:rPr>
          <w:rFonts w:hint="eastAsia" w:ascii="宋体" w:hAnsi="宋体"/>
          <w:szCs w:val="21"/>
        </w:rPr>
        <w:t>3.10友好性：人机界面设计简洁美观、风格统一，利于基层业务人员简单操作。</w:t>
      </w:r>
    </w:p>
    <w:p>
      <w:pPr>
        <w:rPr>
          <w:b/>
          <w:sz w:val="24"/>
        </w:rPr>
      </w:pPr>
    </w:p>
    <w:p>
      <w:pPr>
        <w:rPr>
          <w:b/>
          <w:sz w:val="24"/>
        </w:rPr>
      </w:pPr>
    </w:p>
    <w:p>
      <w:pPr>
        <w:pStyle w:val="5"/>
        <w:spacing w:beforeLines="50" w:afterLines="50"/>
        <w:rPr>
          <w:szCs w:val="24"/>
        </w:rPr>
      </w:pPr>
      <w:r>
        <w:rPr>
          <w:rFonts w:hint="eastAsia"/>
          <w:szCs w:val="24"/>
        </w:rPr>
        <w:t>六、商务要求</w:t>
      </w:r>
    </w:p>
    <w:p>
      <w:pPr>
        <w:numPr>
          <w:ilvl w:val="0"/>
          <w:numId w:val="16"/>
        </w:numPr>
        <w:rPr>
          <w:b/>
        </w:rPr>
      </w:pPr>
      <w:r>
        <w:rPr>
          <w:rFonts w:hint="eastAsia"/>
          <w:b/>
        </w:rPr>
        <w:t>服务期限：</w:t>
      </w:r>
      <w:r>
        <w:rPr>
          <w:b/>
        </w:rPr>
        <w:t xml:space="preserve"> </w:t>
      </w:r>
    </w:p>
    <w:p>
      <w:pPr>
        <w:spacing w:line="360" w:lineRule="auto"/>
        <w:ind w:left="420"/>
        <w:rPr>
          <w:rFonts w:ascii="Calibri" w:hAnsi="Calibri"/>
          <w:szCs w:val="22"/>
        </w:rPr>
      </w:pPr>
      <w:r>
        <w:rPr>
          <w:rFonts w:hint="eastAsia" w:ascii="Calibri" w:hAnsi="Calibri"/>
          <w:szCs w:val="22"/>
        </w:rPr>
        <w:t>1.项目工期：合同签订后12个月内，完成项目实施；</w:t>
      </w:r>
    </w:p>
    <w:p>
      <w:pPr>
        <w:spacing w:line="360" w:lineRule="auto"/>
        <w:ind w:left="420"/>
        <w:rPr>
          <w:rFonts w:ascii="Calibri" w:hAnsi="Calibri"/>
          <w:szCs w:val="22"/>
        </w:rPr>
      </w:pPr>
      <w:r>
        <w:rPr>
          <w:rFonts w:hint="eastAsia" w:ascii="Calibri" w:hAnsi="Calibri"/>
          <w:szCs w:val="22"/>
        </w:rPr>
        <w:t>2.项目进度要求：</w:t>
      </w:r>
    </w:p>
    <w:p>
      <w:pPr>
        <w:pStyle w:val="190"/>
        <w:spacing w:line="360" w:lineRule="auto"/>
        <w:ind w:firstLine="420" w:firstLineChars="200"/>
      </w:pPr>
      <w:r>
        <w:rPr>
          <w:rFonts w:hint="eastAsia"/>
          <w:highlight w:val="yellow"/>
        </w:rPr>
        <w:t>项目中标结果公示结束后，中标公司应立即介入进行系统对接，</w:t>
      </w:r>
      <w:r>
        <w:rPr>
          <w:rFonts w:hint="eastAsia"/>
        </w:rPr>
        <w:t>以确保项目质量为前提，制定具体的切实可行的项目详细实施进度计划，以计划表表示，用以控制本项目实施、测试、运行等各阶段时间，以确保本项目顺利进行，如期完成。整个项目建设的内容包括基础调研、方案设计、系统数据准备与治理、系统部署、系统培训、试运行、系统推广运行、成本数据分析等工作。</w:t>
      </w:r>
    </w:p>
    <w:p>
      <w:pPr>
        <w:ind w:firstLine="420" w:firstLineChars="200"/>
        <w:rPr>
          <w:rFonts w:ascii="Calibri" w:hAnsi="Calibri"/>
          <w:szCs w:val="22"/>
        </w:rPr>
      </w:pPr>
      <w:r>
        <w:rPr>
          <w:rFonts w:hint="eastAsia" w:ascii="Calibri" w:hAnsi="Calibri"/>
          <w:szCs w:val="22"/>
        </w:rPr>
        <w:t>3.付款方式：</w:t>
      </w:r>
    </w:p>
    <w:p>
      <w:pPr>
        <w:ind w:firstLine="420" w:firstLineChars="200"/>
        <w:rPr>
          <w:rFonts w:ascii="Calibri" w:hAnsi="Calibri"/>
          <w:szCs w:val="22"/>
        </w:rPr>
      </w:pPr>
      <w:r>
        <w:rPr>
          <w:rFonts w:hint="eastAsia" w:ascii="Calibri" w:hAnsi="Calibri"/>
          <w:szCs w:val="22"/>
        </w:rPr>
        <w:t xml:space="preserve">1)本合同生效后5个工作日内，甲方向乙方支付合同总价的 50%， </w:t>
      </w:r>
    </w:p>
    <w:p>
      <w:pPr>
        <w:ind w:firstLine="420" w:firstLineChars="200"/>
        <w:rPr>
          <w:rFonts w:ascii="Calibri" w:hAnsi="Calibri"/>
          <w:szCs w:val="22"/>
        </w:rPr>
      </w:pPr>
      <w:r>
        <w:rPr>
          <w:rFonts w:hint="eastAsia" w:ascii="Calibri" w:hAnsi="Calibri"/>
          <w:szCs w:val="22"/>
        </w:rPr>
        <w:t xml:space="preserve">2)数据服务按服务清单单项进行验收，验收完成之日起5个工作日内，甲方向乙方支付该单项数据服务除首款外的其余款项。 </w:t>
      </w:r>
    </w:p>
    <w:p>
      <w:pPr>
        <w:ind w:firstLine="420" w:firstLineChars="200"/>
        <w:rPr>
          <w:rFonts w:ascii="Calibri" w:hAnsi="Calibri"/>
          <w:szCs w:val="22"/>
        </w:rPr>
      </w:pPr>
      <w:r>
        <w:rPr>
          <w:rFonts w:hint="eastAsia" w:ascii="Calibri" w:hAnsi="Calibri"/>
          <w:szCs w:val="22"/>
        </w:rPr>
        <w:t>3)许可软件各子系统按采购子系统清单单独验收,验收完成之日起5个工作日内，甲方向乙方支付验收该子系统价格的40%。</w:t>
      </w:r>
    </w:p>
    <w:p>
      <w:pPr>
        <w:ind w:firstLine="420" w:firstLineChars="200"/>
        <w:rPr>
          <w:rFonts w:ascii="Calibri" w:hAnsi="Calibri"/>
          <w:szCs w:val="22"/>
        </w:rPr>
      </w:pPr>
      <w:r>
        <w:rPr>
          <w:rFonts w:hint="eastAsia" w:ascii="Calibri" w:hAnsi="Calibri"/>
          <w:szCs w:val="22"/>
        </w:rPr>
        <w:t>4)验收完成之日起,乙方提供期限为十二个月的软件系统质保期。质保期结束后10日内，甲方向乙方软件系统合同总价的 10%</w:t>
      </w:r>
    </w:p>
    <w:p>
      <w:pPr>
        <w:ind w:firstLine="420" w:firstLineChars="200"/>
        <w:rPr>
          <w:rFonts w:ascii="Calibri" w:hAnsi="Calibri"/>
          <w:szCs w:val="22"/>
        </w:rPr>
      </w:pPr>
    </w:p>
    <w:p>
      <w:pPr>
        <w:rPr>
          <w:rFonts w:ascii="Calibri" w:hAnsi="Calibri"/>
          <w:b/>
          <w:szCs w:val="22"/>
        </w:rPr>
      </w:pPr>
      <w:r>
        <w:rPr>
          <w:rFonts w:hint="eastAsia" w:ascii="Calibri" w:hAnsi="Calibri"/>
          <w:b/>
          <w:szCs w:val="22"/>
        </w:rPr>
        <w:t>（二）质量考核验收标准及违约金</w:t>
      </w:r>
    </w:p>
    <w:p>
      <w:pPr>
        <w:spacing w:line="360" w:lineRule="auto"/>
        <w:ind w:left="420"/>
        <w:rPr>
          <w:rFonts w:ascii="Calibri" w:hAnsi="Calibri"/>
          <w:szCs w:val="22"/>
        </w:rPr>
      </w:pPr>
      <w:r>
        <w:rPr>
          <w:rFonts w:hint="eastAsia" w:ascii="Calibri" w:hAnsi="Calibri"/>
          <w:szCs w:val="22"/>
        </w:rPr>
        <w:t>1.验收要求（标准）：</w:t>
      </w:r>
    </w:p>
    <w:p>
      <w:pPr>
        <w:spacing w:line="360" w:lineRule="auto"/>
        <w:ind w:firstLine="420" w:firstLineChars="200"/>
        <w:rPr>
          <w:rFonts w:ascii="Calibri" w:hAnsi="Calibri"/>
          <w:szCs w:val="22"/>
        </w:rPr>
      </w:pPr>
      <w:r>
        <w:rPr>
          <w:rFonts w:hint="eastAsia" w:ascii="Calibri" w:hAnsi="Calibri"/>
          <w:szCs w:val="22"/>
        </w:rPr>
        <w:t>按照国家和行业相关强制性标准进行验收。依据项目技术方案告确定系统完全达到业务目标；依据技术指标及系统业务范围确定系统数据的完整、系统、准确等；终验文档要完整、系统、准确并符合系统实际，相关过程过程文档必须经过系统业务主管部门、项目负责人等相关部门人员的签字确认，符合医院制度要求。</w:t>
      </w:r>
    </w:p>
    <w:p>
      <w:pPr>
        <w:spacing w:line="360" w:lineRule="auto"/>
        <w:ind w:left="420"/>
        <w:rPr>
          <w:rFonts w:ascii="Calibri" w:hAnsi="Calibri"/>
          <w:szCs w:val="22"/>
        </w:rPr>
      </w:pPr>
      <w:r>
        <w:rPr>
          <w:rFonts w:hint="eastAsia" w:ascii="Calibri" w:hAnsi="Calibri"/>
          <w:szCs w:val="22"/>
        </w:rPr>
        <w:t>2.培训要求：</w:t>
      </w:r>
    </w:p>
    <w:p>
      <w:pPr>
        <w:spacing w:line="360" w:lineRule="auto"/>
        <w:ind w:firstLine="420" w:firstLineChars="200"/>
        <w:rPr>
          <w:rFonts w:ascii="Calibri" w:hAnsi="Calibri"/>
          <w:szCs w:val="22"/>
        </w:rPr>
      </w:pPr>
      <w:r>
        <w:rPr>
          <w:rFonts w:hint="eastAsia" w:ascii="Calibri" w:hAnsi="Calibri"/>
          <w:szCs w:val="22"/>
        </w:rPr>
        <w:t>制定项目培训方案，说明培训内容及培训时间、地点、目标、培训人数、培训计划等</w:t>
      </w:r>
    </w:p>
    <w:p>
      <w:pPr>
        <w:pStyle w:val="190"/>
        <w:spacing w:line="360" w:lineRule="auto"/>
      </w:pPr>
      <w:r>
        <w:rPr>
          <w:rFonts w:hint="eastAsia"/>
        </w:rPr>
        <w:t xml:space="preserve"> </w:t>
      </w:r>
      <w:r>
        <w:t xml:space="preserve">  </w:t>
      </w:r>
      <w:r>
        <w:rPr>
          <w:rFonts w:hint="eastAsia"/>
        </w:rPr>
        <w:t xml:space="preserve"> 需派专业技术人员到采购人指定的地点对采购人的不同类型的使用人员、技术人员及管理人员进行系统运行、配置、维护及使用操作、数据分析等进行培训</w:t>
      </w:r>
    </w:p>
    <w:p>
      <w:pPr>
        <w:spacing w:line="360" w:lineRule="auto"/>
        <w:ind w:left="420"/>
        <w:rPr>
          <w:rFonts w:ascii="Calibri" w:hAnsi="Calibri"/>
          <w:szCs w:val="22"/>
        </w:rPr>
      </w:pPr>
      <w:r>
        <w:rPr>
          <w:rFonts w:hint="eastAsia" w:ascii="Calibri" w:hAnsi="Calibri"/>
          <w:szCs w:val="22"/>
        </w:rPr>
        <w:t>3.售后服务要求：</w:t>
      </w:r>
    </w:p>
    <w:p>
      <w:pPr>
        <w:spacing w:line="360" w:lineRule="auto"/>
        <w:ind w:firstLine="420" w:firstLineChars="200"/>
        <w:rPr>
          <w:rFonts w:ascii="Calibri" w:hAnsi="Calibri"/>
          <w:szCs w:val="22"/>
        </w:rPr>
      </w:pPr>
      <w:r>
        <w:rPr>
          <w:rFonts w:hint="eastAsia" w:ascii="Calibri" w:hAnsi="Calibri"/>
          <w:szCs w:val="22"/>
        </w:rPr>
        <w:t>提供不少于一年的软件系统免费质保，质保期从系统整体验收通过之日起计算；质保期内免上门费、维修费和系统升级费等。</w:t>
      </w:r>
    </w:p>
    <w:p>
      <w:pPr>
        <w:ind w:firstLine="420" w:firstLineChars="200"/>
        <w:rPr>
          <w:rFonts w:ascii="Calibri" w:hAnsi="Calibri"/>
          <w:szCs w:val="22"/>
        </w:rPr>
      </w:pPr>
      <w:r>
        <w:rPr>
          <w:rFonts w:hint="eastAsia" w:ascii="Calibri" w:hAnsi="Calibri"/>
          <w:szCs w:val="22"/>
        </w:rPr>
        <w:t>质保期内，需保证7*24小时的服务响应，响应时间不得低于如下标准：接到医院方的通知后2小时内必须做出明确的响应和安排；需提供现场服务的，服务团队须在4小时内达到故障现；6小时内做出故障诊断报告，常规故障8小时内解决。</w:t>
      </w:r>
    </w:p>
    <w:p>
      <w:pPr>
        <w:rPr>
          <w:rFonts w:asciiTheme="minorEastAsia" w:hAnsiTheme="minorEastAsia" w:eastAsiaTheme="minorEastAsia"/>
          <w:szCs w:val="21"/>
        </w:rPr>
      </w:pPr>
    </w:p>
    <w:p/>
    <w:p>
      <w:pPr>
        <w:pStyle w:val="5"/>
        <w:spacing w:beforeLines="50" w:afterLines="50"/>
        <w:rPr>
          <w:szCs w:val="24"/>
        </w:rPr>
      </w:pPr>
      <w:r>
        <w:rPr>
          <w:rFonts w:hint="eastAsia"/>
          <w:szCs w:val="24"/>
        </w:rPr>
        <w:t>七、其他重要条款</w:t>
      </w:r>
    </w:p>
    <w:p>
      <w:pPr>
        <w:ind w:firstLine="420" w:firstLineChars="200"/>
        <w:rPr>
          <w:bCs/>
          <w:szCs w:val="21"/>
        </w:rPr>
      </w:pPr>
      <w:bookmarkStart w:id="38" w:name="_Hlk72257111"/>
      <w:r>
        <w:rPr>
          <w:rFonts w:hint="eastAsia"/>
          <w:bCs/>
          <w:szCs w:val="21"/>
        </w:rPr>
        <w:t>1、本项目投标报价采用包干制，应包括成本、法定税费和相应的利润，应涵盖本项目招标范围和招标文件所列的各项内容中所述的全部。由投标人根据招标需求自行测算投标报价；一经中标，投标报价即作为中标单位与采购人签订的合同金额。</w:t>
      </w:r>
    </w:p>
    <w:p>
      <w:pPr>
        <w:pStyle w:val="7"/>
        <w:spacing w:beforeLines="25" w:afterLines="25"/>
        <w:ind w:firstLine="392" w:firstLineChars="187"/>
        <w:rPr>
          <w:rFonts w:ascii="宋体" w:hAnsi="宋体"/>
          <w:szCs w:val="21"/>
        </w:rPr>
      </w:pPr>
      <w:r>
        <w:rPr>
          <w:bCs/>
          <w:szCs w:val="21"/>
        </w:rPr>
        <w:t>2</w:t>
      </w:r>
      <w:r>
        <w:rPr>
          <w:rFonts w:hint="eastAsia"/>
          <w:bCs/>
          <w:szCs w:val="21"/>
        </w:rPr>
        <w:t>、投标人应充分了解项目的位置、情况、道路及任何其它足以影响投标报价的情况，任何因忽视或误解项目情况而导致的索赔或服务期限延长申请将不获批准。</w:t>
      </w:r>
    </w:p>
    <w:p>
      <w:pPr>
        <w:ind w:firstLine="420" w:firstLineChars="200"/>
        <w:rPr>
          <w:bCs/>
          <w:szCs w:val="21"/>
        </w:rPr>
      </w:pPr>
      <w:r>
        <w:rPr>
          <w:bCs/>
          <w:szCs w:val="21"/>
        </w:rPr>
        <w:t>3</w:t>
      </w:r>
      <w:r>
        <w:rPr>
          <w:rFonts w:hint="eastAsia"/>
          <w:bCs/>
          <w:szCs w:val="21"/>
        </w:rPr>
        <w:t>、投标人不得期望通过索赔等方式获取补偿，否则，除可能遭到拒绝外，还可能将被作为不良行为记录在案，并可能影响其以后参加政府采购的项目投标。各投标人在投标报价时，应充分考虑投标报价的风险。</w:t>
      </w:r>
    </w:p>
    <w:p>
      <w:pPr>
        <w:ind w:firstLine="420" w:firstLineChars="200"/>
        <w:rPr>
          <w:bCs/>
          <w:szCs w:val="21"/>
        </w:rPr>
      </w:pPr>
      <w:r>
        <w:rPr>
          <w:bCs/>
          <w:szCs w:val="21"/>
        </w:rPr>
        <w:t>4</w:t>
      </w:r>
      <w:r>
        <w:rPr>
          <w:rFonts w:hint="eastAsia"/>
          <w:bCs/>
          <w:szCs w:val="21"/>
        </w:rPr>
        <w:t>、鼓励采购人积极运用公共信用信息，明确对信用记录良好的供应商（特别是中小微企业）免收履约保证金，确需收取履约保证金的，列明通过保函等非现金方式收取。在采购合同中明确对上述企业加大首付款或预付款比例，具体由采购人根据项目实际情况确定。</w:t>
      </w:r>
    </w:p>
    <w:p>
      <w:pPr>
        <w:ind w:firstLine="420" w:firstLineChars="200"/>
        <w:rPr>
          <w:bCs/>
          <w:szCs w:val="21"/>
        </w:rPr>
      </w:pPr>
      <w:r>
        <w:rPr>
          <w:bCs/>
          <w:szCs w:val="21"/>
        </w:rPr>
        <w:t>5</w:t>
      </w:r>
      <w:r>
        <w:rPr>
          <w:rFonts w:hint="eastAsia"/>
          <w:bCs/>
          <w:szCs w:val="21"/>
        </w:rPr>
        <w:t>、除政府采购合同继续履行将损害国家利益和社会公共利益外，双方当事人不得擅自变更、中止或者终止合同。</w:t>
      </w:r>
    </w:p>
    <w:p>
      <w:pPr>
        <w:pStyle w:val="7"/>
        <w:spacing w:beforeLines="25" w:afterLines="25"/>
        <w:ind w:firstLine="392" w:firstLineChars="187"/>
        <w:rPr>
          <w:bCs/>
          <w:szCs w:val="21"/>
        </w:rPr>
      </w:pPr>
      <w:r>
        <w:rPr>
          <w:bCs/>
          <w:szCs w:val="21"/>
        </w:rPr>
        <w:t>6</w:t>
      </w:r>
      <w:r>
        <w:rPr>
          <w:rFonts w:hint="eastAsia"/>
          <w:bCs/>
          <w:szCs w:val="21"/>
        </w:rPr>
        <w:t>、“信用中国”、“中国政府采购网”、“深圳信用网”以及“深圳市政府采购监管网”为供应商信用信息的查询渠道，相关信息以开标当日的查询结果为准。</w:t>
      </w:r>
      <w:bookmarkEnd w:id="38"/>
    </w:p>
    <w:p>
      <w:pPr>
        <w:pStyle w:val="7"/>
        <w:spacing w:beforeLines="25" w:afterLines="25"/>
        <w:ind w:firstLine="392" w:firstLineChars="187"/>
        <w:rPr>
          <w:bCs/>
          <w:szCs w:val="21"/>
        </w:rPr>
      </w:pPr>
    </w:p>
    <w:p>
      <w:pPr>
        <w:pStyle w:val="7"/>
        <w:spacing w:beforeLines="25" w:afterLines="25"/>
        <w:ind w:firstLine="0"/>
        <w:rPr>
          <w:rFonts w:ascii="宋体" w:hAnsi="宋体"/>
          <w:szCs w:val="21"/>
        </w:rPr>
      </w:pPr>
    </w:p>
    <w:p>
      <w:pPr>
        <w:widowControl/>
        <w:jc w:val="left"/>
        <w:rPr>
          <w:rFonts w:ascii="宋体" w:hAnsi="宋体"/>
          <w:b/>
          <w:bCs/>
          <w:sz w:val="24"/>
          <w:szCs w:val="20"/>
        </w:rPr>
      </w:pPr>
      <w:r>
        <w:br w:type="page"/>
      </w:r>
    </w:p>
    <w:p>
      <w:pPr>
        <w:pStyle w:val="5"/>
        <w:rPr>
          <w:kern w:val="2"/>
        </w:rPr>
      </w:pPr>
      <w:r>
        <w:rPr>
          <w:rFonts w:hint="eastAsia"/>
          <w:kern w:val="2"/>
        </w:rPr>
        <w:t>第四章 投标文件组成要求及格式</w:t>
      </w:r>
    </w:p>
    <w:p>
      <w:pPr>
        <w:rPr>
          <w:rStyle w:val="51"/>
          <w:sz w:val="24"/>
        </w:rPr>
      </w:pPr>
      <w:r>
        <w:rPr>
          <w:rStyle w:val="51"/>
          <w:rFonts w:hint="eastAsia"/>
          <w:sz w:val="24"/>
        </w:rPr>
        <w:t>特别提醒：</w:t>
      </w:r>
    </w:p>
    <w:p>
      <w:pPr>
        <w:ind w:firstLine="480" w:firstLineChars="200"/>
        <w:rPr>
          <w:rFonts w:ascii="仿宋_GB2312" w:eastAsia="仿宋_GB2312"/>
          <w:sz w:val="24"/>
        </w:rPr>
      </w:pPr>
      <w:r>
        <w:rPr>
          <w:rFonts w:hint="eastAsia" w:ascii="仿宋_GB2312" w:eastAsia="仿宋_GB2312"/>
          <w:sz w:val="24"/>
        </w:rPr>
        <w:t>投标文件正文将对外公开，投标文件附件不公开。投标人在编辑投标文件时，在投标文件目录中属于本节点内容的必须在本节点中填写，填写到其他节点或附件的将可能导致投标无效，一切后果由供应商自行承担。</w:t>
      </w:r>
    </w:p>
    <w:p>
      <w:pPr>
        <w:rPr>
          <w:rFonts w:ascii="仿宋_GB2312" w:eastAsia="仿宋_GB2312"/>
          <w:sz w:val="24"/>
        </w:rPr>
      </w:pPr>
      <w:r>
        <w:rPr>
          <w:rFonts w:hint="eastAsia" w:ascii="仿宋_GB2312" w:eastAsia="仿宋_GB2312"/>
          <w:sz w:val="24"/>
        </w:rPr>
        <w:t xml:space="preserve">    投标文件正文（信息公开部分）必须编制于“投标书目录”，投标文件附件（非信息公开部分）必须编制于“投标书附件”，如下图所示。</w:t>
      </w:r>
    </w:p>
    <w:p>
      <w:pPr>
        <w:rPr>
          <w:rFonts w:ascii="仿宋_GB2312" w:eastAsia="仿宋_GB2312"/>
          <w:sz w:val="24"/>
        </w:rPr>
      </w:pPr>
    </w:p>
    <w:p>
      <w:pPr>
        <w:widowControl/>
        <w:jc w:val="left"/>
        <w:rPr>
          <w:rFonts w:ascii="宋体" w:hAnsi="宋体" w:cs="宋体"/>
          <w:kern w:val="0"/>
          <w:sz w:val="24"/>
        </w:rPr>
      </w:pPr>
      <w:r>
        <w:rPr>
          <w:rFonts w:ascii="宋体" w:hAnsi="宋体" w:cs="宋体"/>
          <w:kern w:val="0"/>
          <w:sz w:val="24"/>
        </w:rPr>
        <w:drawing>
          <wp:inline distT="0" distB="0" distL="0" distR="0">
            <wp:extent cx="5371465" cy="5836920"/>
            <wp:effectExtent l="19050" t="0" r="443" b="0"/>
            <wp:docPr id="4" name="图片 1" descr="C:\Users\weixun\Documents\Tencent Files\175277410\Image\C2C\Image1\{H1XV2%NX4X1)YQ5G]$]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C:\Users\weixun\Documents\Tencent Files\175277410\Image\C2C\Image1\{H1XV2%NX4X1)YQ5G]$]R@1.png"/>
                    <pic:cNvPicPr>
                      <a:picLocks noChangeAspect="1" noChangeArrowheads="1"/>
                    </pic:cNvPicPr>
                  </pic:nvPicPr>
                  <pic:blipFill>
                    <a:blip r:embed="rId7" cstate="print"/>
                    <a:srcRect/>
                    <a:stretch>
                      <a:fillRect/>
                    </a:stretch>
                  </pic:blipFill>
                  <pic:spPr>
                    <a:xfrm>
                      <a:off x="0" y="0"/>
                      <a:ext cx="5373083" cy="5838825"/>
                    </a:xfrm>
                    <a:prstGeom prst="rect">
                      <a:avLst/>
                    </a:prstGeom>
                    <a:noFill/>
                    <a:ln w="9525">
                      <a:noFill/>
                      <a:miter lim="800000"/>
                      <a:headEnd/>
                      <a:tailEnd/>
                    </a:ln>
                  </pic:spPr>
                </pic:pic>
              </a:graphicData>
            </a:graphic>
          </wp:inline>
        </w:drawing>
      </w:r>
    </w:p>
    <w:p>
      <w:pPr>
        <w:jc w:val="center"/>
        <w:rPr>
          <w:rFonts w:ascii="仿宋_GB2312" w:eastAsia="仿宋_GB2312"/>
          <w:sz w:val="24"/>
        </w:rPr>
      </w:pPr>
    </w:p>
    <w:p>
      <w:pPr>
        <w:ind w:firstLine="480" w:firstLineChars="200"/>
        <w:rPr>
          <w:rFonts w:ascii="仿宋_GB2312" w:eastAsia="仿宋_GB2312"/>
          <w:sz w:val="24"/>
        </w:rPr>
      </w:pPr>
      <w:r>
        <w:rPr>
          <w:rFonts w:hint="eastAsia" w:ascii="仿宋_GB2312" w:eastAsia="仿宋_GB2312"/>
          <w:sz w:val="24"/>
        </w:rPr>
        <w:t>政府集中采购机构公布投标文件正文（信息公开部分）时为计算机截取信息自动公布，</w:t>
      </w:r>
      <w:r>
        <w:rPr>
          <w:rFonts w:hint="eastAsia" w:ascii="仿宋_GB2312" w:eastAsia="仿宋_GB2312"/>
          <w:b/>
          <w:bCs/>
          <w:sz w:val="24"/>
        </w:rPr>
        <w:t>如投标人误将涉及个人隐私的信息放入投标文件正文，相关后果由投标人自负；</w:t>
      </w:r>
      <w:r>
        <w:rPr>
          <w:rFonts w:hint="eastAsia" w:ascii="仿宋_GB2312" w:eastAsia="仿宋_GB2312"/>
          <w:sz w:val="24"/>
          <w:highlight w:val="yellow"/>
        </w:rPr>
        <w:t>如投标人将必须放于投标文件正文（信息公开部分）的内容放入投标文件附件（非信息公开部分），将作投标无效处理。</w:t>
      </w:r>
    </w:p>
    <w:p>
      <w:pPr>
        <w:ind w:firstLine="480" w:firstLineChars="200"/>
        <w:rPr>
          <w:rFonts w:ascii="仿宋_GB2312" w:eastAsia="仿宋_GB2312"/>
          <w:sz w:val="24"/>
        </w:rPr>
      </w:pPr>
    </w:p>
    <w:p>
      <w:pPr>
        <w:ind w:firstLine="482" w:firstLineChars="200"/>
        <w:rPr>
          <w:rFonts w:ascii="宋体" w:hAnsi="宋体"/>
          <w:b/>
          <w:sz w:val="24"/>
        </w:rPr>
      </w:pPr>
    </w:p>
    <w:p>
      <w:pPr>
        <w:rPr>
          <w:rFonts w:ascii="宋体" w:hAnsi="宋体"/>
          <w:sz w:val="24"/>
        </w:rPr>
      </w:pPr>
      <w:r>
        <w:rPr>
          <w:rFonts w:hint="eastAsia" w:ascii="宋体" w:hAnsi="宋体"/>
          <w:sz w:val="24"/>
        </w:rPr>
        <w:t>投标文件组成：</w:t>
      </w:r>
    </w:p>
    <w:p>
      <w:pPr>
        <w:ind w:firstLine="1200" w:firstLineChars="500"/>
        <w:outlineLvl w:val="0"/>
        <w:rPr>
          <w:rFonts w:ascii="宋体" w:hAnsi="宋体"/>
          <w:sz w:val="24"/>
        </w:rPr>
      </w:pPr>
      <w:r>
        <w:rPr>
          <w:rFonts w:hint="eastAsia" w:ascii="宋体" w:hAnsi="宋体"/>
          <w:sz w:val="24"/>
        </w:rPr>
        <w:t>1.投标文件正文</w:t>
      </w:r>
      <w:r>
        <w:rPr>
          <w:rFonts w:hint="eastAsia" w:ascii="宋体" w:hAnsi="宋体"/>
          <w:b/>
          <w:color w:val="FF0000"/>
          <w:sz w:val="24"/>
        </w:rPr>
        <w:t>（信息公开部分）</w:t>
      </w:r>
      <w:r>
        <w:rPr>
          <w:rFonts w:hint="eastAsia" w:ascii="宋体" w:hAnsi="宋体"/>
          <w:sz w:val="24"/>
        </w:rPr>
        <w:t>，主要包括以下内容：</w:t>
      </w:r>
    </w:p>
    <w:p>
      <w:pPr>
        <w:ind w:left="718" w:leftChars="342" w:firstLine="699" w:firstLineChars="333"/>
        <w:rPr>
          <w:szCs w:val="21"/>
          <w:highlight w:val="yellow"/>
        </w:rPr>
      </w:pPr>
      <w:r>
        <w:rPr>
          <w:rFonts w:hint="eastAsia"/>
          <w:szCs w:val="21"/>
          <w:highlight w:val="yellow"/>
        </w:rPr>
        <w:t>（1）</w:t>
      </w:r>
      <w:bookmarkStart w:id="39" w:name="_Hlk72070784"/>
      <w:r>
        <w:rPr>
          <w:rFonts w:hint="eastAsia"/>
          <w:szCs w:val="21"/>
          <w:highlight w:val="yellow"/>
        </w:rPr>
        <w:t>投标函</w:t>
      </w:r>
      <w:bookmarkEnd w:id="39"/>
    </w:p>
    <w:p>
      <w:pPr>
        <w:ind w:left="718" w:leftChars="342" w:firstLine="699" w:firstLineChars="333"/>
        <w:rPr>
          <w:szCs w:val="21"/>
          <w:highlight w:val="yellow"/>
        </w:rPr>
      </w:pPr>
      <w:r>
        <w:rPr>
          <w:rFonts w:hint="eastAsia"/>
          <w:szCs w:val="21"/>
          <w:highlight w:val="yellow"/>
        </w:rPr>
        <w:t>（2）</w:t>
      </w:r>
      <w:bookmarkStart w:id="40" w:name="_Hlk72062521"/>
      <w:r>
        <w:rPr>
          <w:rFonts w:hint="eastAsia"/>
          <w:szCs w:val="21"/>
          <w:highlight w:val="yellow"/>
        </w:rPr>
        <w:t>政府采购投标及履约承诺函</w:t>
      </w:r>
      <w:bookmarkEnd w:id="40"/>
    </w:p>
    <w:p>
      <w:pPr>
        <w:ind w:left="718" w:leftChars="342" w:firstLine="699" w:firstLineChars="333"/>
        <w:rPr>
          <w:szCs w:val="21"/>
          <w:highlight w:val="yellow"/>
        </w:rPr>
      </w:pPr>
      <w:r>
        <w:rPr>
          <w:rFonts w:hint="eastAsia"/>
          <w:szCs w:val="21"/>
          <w:highlight w:val="yellow"/>
        </w:rPr>
        <w:t>（</w:t>
      </w:r>
      <w:r>
        <w:rPr>
          <w:szCs w:val="21"/>
          <w:highlight w:val="yellow"/>
        </w:rPr>
        <w:t>3</w:t>
      </w:r>
      <w:r>
        <w:rPr>
          <w:rFonts w:hint="eastAsia"/>
          <w:szCs w:val="21"/>
          <w:highlight w:val="yellow"/>
        </w:rPr>
        <w:t>）投标人情况及资格证明文件</w:t>
      </w:r>
    </w:p>
    <w:p>
      <w:pPr>
        <w:ind w:left="718" w:leftChars="342" w:firstLine="699" w:firstLineChars="333"/>
        <w:rPr>
          <w:szCs w:val="21"/>
        </w:rPr>
      </w:pPr>
      <w:bookmarkStart w:id="41" w:name="_Hlk72257201"/>
      <w:r>
        <w:rPr>
          <w:rFonts w:hint="eastAsia"/>
          <w:szCs w:val="21"/>
          <w:highlight w:val="yellow"/>
        </w:rPr>
        <w:t>（</w:t>
      </w:r>
      <w:r>
        <w:rPr>
          <w:szCs w:val="21"/>
          <w:highlight w:val="yellow"/>
        </w:rPr>
        <w:t>4</w:t>
      </w:r>
      <w:r>
        <w:rPr>
          <w:rFonts w:hint="eastAsia"/>
          <w:szCs w:val="21"/>
          <w:highlight w:val="yellow"/>
        </w:rPr>
        <w:t>）项目详细报价</w:t>
      </w:r>
    </w:p>
    <w:p>
      <w:pPr>
        <w:widowControl/>
        <w:tabs>
          <w:tab w:val="left" w:pos="720"/>
        </w:tabs>
        <w:spacing w:line="360" w:lineRule="auto"/>
        <w:ind w:left="1134" w:firstLine="283" w:firstLineChars="135"/>
        <w:jc w:val="left"/>
        <w:rPr>
          <w:rFonts w:ascii="宋体" w:hAnsi="宋体" w:cs="宋体"/>
          <w:szCs w:val="21"/>
          <w:highlight w:val="yellow"/>
        </w:rPr>
      </w:pPr>
      <w:r>
        <w:rPr>
          <w:rFonts w:hint="eastAsia" w:ascii="宋体" w:hAnsi="宋体" w:cs="宋体"/>
          <w:szCs w:val="21"/>
          <w:highlight w:val="yellow"/>
        </w:rPr>
        <w:t>（5）供应商资格（资质、认证）情况（格式自定）</w:t>
      </w:r>
    </w:p>
    <w:p>
      <w:pPr>
        <w:widowControl/>
        <w:tabs>
          <w:tab w:val="left" w:pos="720"/>
        </w:tabs>
        <w:spacing w:line="360" w:lineRule="auto"/>
        <w:ind w:left="1134" w:firstLine="283" w:firstLineChars="135"/>
        <w:jc w:val="left"/>
        <w:rPr>
          <w:rFonts w:ascii="宋体" w:hAnsi="宋体" w:cs="宋体"/>
          <w:szCs w:val="21"/>
          <w:highlight w:val="yellow"/>
        </w:rPr>
      </w:pPr>
      <w:r>
        <w:rPr>
          <w:rFonts w:hint="eastAsia" w:ascii="宋体" w:hAnsi="宋体" w:cs="宋体"/>
          <w:szCs w:val="21"/>
          <w:highlight w:val="yellow"/>
        </w:rPr>
        <w:t>（6）供应商同类项目业绩情况（格式自定）</w:t>
      </w:r>
    </w:p>
    <w:p>
      <w:pPr>
        <w:widowControl/>
        <w:tabs>
          <w:tab w:val="left" w:pos="720"/>
        </w:tabs>
        <w:spacing w:line="360" w:lineRule="auto"/>
        <w:ind w:left="1134" w:firstLine="283" w:firstLineChars="135"/>
        <w:jc w:val="left"/>
        <w:rPr>
          <w:rFonts w:ascii="宋体" w:hAnsi="宋体" w:cs="宋体"/>
          <w:szCs w:val="21"/>
          <w:highlight w:val="yellow"/>
        </w:rPr>
      </w:pPr>
      <w:r>
        <w:rPr>
          <w:rFonts w:hint="eastAsia" w:ascii="宋体" w:hAnsi="宋体" w:cs="宋体"/>
          <w:szCs w:val="21"/>
          <w:highlight w:val="yellow"/>
        </w:rPr>
        <w:t>（7）供应商自主知识产权产品（创新、设计）情况（格式自定）</w:t>
      </w:r>
    </w:p>
    <w:p>
      <w:pPr>
        <w:widowControl/>
        <w:tabs>
          <w:tab w:val="left" w:pos="720"/>
        </w:tabs>
        <w:spacing w:line="360" w:lineRule="auto"/>
        <w:ind w:left="1134" w:firstLine="283" w:firstLineChars="135"/>
        <w:jc w:val="left"/>
        <w:rPr>
          <w:rFonts w:ascii="宋体" w:hAnsi="宋体" w:cs="宋体"/>
          <w:szCs w:val="21"/>
          <w:highlight w:val="yellow"/>
        </w:rPr>
      </w:pPr>
      <w:r>
        <w:rPr>
          <w:rFonts w:hint="eastAsia" w:ascii="宋体" w:hAnsi="宋体" w:cs="宋体"/>
          <w:szCs w:val="21"/>
          <w:highlight w:val="yellow"/>
        </w:rPr>
        <w:t>（8）服务网点（格式自定）</w:t>
      </w:r>
    </w:p>
    <w:p>
      <w:pPr>
        <w:ind w:left="718" w:leftChars="342" w:firstLine="1417" w:firstLineChars="675"/>
        <w:rPr>
          <w:szCs w:val="21"/>
        </w:rPr>
      </w:pPr>
    </w:p>
    <w:p>
      <w:pPr>
        <w:ind w:left="718" w:leftChars="342" w:firstLine="1417" w:firstLineChars="675"/>
        <w:rPr>
          <w:szCs w:val="21"/>
        </w:rPr>
      </w:pPr>
    </w:p>
    <w:bookmarkEnd w:id="41"/>
    <w:p>
      <w:pPr>
        <w:ind w:firstLine="1200" w:firstLineChars="500"/>
        <w:outlineLvl w:val="0"/>
        <w:rPr>
          <w:rFonts w:ascii="宋体" w:hAnsi="宋体"/>
          <w:sz w:val="24"/>
        </w:rPr>
      </w:pPr>
      <w:r>
        <w:rPr>
          <w:rFonts w:hint="eastAsia" w:ascii="宋体" w:hAnsi="宋体"/>
          <w:sz w:val="24"/>
        </w:rPr>
        <w:t>2.投标文件附件</w:t>
      </w:r>
      <w:r>
        <w:rPr>
          <w:rFonts w:hint="eastAsia" w:ascii="宋体" w:hAnsi="宋体"/>
          <w:b/>
          <w:color w:val="FF0000"/>
          <w:sz w:val="24"/>
        </w:rPr>
        <w:t>（信息不公开部分）</w:t>
      </w:r>
      <w:r>
        <w:rPr>
          <w:rFonts w:hint="eastAsia" w:ascii="宋体" w:hAnsi="宋体"/>
          <w:sz w:val="24"/>
        </w:rPr>
        <w:t>：主要包括以下内容：</w:t>
      </w:r>
    </w:p>
    <w:p>
      <w:pPr>
        <w:ind w:firstLine="1417" w:firstLineChars="675"/>
        <w:rPr>
          <w:szCs w:val="21"/>
          <w:highlight w:val="yellow"/>
        </w:rPr>
      </w:pPr>
      <w:r>
        <w:rPr>
          <w:rFonts w:hint="eastAsia"/>
          <w:szCs w:val="21"/>
          <w:highlight w:val="yellow"/>
        </w:rPr>
        <w:t>（1）法定代表人（负责人）证明书</w:t>
      </w:r>
    </w:p>
    <w:p>
      <w:pPr>
        <w:ind w:firstLine="1417" w:firstLineChars="675"/>
        <w:rPr>
          <w:szCs w:val="21"/>
          <w:highlight w:val="yellow"/>
        </w:rPr>
      </w:pPr>
      <w:r>
        <w:rPr>
          <w:rFonts w:hint="eastAsia"/>
          <w:szCs w:val="21"/>
          <w:highlight w:val="yellow"/>
        </w:rPr>
        <w:t>（2）投标文件签署授权委托书</w:t>
      </w:r>
    </w:p>
    <w:p>
      <w:pPr>
        <w:ind w:firstLine="1417" w:firstLineChars="675"/>
        <w:rPr>
          <w:szCs w:val="21"/>
          <w:highlight w:val="yellow"/>
        </w:rPr>
      </w:pPr>
      <w:r>
        <w:rPr>
          <w:rFonts w:hint="eastAsia"/>
          <w:szCs w:val="21"/>
          <w:highlight w:val="yellow"/>
        </w:rPr>
        <w:t>（3）</w:t>
      </w:r>
      <w:r>
        <w:rPr>
          <w:szCs w:val="21"/>
          <w:highlight w:val="yellow"/>
        </w:rPr>
        <w:t>实质性条款响应情况表</w:t>
      </w:r>
    </w:p>
    <w:p>
      <w:pPr>
        <w:ind w:firstLine="1417" w:firstLineChars="675"/>
        <w:rPr>
          <w:szCs w:val="21"/>
          <w:highlight w:val="yellow"/>
        </w:rPr>
      </w:pPr>
      <w:r>
        <w:rPr>
          <w:rFonts w:hint="eastAsia"/>
          <w:szCs w:val="21"/>
          <w:highlight w:val="yellow"/>
        </w:rPr>
        <w:t>（4）</w:t>
      </w:r>
      <w:r>
        <w:rPr>
          <w:rFonts w:hint="eastAsia" w:ascii="宋体" w:hAnsi="宋体"/>
          <w:szCs w:val="21"/>
          <w:highlight w:val="yellow"/>
        </w:rPr>
        <w:t>实施方案（格式自定）</w:t>
      </w:r>
    </w:p>
    <w:p>
      <w:pPr>
        <w:pStyle w:val="7"/>
        <w:ind w:left="210" w:leftChars="100" w:firstLine="1207" w:firstLineChars="575"/>
        <w:rPr>
          <w:rFonts w:ascii="宋体" w:hAnsi="宋体"/>
          <w:szCs w:val="21"/>
          <w:highlight w:val="yellow"/>
        </w:rPr>
      </w:pPr>
      <w:r>
        <w:rPr>
          <w:rFonts w:hint="eastAsia" w:ascii="宋体" w:hAnsi="宋体"/>
          <w:szCs w:val="21"/>
          <w:highlight w:val="yellow"/>
        </w:rPr>
        <w:t>（</w:t>
      </w:r>
      <w:r>
        <w:rPr>
          <w:rFonts w:ascii="宋体" w:hAnsi="宋体"/>
          <w:szCs w:val="21"/>
          <w:highlight w:val="yellow"/>
        </w:rPr>
        <w:t>5</w:t>
      </w:r>
      <w:r>
        <w:rPr>
          <w:rFonts w:hint="eastAsia" w:ascii="宋体" w:hAnsi="宋体"/>
          <w:szCs w:val="21"/>
          <w:highlight w:val="yellow"/>
        </w:rPr>
        <w:t>）项目重点难点分析、应对措施及相关的合理化建议（格式自定）</w:t>
      </w:r>
    </w:p>
    <w:p>
      <w:pPr>
        <w:pStyle w:val="7"/>
        <w:ind w:left="210" w:leftChars="100" w:firstLine="1207" w:firstLineChars="575"/>
        <w:rPr>
          <w:rFonts w:ascii="宋体" w:hAnsi="宋体"/>
          <w:szCs w:val="21"/>
          <w:highlight w:val="yellow"/>
        </w:rPr>
      </w:pPr>
      <w:r>
        <w:rPr>
          <w:rFonts w:hint="eastAsia" w:ascii="宋体" w:hAnsi="宋体"/>
          <w:szCs w:val="21"/>
          <w:highlight w:val="yellow"/>
        </w:rPr>
        <w:t>（</w:t>
      </w:r>
      <w:r>
        <w:rPr>
          <w:rFonts w:ascii="宋体" w:hAnsi="宋体"/>
          <w:szCs w:val="21"/>
          <w:highlight w:val="yellow"/>
        </w:rPr>
        <w:t>6</w:t>
      </w:r>
      <w:r>
        <w:rPr>
          <w:rFonts w:hint="eastAsia" w:ascii="宋体" w:hAnsi="宋体"/>
          <w:szCs w:val="21"/>
          <w:highlight w:val="yellow"/>
        </w:rPr>
        <w:t>）质量（完成时间、安全、环保）保障措施及方案（格式自定）</w:t>
      </w:r>
    </w:p>
    <w:p>
      <w:pPr>
        <w:pStyle w:val="7"/>
        <w:ind w:left="210" w:leftChars="100" w:firstLine="1207" w:firstLineChars="575"/>
        <w:rPr>
          <w:rFonts w:ascii="宋体" w:hAnsi="宋体"/>
          <w:szCs w:val="21"/>
          <w:highlight w:val="yellow"/>
        </w:rPr>
      </w:pPr>
      <w:r>
        <w:rPr>
          <w:rFonts w:hint="eastAsia" w:ascii="宋体" w:hAnsi="宋体"/>
          <w:szCs w:val="21"/>
          <w:highlight w:val="yellow"/>
        </w:rPr>
        <w:t>（</w:t>
      </w:r>
      <w:r>
        <w:rPr>
          <w:rFonts w:ascii="宋体" w:hAnsi="宋体"/>
          <w:szCs w:val="21"/>
          <w:highlight w:val="yellow"/>
        </w:rPr>
        <w:t>7</w:t>
      </w:r>
      <w:r>
        <w:rPr>
          <w:rFonts w:hint="eastAsia" w:ascii="宋体" w:hAnsi="宋体"/>
          <w:szCs w:val="21"/>
          <w:highlight w:val="yellow"/>
        </w:rPr>
        <w:t>）项目完成（服务期满）后的服务承诺（格式自定）</w:t>
      </w:r>
    </w:p>
    <w:p>
      <w:pPr>
        <w:pStyle w:val="7"/>
        <w:ind w:left="210" w:leftChars="100" w:firstLine="1207" w:firstLineChars="575"/>
        <w:rPr>
          <w:rFonts w:ascii="宋体" w:hAnsi="宋体"/>
          <w:szCs w:val="21"/>
          <w:highlight w:val="yellow"/>
        </w:rPr>
      </w:pPr>
      <w:r>
        <w:rPr>
          <w:rFonts w:hint="eastAsia" w:ascii="宋体" w:hAnsi="宋体"/>
          <w:szCs w:val="21"/>
          <w:highlight w:val="yellow"/>
        </w:rPr>
        <w:t>（</w:t>
      </w:r>
      <w:r>
        <w:rPr>
          <w:rFonts w:ascii="宋体" w:hAnsi="宋体"/>
          <w:szCs w:val="21"/>
          <w:highlight w:val="yellow"/>
        </w:rPr>
        <w:t>8</w:t>
      </w:r>
      <w:r>
        <w:rPr>
          <w:rFonts w:hint="eastAsia" w:ascii="宋体" w:hAnsi="宋体"/>
          <w:szCs w:val="21"/>
          <w:highlight w:val="yellow"/>
        </w:rPr>
        <w:t>）违约承诺（格式自定）</w:t>
      </w:r>
    </w:p>
    <w:p>
      <w:pPr>
        <w:pStyle w:val="7"/>
        <w:spacing w:beforeLines="25" w:afterLines="25"/>
        <w:ind w:firstLine="1417" w:firstLineChars="675"/>
        <w:rPr>
          <w:rFonts w:ascii="宋体" w:hAnsi="宋体"/>
          <w:szCs w:val="21"/>
          <w:highlight w:val="yellow"/>
        </w:rPr>
      </w:pPr>
      <w:r>
        <w:rPr>
          <w:rFonts w:hint="eastAsia" w:ascii="宋体" w:hAnsi="宋体"/>
          <w:szCs w:val="21"/>
          <w:highlight w:val="yellow"/>
        </w:rPr>
        <w:t>（</w:t>
      </w:r>
      <w:r>
        <w:rPr>
          <w:rFonts w:ascii="宋体" w:hAnsi="宋体"/>
          <w:szCs w:val="21"/>
          <w:highlight w:val="yellow"/>
        </w:rPr>
        <w:t>9</w:t>
      </w:r>
      <w:r>
        <w:rPr>
          <w:rFonts w:hint="eastAsia" w:ascii="宋体" w:hAnsi="宋体"/>
          <w:szCs w:val="21"/>
          <w:highlight w:val="yellow"/>
        </w:rPr>
        <w:t>）拟安排的项目负责人情况（仅限一人）（格式自定）</w:t>
      </w:r>
    </w:p>
    <w:p>
      <w:pPr>
        <w:pStyle w:val="7"/>
        <w:spacing w:beforeLines="25" w:afterLines="25"/>
        <w:ind w:firstLine="1417" w:firstLineChars="675"/>
        <w:rPr>
          <w:rFonts w:ascii="宋体" w:hAnsi="宋体"/>
          <w:szCs w:val="21"/>
          <w:highlight w:val="yellow"/>
        </w:rPr>
      </w:pPr>
      <w:r>
        <w:rPr>
          <w:rFonts w:hint="eastAsia" w:ascii="宋体" w:hAnsi="宋体"/>
          <w:szCs w:val="21"/>
          <w:highlight w:val="yellow"/>
        </w:rPr>
        <w:t>（</w:t>
      </w:r>
      <w:r>
        <w:rPr>
          <w:rFonts w:ascii="宋体" w:hAnsi="宋体"/>
          <w:szCs w:val="21"/>
          <w:highlight w:val="yellow"/>
        </w:rPr>
        <w:t>10</w:t>
      </w:r>
      <w:r>
        <w:rPr>
          <w:rFonts w:hint="eastAsia" w:ascii="宋体" w:hAnsi="宋体"/>
          <w:szCs w:val="21"/>
          <w:highlight w:val="yellow"/>
        </w:rPr>
        <w:t>）拟安排的项目主要团队成员（主要技术人员）情况（项目负责人除外）（格式自定）</w:t>
      </w:r>
    </w:p>
    <w:p>
      <w:pPr>
        <w:pStyle w:val="7"/>
        <w:spacing w:beforeLines="25" w:afterLines="25"/>
        <w:ind w:firstLine="1417" w:firstLineChars="675"/>
        <w:rPr>
          <w:rFonts w:ascii="宋体" w:hAnsi="宋体"/>
          <w:szCs w:val="21"/>
        </w:rPr>
      </w:pPr>
      <w:r>
        <w:rPr>
          <w:rFonts w:hint="eastAsia" w:ascii="宋体" w:hAnsi="宋体"/>
          <w:szCs w:val="21"/>
          <w:highlight w:val="yellow"/>
        </w:rPr>
        <w:t>（</w:t>
      </w:r>
      <w:r>
        <w:rPr>
          <w:rFonts w:ascii="宋体" w:hAnsi="宋体"/>
          <w:szCs w:val="21"/>
          <w:highlight w:val="yellow"/>
        </w:rPr>
        <w:t>1</w:t>
      </w:r>
      <w:r>
        <w:rPr>
          <w:rFonts w:hint="eastAsia" w:ascii="宋体" w:hAnsi="宋体"/>
          <w:szCs w:val="21"/>
          <w:highlight w:val="yellow"/>
        </w:rPr>
        <w:t>1）</w:t>
      </w:r>
      <w:r>
        <w:rPr>
          <w:rFonts w:hint="eastAsia"/>
          <w:szCs w:val="21"/>
          <w:highlight w:val="yellow"/>
        </w:rPr>
        <w:t>投标人认为需要加以说明的其他内容</w:t>
      </w:r>
    </w:p>
    <w:p>
      <w:pPr>
        <w:pStyle w:val="7"/>
        <w:spacing w:beforeLines="25" w:afterLines="25"/>
        <w:ind w:firstLine="1417" w:firstLineChars="675"/>
        <w:rPr>
          <w:rFonts w:ascii="宋体" w:hAnsi="宋体"/>
          <w:szCs w:val="21"/>
        </w:rPr>
      </w:pPr>
    </w:p>
    <w:p>
      <w:pPr>
        <w:pStyle w:val="7"/>
        <w:ind w:firstLine="0"/>
        <w:rPr>
          <w:rFonts w:ascii="宋体" w:hAnsi="宋体"/>
          <w:szCs w:val="21"/>
        </w:rPr>
      </w:pPr>
    </w:p>
    <w:p>
      <w:pPr>
        <w:rPr>
          <w:rFonts w:ascii="仿宋_GB2312" w:eastAsia="仿宋_GB2312"/>
          <w:sz w:val="24"/>
        </w:rPr>
      </w:pPr>
    </w:p>
    <w:p>
      <w:pPr>
        <w:ind w:firstLine="426" w:firstLineChars="202"/>
        <w:rPr>
          <w:rFonts w:ascii="宋体" w:hAnsi="宋体"/>
          <w:b/>
          <w:szCs w:val="21"/>
        </w:rPr>
      </w:pPr>
      <w:r>
        <w:rPr>
          <w:rFonts w:hint="eastAsia" w:ascii="宋体" w:hAnsi="宋体"/>
          <w:b/>
          <w:szCs w:val="21"/>
        </w:rPr>
        <w:t>备注：</w:t>
      </w:r>
    </w:p>
    <w:p>
      <w:pPr>
        <w:ind w:firstLine="426" w:firstLineChars="202"/>
        <w:rPr>
          <w:rFonts w:ascii="宋体" w:hAnsi="宋体"/>
          <w:b/>
          <w:szCs w:val="21"/>
        </w:rPr>
      </w:pPr>
      <w:r>
        <w:rPr>
          <w:rFonts w:hint="eastAsia" w:ascii="宋体" w:hAnsi="宋体"/>
          <w:b/>
          <w:szCs w:val="21"/>
        </w:rPr>
        <w:t>1.本项目为网上电子投标项目，投标文件不需法人或授权委托人另行签字，无需加盖单位公章，招标文件专用条款另有规定的除外。</w:t>
      </w:r>
    </w:p>
    <w:p>
      <w:pPr>
        <w:ind w:firstLine="426" w:firstLineChars="202"/>
        <w:rPr>
          <w:rFonts w:ascii="宋体" w:hAnsi="宋体"/>
          <w:b/>
          <w:szCs w:val="21"/>
        </w:rPr>
      </w:pPr>
      <w:r>
        <w:rPr>
          <w:rFonts w:hint="eastAsia" w:ascii="宋体" w:hAnsi="宋体"/>
          <w:b/>
          <w:szCs w:val="21"/>
        </w:rPr>
        <w:t>2.关于填写“开标一览表”的说明：“开标一览表”中除“投标总价”外，其他信息不作评审依据。</w:t>
      </w:r>
    </w:p>
    <w:p>
      <w:pPr>
        <w:rPr>
          <w:rFonts w:ascii="仿宋_GB2312" w:eastAsia="仿宋_GB2312"/>
          <w:sz w:val="24"/>
        </w:rPr>
      </w:pPr>
    </w:p>
    <w:p>
      <w:pPr>
        <w:ind w:firstLine="426" w:firstLineChars="202"/>
        <w:rPr>
          <w:rFonts w:ascii="宋体" w:hAnsi="宋体"/>
          <w:b/>
          <w:szCs w:val="21"/>
        </w:rPr>
      </w:pPr>
    </w:p>
    <w:p>
      <w:pPr>
        <w:ind w:firstLine="426" w:firstLineChars="202"/>
        <w:rPr>
          <w:rFonts w:ascii="宋体" w:hAnsi="宋体"/>
          <w:b/>
          <w:szCs w:val="21"/>
        </w:rPr>
      </w:pPr>
    </w:p>
    <w:p>
      <w:pPr>
        <w:jc w:val="left"/>
        <w:rPr>
          <w:rFonts w:ascii="宋体" w:hAnsi="宋体"/>
          <w:b/>
          <w:color w:val="FF0000"/>
          <w:sz w:val="36"/>
          <w:szCs w:val="36"/>
        </w:rPr>
      </w:pPr>
      <w:r>
        <w:rPr>
          <w:rFonts w:hint="eastAsia" w:ascii="宋体" w:hAnsi="宋体"/>
          <w:b/>
          <w:color w:val="FF0000"/>
          <w:sz w:val="36"/>
          <w:szCs w:val="36"/>
        </w:rPr>
        <w:br w:type="page"/>
      </w:r>
    </w:p>
    <w:p>
      <w:pPr>
        <w:outlineLvl w:val="1"/>
        <w:rPr>
          <w:rFonts w:ascii="宋体" w:hAnsi="宋体"/>
          <w:b/>
          <w:color w:val="FF0000"/>
          <w:sz w:val="28"/>
          <w:szCs w:val="28"/>
        </w:rPr>
      </w:pPr>
      <w:r>
        <w:rPr>
          <w:rFonts w:hint="eastAsia" w:ascii="宋体" w:hAnsi="宋体"/>
          <w:b/>
          <w:color w:val="FF0000"/>
          <w:sz w:val="28"/>
          <w:szCs w:val="28"/>
        </w:rPr>
        <w:t>投标文件正文（信息公开部分）</w:t>
      </w:r>
    </w:p>
    <w:p>
      <w:pPr>
        <w:pStyle w:val="3"/>
        <w:jc w:val="center"/>
        <w:rPr>
          <w:rFonts w:ascii="黑体" w:eastAsia="黑体"/>
          <w:b w:val="0"/>
          <w:kern w:val="0"/>
          <w:sz w:val="24"/>
        </w:rPr>
      </w:pPr>
      <w:r>
        <w:rPr>
          <w:rFonts w:hint="eastAsia" w:ascii="黑体" w:eastAsia="黑体"/>
          <w:b w:val="0"/>
          <w:kern w:val="0"/>
          <w:sz w:val="24"/>
        </w:rPr>
        <w:t>一、投标函</w:t>
      </w:r>
    </w:p>
    <w:p>
      <w:pPr>
        <w:spacing w:line="360" w:lineRule="auto"/>
        <w:rPr>
          <w:rFonts w:ascii="宋体" w:hAnsi="宋体"/>
          <w:color w:val="000000" w:themeColor="text1"/>
          <w:szCs w:val="21"/>
        </w:rPr>
      </w:pPr>
      <w:r>
        <w:rPr>
          <w:rFonts w:hint="eastAsia" w:ascii="宋体" w:hAnsi="宋体"/>
          <w:szCs w:val="21"/>
        </w:rPr>
        <w:t>致：</w:t>
      </w:r>
      <w:r>
        <w:rPr>
          <w:rFonts w:hint="eastAsia" w:ascii="宋体" w:hAnsi="宋体"/>
          <w:szCs w:val="21"/>
          <w:u w:val="single"/>
        </w:rPr>
        <w:t xml:space="preserve"> </w:t>
      </w:r>
      <w:r>
        <w:rPr>
          <w:rFonts w:hint="eastAsia" w:ascii="宋体" w:hAnsi="宋体"/>
          <w:color w:val="000000" w:themeColor="text1"/>
          <w:szCs w:val="21"/>
          <w:u w:val="single"/>
        </w:rPr>
        <w:t xml:space="preserve"> 深圳公共资源交易中心  </w:t>
      </w:r>
    </w:p>
    <w:p>
      <w:pPr>
        <w:ind w:firstLine="420" w:firstLineChars="200"/>
        <w:rPr>
          <w:rFonts w:ascii="宋体" w:hAnsi="宋体"/>
          <w:szCs w:val="21"/>
        </w:rPr>
      </w:pPr>
      <w:bookmarkStart w:id="42" w:name="_Hlk73818812"/>
      <w:r>
        <w:rPr>
          <w:rFonts w:hint="eastAsia"/>
          <w:szCs w:val="21"/>
        </w:rPr>
        <w:t>1、根据已收到贵单位的项目编号为</w:t>
      </w:r>
      <w:r>
        <w:rPr>
          <w:rFonts w:hint="eastAsia"/>
          <w:szCs w:val="21"/>
          <w:u w:val="single"/>
        </w:rPr>
        <w:t xml:space="preserve">        </w:t>
      </w:r>
      <w:r>
        <w:rPr>
          <w:rFonts w:hint="eastAsia"/>
          <w:szCs w:val="21"/>
        </w:rPr>
        <w:t>的</w:t>
      </w:r>
      <w:r>
        <w:rPr>
          <w:rFonts w:hint="eastAsia"/>
          <w:szCs w:val="21"/>
          <w:u w:val="single"/>
        </w:rPr>
        <w:t xml:space="preserve">               </w:t>
      </w:r>
      <w:r>
        <w:rPr>
          <w:rFonts w:hint="eastAsia"/>
          <w:szCs w:val="21"/>
        </w:rPr>
        <w:t>项目的招标文件，遵照《深圳经济特区政府采购条例》和《深圳网上政府采购管理暂行办法》等有关规定，我单位经研究上述招标文件的专用条款及通用条款后，</w:t>
      </w:r>
      <w:bookmarkStart w:id="43" w:name="_Hlk72263588"/>
      <w:r>
        <w:rPr>
          <w:rFonts w:hint="eastAsia"/>
          <w:szCs w:val="21"/>
        </w:rPr>
        <w:t>愿意按照招标文件要求承包上述项目并修补其任何缺陷。</w:t>
      </w:r>
      <w:bookmarkEnd w:id="43"/>
    </w:p>
    <w:p>
      <w:pPr>
        <w:ind w:firstLine="420" w:firstLineChars="200"/>
        <w:rPr>
          <w:rFonts w:ascii="宋体" w:hAnsi="宋体"/>
          <w:szCs w:val="21"/>
        </w:rPr>
      </w:pPr>
      <w:r>
        <w:rPr>
          <w:rFonts w:ascii="宋体" w:hAnsi="宋体"/>
          <w:szCs w:val="21"/>
        </w:rPr>
        <w:t>2</w:t>
      </w:r>
      <w:r>
        <w:rPr>
          <w:rFonts w:hint="eastAsia" w:ascii="宋体" w:hAnsi="宋体"/>
          <w:szCs w:val="21"/>
        </w:rPr>
        <w:t>、投标价格见</w:t>
      </w:r>
      <w:r>
        <w:rPr>
          <w:rFonts w:hint="eastAsia"/>
          <w:szCs w:val="21"/>
        </w:rPr>
        <w:t>投标书编制软件中《开标一览表》中填写的投标总价。</w:t>
      </w:r>
    </w:p>
    <w:p>
      <w:pPr>
        <w:ind w:firstLine="420" w:firstLineChars="200"/>
        <w:rPr>
          <w:rFonts w:ascii="宋体" w:hAnsi="宋体"/>
          <w:szCs w:val="21"/>
        </w:rPr>
      </w:pPr>
      <w:r>
        <w:rPr>
          <w:rFonts w:hint="eastAsia" w:ascii="宋体" w:hAnsi="宋体"/>
          <w:szCs w:val="21"/>
        </w:rPr>
        <w:t>3、如果我单位中标，我单位将按照招标文件的要求足额提交履约担保。</w:t>
      </w:r>
    </w:p>
    <w:p>
      <w:pPr>
        <w:ind w:firstLine="420" w:firstLineChars="200"/>
        <w:rPr>
          <w:rFonts w:ascii="宋体" w:hAnsi="宋体"/>
          <w:szCs w:val="21"/>
        </w:rPr>
      </w:pPr>
      <w:r>
        <w:rPr>
          <w:rFonts w:hint="eastAsia" w:ascii="宋体" w:hAnsi="宋体"/>
          <w:szCs w:val="21"/>
        </w:rPr>
        <w:t>4、我单位同意所递交的投标文件在“对通用条款的补充内容”中明确的投标有效期内有效，在此期间内我单位的投标有可能中标，我方将受此约束。</w:t>
      </w:r>
    </w:p>
    <w:p>
      <w:pPr>
        <w:ind w:firstLine="420" w:firstLineChars="200"/>
        <w:rPr>
          <w:rFonts w:ascii="宋体" w:hAnsi="宋体"/>
          <w:szCs w:val="21"/>
        </w:rPr>
      </w:pPr>
      <w:r>
        <w:rPr>
          <w:rFonts w:hint="eastAsia" w:ascii="宋体" w:hAnsi="宋体"/>
          <w:szCs w:val="21"/>
        </w:rPr>
        <w:t>5、除非另外达成协议并生效，贵单位的中标通知书和本投标文件将构成合同的重要内容。</w:t>
      </w:r>
    </w:p>
    <w:p>
      <w:pPr>
        <w:ind w:left="525" w:leftChars="200" w:hanging="105" w:hangingChars="50"/>
        <w:rPr>
          <w:szCs w:val="21"/>
          <w:u w:val="single"/>
        </w:rPr>
      </w:pPr>
      <w:r>
        <w:rPr>
          <w:rFonts w:hint="eastAsia" w:ascii="宋体" w:hAnsi="宋体"/>
          <w:szCs w:val="21"/>
        </w:rPr>
        <w:t>6、我单位理解贵单位将不受必须接受所收到的最低报价或其它任何投标文件的约束。</w:t>
      </w:r>
      <w:bookmarkEnd w:id="42"/>
      <w:r>
        <w:rPr>
          <w:rFonts w:hint="eastAsia"/>
          <w:szCs w:val="21"/>
        </w:rPr>
        <w:t>投标人：</w:t>
      </w:r>
      <w:r>
        <w:rPr>
          <w:rFonts w:hint="eastAsia"/>
          <w:szCs w:val="21"/>
          <w:u w:val="single"/>
        </w:rPr>
        <w:t xml:space="preserve">                   </w:t>
      </w:r>
      <w:r>
        <w:rPr>
          <w:rFonts w:hint="eastAsia"/>
          <w:szCs w:val="21"/>
        </w:rPr>
        <w:t xml:space="preserve">    单位地址：</w:t>
      </w:r>
      <w:r>
        <w:rPr>
          <w:rFonts w:hint="eastAsia"/>
          <w:szCs w:val="21"/>
          <w:u w:val="single"/>
        </w:rPr>
        <w:t xml:space="preserve">               </w:t>
      </w:r>
    </w:p>
    <w:p>
      <w:pPr>
        <w:ind w:left="540" w:leftChars="257"/>
        <w:rPr>
          <w:szCs w:val="21"/>
          <w:u w:val="single"/>
        </w:rPr>
      </w:pPr>
      <w:r>
        <w:rPr>
          <w:rFonts w:hint="eastAsia"/>
          <w:szCs w:val="21"/>
        </w:rPr>
        <w:t>法定代表人（负责人）或其委托代理人：</w:t>
      </w:r>
      <w:r>
        <w:rPr>
          <w:rFonts w:hint="eastAsia"/>
          <w:szCs w:val="21"/>
          <w:u w:val="single"/>
        </w:rPr>
        <w:t xml:space="preserve">                   </w:t>
      </w:r>
    </w:p>
    <w:p>
      <w:pPr>
        <w:ind w:left="540" w:leftChars="257"/>
        <w:rPr>
          <w:szCs w:val="21"/>
          <w:u w:val="single"/>
        </w:rPr>
      </w:pPr>
      <w:r>
        <w:rPr>
          <w:rFonts w:hint="eastAsia"/>
          <w:szCs w:val="21"/>
        </w:rPr>
        <w:t>邮政编码：</w:t>
      </w:r>
      <w:r>
        <w:rPr>
          <w:rFonts w:hint="eastAsia"/>
          <w:szCs w:val="21"/>
          <w:u w:val="single"/>
        </w:rPr>
        <w:t xml:space="preserve">          </w:t>
      </w:r>
      <w:r>
        <w:rPr>
          <w:rFonts w:hint="eastAsia"/>
          <w:szCs w:val="21"/>
        </w:rPr>
        <w:t xml:space="preserve">  电话：</w:t>
      </w:r>
      <w:r>
        <w:rPr>
          <w:rFonts w:hint="eastAsia"/>
          <w:szCs w:val="21"/>
          <w:u w:val="single"/>
        </w:rPr>
        <w:t xml:space="preserve">          </w:t>
      </w:r>
      <w:r>
        <w:rPr>
          <w:rFonts w:hint="eastAsia"/>
          <w:szCs w:val="21"/>
        </w:rPr>
        <w:t xml:space="preserve">  传真：</w:t>
      </w:r>
      <w:r>
        <w:rPr>
          <w:rFonts w:hint="eastAsia"/>
          <w:szCs w:val="21"/>
          <w:u w:val="single"/>
        </w:rPr>
        <w:t xml:space="preserve">            </w:t>
      </w:r>
    </w:p>
    <w:p>
      <w:pPr>
        <w:ind w:left="540" w:leftChars="257"/>
        <w:rPr>
          <w:szCs w:val="21"/>
        </w:rPr>
      </w:pPr>
      <w:r>
        <w:rPr>
          <w:rFonts w:hint="eastAsia"/>
          <w:szCs w:val="21"/>
        </w:rPr>
        <w:t>开户银行名称：</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rPr>
        <w:tab/>
      </w:r>
      <w:r>
        <w:rPr>
          <w:rFonts w:hint="eastAsia"/>
          <w:szCs w:val="21"/>
        </w:rPr>
        <w:t>开户银行账号：</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p>
    <w:p>
      <w:pPr>
        <w:ind w:left="540" w:leftChars="257"/>
        <w:rPr>
          <w:szCs w:val="21"/>
        </w:rPr>
      </w:pPr>
      <w:r>
        <w:rPr>
          <w:rFonts w:hint="eastAsia"/>
          <w:szCs w:val="21"/>
        </w:rPr>
        <w:t>开户银行地址：</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rPr>
        <w:tab/>
      </w:r>
      <w:r>
        <w:rPr>
          <w:rFonts w:hint="eastAsia"/>
          <w:szCs w:val="21"/>
        </w:rPr>
        <w:t>开户银行电话：</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p>
    <w:p>
      <w:pPr>
        <w:ind w:firstLine="539" w:firstLineChars="257"/>
        <w:rPr>
          <w:sz w:val="24"/>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r>
        <w:rPr>
          <w:rFonts w:hint="eastAsia"/>
          <w:sz w:val="24"/>
        </w:rPr>
        <w:t xml:space="preserve">                                </w:t>
      </w:r>
    </w:p>
    <w:p>
      <w:pPr>
        <w:rPr>
          <w:rFonts w:ascii="黑体" w:hAnsi="宋体" w:eastAsia="黑体"/>
        </w:rPr>
      </w:pPr>
    </w:p>
    <w:p>
      <w:pPr>
        <w:rPr>
          <w:rFonts w:ascii="宋体" w:hAnsi="宋体"/>
          <w:szCs w:val="21"/>
        </w:rPr>
      </w:pPr>
    </w:p>
    <w:p>
      <w:pPr>
        <w:rPr>
          <w:rFonts w:ascii="黑体" w:hAnsi="宋体" w:eastAsia="黑体"/>
        </w:rPr>
      </w:pPr>
    </w:p>
    <w:p>
      <w:pPr>
        <w:rPr>
          <w:rFonts w:ascii="黑体" w:hAnsi="宋体" w:eastAsia="黑体"/>
        </w:rPr>
      </w:pPr>
    </w:p>
    <w:p>
      <w:pPr>
        <w:rPr>
          <w:rFonts w:ascii="黑体" w:hAnsi="宋体" w:eastAsia="黑体"/>
        </w:rPr>
      </w:pPr>
    </w:p>
    <w:p>
      <w:pPr>
        <w:pStyle w:val="3"/>
        <w:jc w:val="center"/>
        <w:rPr>
          <w:rFonts w:ascii="黑体" w:eastAsia="黑体"/>
          <w:b w:val="0"/>
          <w:kern w:val="0"/>
          <w:sz w:val="24"/>
        </w:rPr>
      </w:pPr>
      <w:r>
        <w:rPr>
          <w:rFonts w:hint="eastAsia" w:ascii="黑体" w:eastAsia="黑体"/>
          <w:b w:val="0"/>
          <w:kern w:val="0"/>
          <w:sz w:val="24"/>
        </w:rPr>
        <w:t>二、政府采购投标及履约承诺函</w:t>
      </w:r>
    </w:p>
    <w:p>
      <w:pPr>
        <w:rPr>
          <w:rFonts w:ascii="宋体" w:hAnsi="宋体"/>
          <w:sz w:val="24"/>
        </w:rPr>
      </w:pPr>
    </w:p>
    <w:p>
      <w:pPr>
        <w:rPr>
          <w:rFonts w:ascii="宋体" w:hAnsi="宋体"/>
          <w:color w:val="000000" w:themeColor="text1"/>
          <w:szCs w:val="21"/>
        </w:rPr>
      </w:pPr>
      <w:r>
        <w:rPr>
          <w:rFonts w:hint="eastAsia" w:ascii="宋体" w:hAnsi="宋体"/>
          <w:color w:val="000000" w:themeColor="text1"/>
          <w:szCs w:val="21"/>
        </w:rPr>
        <w:t>致：</w:t>
      </w:r>
      <w:r>
        <w:rPr>
          <w:rFonts w:hint="eastAsia" w:ascii="宋体" w:hAnsi="宋体"/>
          <w:color w:val="000000" w:themeColor="text1"/>
          <w:szCs w:val="21"/>
          <w:u w:val="single"/>
        </w:rPr>
        <w:t>深圳公共资源交易中心</w:t>
      </w:r>
    </w:p>
    <w:p>
      <w:pPr>
        <w:ind w:right="-815" w:firstLine="420" w:firstLineChars="200"/>
        <w:rPr>
          <w:rFonts w:ascii="宋体" w:hAnsi="宋体"/>
          <w:szCs w:val="21"/>
        </w:rPr>
      </w:pPr>
      <w:r>
        <w:rPr>
          <w:rFonts w:hint="eastAsia" w:ascii="宋体" w:hAnsi="宋体"/>
          <w:szCs w:val="21"/>
        </w:rPr>
        <w:t>我单位承诺：</w:t>
      </w:r>
    </w:p>
    <w:p>
      <w:pPr>
        <w:ind w:firstLine="420" w:firstLineChars="200"/>
        <w:rPr>
          <w:rFonts w:ascii="宋体" w:hAnsi="宋体"/>
          <w:szCs w:val="21"/>
        </w:rPr>
      </w:pPr>
      <w:r>
        <w:rPr>
          <w:rFonts w:hint="eastAsia" w:ascii="宋体" w:hAnsi="宋体"/>
          <w:szCs w:val="21"/>
        </w:rPr>
        <w:t>1.我单位本招标项目所提供的货物或服务未侵犯知识产权。</w:t>
      </w:r>
    </w:p>
    <w:p>
      <w:pPr>
        <w:ind w:firstLine="420" w:firstLineChars="200"/>
        <w:rPr>
          <w:rFonts w:ascii="宋体" w:hAnsi="宋体"/>
          <w:szCs w:val="21"/>
        </w:rPr>
      </w:pPr>
      <w:r>
        <w:rPr>
          <w:rFonts w:hint="eastAsia" w:ascii="宋体" w:hAnsi="宋体"/>
          <w:szCs w:val="21"/>
        </w:rPr>
        <w:t>2.我单位参与本项目投标前三年内，在经营活动中没有重大违法记录。</w:t>
      </w:r>
    </w:p>
    <w:p>
      <w:pPr>
        <w:ind w:firstLine="420" w:firstLineChars="200"/>
        <w:rPr>
          <w:rFonts w:ascii="宋体" w:hAnsi="宋体"/>
          <w:szCs w:val="21"/>
        </w:rPr>
      </w:pPr>
      <w:r>
        <w:rPr>
          <w:rFonts w:hint="eastAsia" w:ascii="宋体" w:hAnsi="宋体"/>
          <w:szCs w:val="21"/>
        </w:rPr>
        <w:t>3.我单位参与本项目</w:t>
      </w:r>
      <w:r>
        <w:rPr>
          <w:rFonts w:hint="eastAsia"/>
        </w:rPr>
        <w:t>政府采购活动时不存在被有关部门禁止参与政府采购活动且在有效期内的情况。</w:t>
      </w:r>
    </w:p>
    <w:p>
      <w:pPr>
        <w:ind w:firstLine="420" w:firstLineChars="200"/>
        <w:rPr>
          <w:rFonts w:ascii="宋体" w:hAnsi="宋体"/>
          <w:szCs w:val="21"/>
        </w:rPr>
      </w:pPr>
      <w:r>
        <w:rPr>
          <w:rFonts w:hint="eastAsia" w:ascii="宋体" w:hAnsi="宋体"/>
          <w:szCs w:val="21"/>
        </w:rPr>
        <w:t>4.我单位具备《中华人民共和国政府采购法》第二十二条第一款规定的六项条件。</w:t>
      </w:r>
    </w:p>
    <w:p>
      <w:pPr>
        <w:ind w:firstLine="420" w:firstLineChars="200"/>
        <w:rPr>
          <w:rFonts w:ascii="宋体" w:hAnsi="宋体"/>
          <w:szCs w:val="21"/>
        </w:rPr>
      </w:pPr>
      <w:r>
        <w:rPr>
          <w:rFonts w:hint="eastAsia" w:ascii="宋体" w:hAnsi="宋体"/>
          <w:szCs w:val="21"/>
        </w:rPr>
        <w:t>5.我单位</w:t>
      </w:r>
      <w:r>
        <w:rPr>
          <w:rFonts w:hint="eastAsia"/>
        </w:rPr>
        <w:t>未被列入失信被执行人、重大税收违法案件当事人名单、政府采购严重违法失信行为记录名单</w:t>
      </w:r>
    </w:p>
    <w:p>
      <w:pPr>
        <w:ind w:firstLine="420" w:firstLineChars="200"/>
        <w:rPr>
          <w:rFonts w:ascii="宋体" w:hAnsi="宋体"/>
          <w:szCs w:val="21"/>
        </w:rPr>
      </w:pPr>
      <w:r>
        <w:rPr>
          <w:rFonts w:hint="eastAsia" w:ascii="宋体" w:hAnsi="宋体"/>
          <w:szCs w:val="21"/>
        </w:rPr>
        <w:t>6.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p>
    <w:p>
      <w:pPr>
        <w:ind w:firstLine="420" w:firstLineChars="200"/>
        <w:rPr>
          <w:rFonts w:ascii="宋体" w:hAnsi="宋体"/>
          <w:szCs w:val="21"/>
        </w:rPr>
      </w:pPr>
      <w:r>
        <w:rPr>
          <w:rFonts w:hint="eastAsia" w:ascii="宋体" w:hAnsi="宋体"/>
          <w:szCs w:val="21"/>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pPr>
        <w:ind w:firstLine="420" w:firstLineChars="200"/>
        <w:rPr>
          <w:rFonts w:ascii="宋体" w:hAnsi="宋体"/>
          <w:szCs w:val="21"/>
        </w:rPr>
      </w:pPr>
      <w:r>
        <w:rPr>
          <w:rFonts w:hint="eastAsia" w:ascii="宋体" w:hAnsi="宋体"/>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ind w:firstLine="420" w:firstLineChars="200"/>
        <w:rPr>
          <w:rFonts w:ascii="宋体" w:hAnsi="宋体"/>
          <w:szCs w:val="21"/>
        </w:rPr>
      </w:pPr>
      <w:r>
        <w:rPr>
          <w:rFonts w:ascii="宋体" w:hAnsi="宋体"/>
          <w:szCs w:val="21"/>
        </w:rPr>
        <w:t>8</w:t>
      </w:r>
      <w:r>
        <w:rPr>
          <w:rFonts w:hint="eastAsia" w:ascii="宋体" w:hAnsi="宋体"/>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pPr>
        <w:ind w:firstLine="420" w:firstLineChars="200"/>
        <w:rPr>
          <w:rFonts w:ascii="宋体" w:hAnsi="宋体"/>
          <w:szCs w:val="21"/>
        </w:rPr>
      </w:pPr>
      <w:r>
        <w:rPr>
          <w:rFonts w:ascii="宋体" w:hAnsi="宋体"/>
          <w:szCs w:val="21"/>
        </w:rPr>
        <w:t>9</w:t>
      </w:r>
      <w:r>
        <w:rPr>
          <w:rFonts w:hint="eastAsia" w:ascii="宋体" w:hAnsi="宋体"/>
          <w:szCs w:val="21"/>
        </w:rPr>
        <w:t>.我单位承诺中标后项目不转包，未经采购人同意不进行分包。</w:t>
      </w:r>
    </w:p>
    <w:p>
      <w:pPr>
        <w:ind w:firstLine="420" w:firstLineChars="200"/>
        <w:rPr>
          <w:rFonts w:ascii="宋体" w:hAnsi="宋体"/>
        </w:rPr>
      </w:pPr>
      <w:r>
        <w:rPr>
          <w:rFonts w:hint="eastAsia" w:ascii="宋体" w:hAnsi="宋体"/>
          <w:szCs w:val="21"/>
        </w:rPr>
        <w:t>1</w:t>
      </w:r>
      <w:r>
        <w:rPr>
          <w:rFonts w:ascii="宋体" w:hAnsi="宋体"/>
          <w:szCs w:val="21"/>
        </w:rPr>
        <w:t>0.</w:t>
      </w:r>
      <w:r>
        <w:rPr>
          <w:rFonts w:hint="eastAsia" w:ascii="宋体" w:hAnsi="宋体"/>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pPr>
        <w:ind w:firstLine="420" w:firstLineChars="200"/>
        <w:rPr>
          <w:rFonts w:ascii="宋体" w:hAnsi="宋体"/>
        </w:rPr>
      </w:pPr>
      <w:r>
        <w:rPr>
          <w:rFonts w:ascii="宋体" w:hAnsi="宋体"/>
        </w:rPr>
        <w:t>11.</w:t>
      </w:r>
      <w:r>
        <w:rPr>
          <w:rFonts w:hint="eastAsia" w:ascii="宋体" w:hAnsi="宋体"/>
        </w:rPr>
        <w:t>我单位保证，若所投货物涉及</w:t>
      </w:r>
      <w:r>
        <w:rPr>
          <w:rFonts w:ascii="宋体" w:hAnsi="宋体"/>
        </w:rPr>
        <w:t>《</w:t>
      </w:r>
      <w:r>
        <w:rPr>
          <w:rFonts w:hint="eastAsia" w:ascii="宋体" w:hAnsi="宋体"/>
        </w:rPr>
        <w:t>财政部生态环境部关于印发节能产品政府采购品目清单的通知》（财库〔20</w:t>
      </w:r>
      <w:r>
        <w:rPr>
          <w:rFonts w:ascii="宋体" w:hAnsi="宋体"/>
        </w:rPr>
        <w:t>19</w:t>
      </w:r>
      <w:r>
        <w:rPr>
          <w:rFonts w:hint="eastAsia" w:ascii="宋体" w:hAnsi="宋体"/>
        </w:rPr>
        <w:t>〕</w:t>
      </w:r>
      <w:r>
        <w:rPr>
          <w:rFonts w:ascii="宋体" w:hAnsi="宋体"/>
        </w:rPr>
        <w:t>19</w:t>
      </w:r>
      <w:r>
        <w:rPr>
          <w:rFonts w:hint="eastAsia" w:ascii="宋体" w:hAnsi="宋体"/>
        </w:rPr>
        <w:t>号）列明的政府采购强制产品，则所投该产品符合节能产品的认证要求。</w:t>
      </w:r>
    </w:p>
    <w:p>
      <w:pPr>
        <w:ind w:firstLine="420" w:firstLineChars="200"/>
        <w:rPr>
          <w:rFonts w:ascii="宋体" w:hAnsi="宋体"/>
          <w:szCs w:val="21"/>
        </w:rPr>
      </w:pPr>
      <w:r>
        <w:rPr>
          <w:rFonts w:hint="eastAsia" w:ascii="宋体" w:hAnsi="宋体"/>
          <w:szCs w:val="21"/>
        </w:rPr>
        <w:t>以上承诺，如有违反，愿依照国家相关法律法规处理，并承担由此给采购人带来的损失。</w:t>
      </w:r>
    </w:p>
    <w:p>
      <w:pPr>
        <w:spacing w:beforeLines="25" w:afterLines="25"/>
        <w:ind w:firstLine="5460" w:firstLineChars="2600"/>
        <w:rPr>
          <w:rFonts w:ascii="宋体" w:hAnsi="宋体"/>
          <w:szCs w:val="21"/>
        </w:rPr>
      </w:pPr>
      <w:r>
        <w:rPr>
          <w:rFonts w:hint="eastAsia" w:ascii="宋体" w:hAnsi="宋体"/>
          <w:szCs w:val="21"/>
        </w:rPr>
        <w:t xml:space="preserve">                                    </w:t>
      </w:r>
    </w:p>
    <w:p>
      <w:pPr>
        <w:spacing w:beforeLines="25" w:afterLines="25"/>
        <w:ind w:firstLine="5460" w:firstLineChars="2600"/>
        <w:rPr>
          <w:color w:val="000000" w:themeColor="text1"/>
        </w:rPr>
      </w:pPr>
      <w:r>
        <w:rPr>
          <w:rFonts w:hint="eastAsia"/>
          <w:color w:val="000000" w:themeColor="text1"/>
          <w:szCs w:val="21"/>
        </w:rPr>
        <w:t>投标人：</w:t>
      </w:r>
      <w:r>
        <w:rPr>
          <w:rFonts w:hint="eastAsia"/>
          <w:color w:val="000000" w:themeColor="text1"/>
          <w:szCs w:val="21"/>
          <w:u w:val="single"/>
        </w:rPr>
        <w:t xml:space="preserve">              </w:t>
      </w:r>
    </w:p>
    <w:p>
      <w:pPr>
        <w:ind w:firstLine="645"/>
        <w:rPr>
          <w:rFonts w:ascii="宋体" w:hAnsi="宋体"/>
          <w:color w:val="000000" w:themeColor="text1"/>
          <w:szCs w:val="21"/>
        </w:rPr>
      </w:pPr>
      <w:r>
        <w:rPr>
          <w:rFonts w:hint="eastAsia" w:ascii="宋体" w:hAnsi="宋体"/>
          <w:color w:val="000000" w:themeColor="text1"/>
          <w:szCs w:val="21"/>
        </w:rPr>
        <w:t xml:space="preserve">                                              日期：</w:t>
      </w:r>
      <w:r>
        <w:rPr>
          <w:rFonts w:hint="eastAsia" w:ascii="宋体" w:hAnsi="宋体"/>
          <w:color w:val="000000" w:themeColor="text1"/>
          <w:szCs w:val="21"/>
          <w:u w:val="single"/>
        </w:rPr>
        <w:t xml:space="preserve">    </w:t>
      </w:r>
      <w:r>
        <w:rPr>
          <w:rFonts w:hint="eastAsia" w:ascii="宋体" w:hAnsi="宋体"/>
          <w:color w:val="000000" w:themeColor="text1"/>
          <w:szCs w:val="21"/>
        </w:rPr>
        <w:t>年</w:t>
      </w:r>
      <w:r>
        <w:rPr>
          <w:rFonts w:hint="eastAsia" w:ascii="宋体" w:hAnsi="宋体"/>
          <w:color w:val="000000" w:themeColor="text1"/>
          <w:szCs w:val="21"/>
          <w:u w:val="single"/>
        </w:rPr>
        <w:t xml:space="preserve">   </w:t>
      </w:r>
      <w:r>
        <w:rPr>
          <w:rFonts w:hint="eastAsia" w:ascii="宋体" w:hAnsi="宋体"/>
          <w:color w:val="000000" w:themeColor="text1"/>
          <w:szCs w:val="21"/>
        </w:rPr>
        <w:t>月</w:t>
      </w:r>
      <w:r>
        <w:rPr>
          <w:rFonts w:hint="eastAsia" w:ascii="宋体" w:hAnsi="宋体"/>
          <w:color w:val="000000" w:themeColor="text1"/>
          <w:szCs w:val="21"/>
          <w:u w:val="single"/>
        </w:rPr>
        <w:t xml:space="preserve">   </w:t>
      </w:r>
      <w:r>
        <w:rPr>
          <w:rFonts w:hint="eastAsia" w:ascii="宋体" w:hAnsi="宋体"/>
          <w:color w:val="000000" w:themeColor="text1"/>
          <w:szCs w:val="21"/>
        </w:rPr>
        <w:t>日</w:t>
      </w:r>
    </w:p>
    <w:p>
      <w:pPr>
        <w:rPr>
          <w:rFonts w:ascii="宋体" w:hAnsi="宋体"/>
          <w:szCs w:val="21"/>
        </w:rPr>
      </w:pPr>
    </w:p>
    <w:p>
      <w:pPr>
        <w:rPr>
          <w:rFonts w:ascii="宋体" w:hAnsi="宋体"/>
          <w:szCs w:val="21"/>
        </w:rPr>
      </w:pPr>
    </w:p>
    <w:p/>
    <w:p/>
    <w:p>
      <w:pPr>
        <w:pStyle w:val="3"/>
        <w:spacing w:before="120" w:after="120"/>
        <w:jc w:val="center"/>
        <w:rPr>
          <w:rFonts w:ascii="黑体" w:eastAsia="黑体"/>
          <w:b w:val="0"/>
          <w:kern w:val="0"/>
          <w:sz w:val="24"/>
        </w:rPr>
      </w:pPr>
      <w:r>
        <w:rPr>
          <w:rFonts w:hint="eastAsia" w:ascii="黑体" w:eastAsia="黑体"/>
          <w:b w:val="0"/>
          <w:kern w:val="0"/>
          <w:sz w:val="24"/>
        </w:rPr>
        <w:t>三、投标人情况及资格证明文件</w:t>
      </w:r>
    </w:p>
    <w:p>
      <w:pPr>
        <w:ind w:firstLine="2640" w:firstLineChars="1100"/>
        <w:outlineLvl w:val="3"/>
        <w:rPr>
          <w:rFonts w:ascii="黑体" w:hAnsi="宋体" w:eastAsia="黑体"/>
          <w:bCs/>
          <w:kern w:val="0"/>
          <w:sz w:val="24"/>
          <w:szCs w:val="32"/>
        </w:rPr>
      </w:pPr>
      <w:r>
        <w:rPr>
          <w:rFonts w:hint="eastAsia" w:ascii="黑体" w:hAnsi="宋体" w:eastAsia="黑体"/>
          <w:bCs/>
          <w:kern w:val="0"/>
          <w:sz w:val="24"/>
          <w:szCs w:val="32"/>
        </w:rPr>
        <w:t>（一）投标人资格证明文件</w:t>
      </w:r>
    </w:p>
    <w:p>
      <w:pPr>
        <w:spacing w:beforeLines="50"/>
        <w:ind w:firstLine="422" w:firstLineChars="200"/>
        <w:rPr>
          <w:b/>
          <w:bCs/>
          <w:color w:val="FF0000"/>
        </w:rPr>
      </w:pPr>
      <w:r>
        <w:rPr>
          <w:rFonts w:hint="eastAsia"/>
          <w:b/>
          <w:bCs/>
          <w:color w:val="FF0000"/>
        </w:rPr>
        <w:t>（特别提示：投标人须按本招标文件第一册第一章招标公告 “申请人的资格要求”（即投标人资格要求）提供相关的资格证明资料，未提供或提供不完整、不符合要求的，将作投标无效处理。）</w:t>
      </w:r>
    </w:p>
    <w:p>
      <w:pPr>
        <w:ind w:firstLine="482" w:firstLineChars="200"/>
        <w:rPr>
          <w:b/>
          <w:sz w:val="24"/>
        </w:rPr>
      </w:pPr>
    </w:p>
    <w:p>
      <w:pPr>
        <w:ind w:firstLine="480" w:firstLineChars="200"/>
        <w:outlineLvl w:val="3"/>
        <w:rPr>
          <w:rFonts w:ascii="黑体" w:hAnsi="宋体" w:eastAsia="黑体"/>
          <w:bCs/>
          <w:kern w:val="0"/>
          <w:sz w:val="24"/>
          <w:szCs w:val="32"/>
        </w:rPr>
      </w:pPr>
    </w:p>
    <w:p>
      <w:pPr>
        <w:ind w:firstLine="480" w:firstLineChars="200"/>
        <w:outlineLvl w:val="3"/>
        <w:rPr>
          <w:rFonts w:ascii="黑体" w:hAnsi="宋体" w:eastAsia="黑体"/>
          <w:bCs/>
          <w:kern w:val="0"/>
          <w:sz w:val="24"/>
          <w:szCs w:val="32"/>
        </w:rPr>
      </w:pPr>
      <w:r>
        <w:rPr>
          <w:rFonts w:hint="eastAsia" w:ascii="黑体" w:hAnsi="宋体" w:eastAsia="黑体"/>
          <w:bCs/>
          <w:kern w:val="0"/>
          <w:sz w:val="24"/>
          <w:szCs w:val="32"/>
        </w:rPr>
        <w:t>（二）中小企业声明函、残疾人福利性单位声明函及监狱企业声明函</w:t>
      </w:r>
    </w:p>
    <w:p>
      <w:pPr>
        <w:jc w:val="left"/>
        <w:outlineLvl w:val="3"/>
        <w:rPr>
          <w:rFonts w:ascii="黑体" w:hAnsi="宋体" w:eastAsia="黑体"/>
          <w:bCs/>
          <w:kern w:val="0"/>
          <w:sz w:val="24"/>
          <w:szCs w:val="32"/>
        </w:rPr>
      </w:pPr>
    </w:p>
    <w:p>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填写指引：</w:t>
      </w:r>
    </w:p>
    <w:p>
      <w:pPr>
        <w:ind w:firstLine="420" w:firstLineChars="200"/>
        <w:outlineLvl w:val="3"/>
        <w:rPr>
          <w:rFonts w:ascii="黑体" w:hAnsi="黑体" w:eastAsia="黑体"/>
          <w:color w:val="FF0000"/>
          <w:szCs w:val="21"/>
        </w:rPr>
      </w:pPr>
      <w:r>
        <w:rPr>
          <w:rFonts w:hint="eastAsia" w:ascii="黑体" w:hAnsi="宋体" w:eastAsia="黑体"/>
          <w:bCs/>
          <w:color w:val="FF0000"/>
          <w:kern w:val="0"/>
          <w:szCs w:val="21"/>
        </w:rPr>
        <w:t>1、该部分内容由投标人根据自身实际情况填写，不符合要求的投标人可以不填写或直接删除相应的声明函。</w:t>
      </w:r>
      <w:r>
        <w:rPr>
          <w:rFonts w:hint="eastAsia" w:ascii="黑体" w:hAnsi="黑体" w:eastAsia="黑体"/>
          <w:color w:val="FF0000"/>
          <w:szCs w:val="21"/>
        </w:rPr>
        <w:t>投标人提供的声明函不属实的，属于提供虚假资料谋取中标，依照《中华人民共和国政府采购法》等国家有关规定追究相应责任。</w:t>
      </w:r>
    </w:p>
    <w:p>
      <w:pPr>
        <w:ind w:firstLine="420" w:firstLineChars="200"/>
        <w:outlineLvl w:val="3"/>
        <w:rPr>
          <w:rFonts w:ascii="黑体" w:hAnsi="黑体" w:eastAsia="黑体"/>
          <w:color w:val="FF0000"/>
          <w:szCs w:val="21"/>
        </w:rPr>
      </w:pPr>
      <w:r>
        <w:rPr>
          <w:rFonts w:hint="eastAsia" w:ascii="黑体" w:hAnsi="黑体" w:eastAsia="黑体"/>
          <w:color w:val="FF0000"/>
          <w:szCs w:val="21"/>
        </w:rPr>
        <w:t>2、该部分内容填写需要参考的相关文件：(</w:t>
      </w:r>
      <w:r>
        <w:rPr>
          <w:rFonts w:ascii="黑体" w:hAnsi="黑体" w:eastAsia="黑体"/>
          <w:color w:val="FF0000"/>
          <w:szCs w:val="21"/>
        </w:rPr>
        <w:t>1</w:t>
      </w:r>
      <w:r>
        <w:rPr>
          <w:rFonts w:hint="eastAsia" w:ascii="黑体" w:hAnsi="黑体" w:eastAsia="黑体"/>
          <w:color w:val="FF0000"/>
          <w:szCs w:val="21"/>
        </w:rPr>
        <w:t>)财政部《政府采购促进中小企业发展管理办法》（财库〔2020〕46号）；(</w:t>
      </w:r>
      <w:r>
        <w:rPr>
          <w:rFonts w:ascii="黑体" w:hAnsi="黑体" w:eastAsia="黑体"/>
          <w:color w:val="FF0000"/>
          <w:szCs w:val="21"/>
        </w:rPr>
        <w:t>2</w:t>
      </w:r>
      <w:r>
        <w:rPr>
          <w:rFonts w:hint="eastAsia" w:ascii="黑体" w:hAnsi="黑体" w:eastAsia="黑体"/>
          <w:color w:val="FF0000"/>
          <w:szCs w:val="21"/>
        </w:rPr>
        <w:t>)</w:t>
      </w:r>
      <w:bookmarkStart w:id="44" w:name="_Hlk71925120"/>
      <w:r>
        <w:rPr>
          <w:rFonts w:hint="eastAsia" w:ascii="黑体" w:hAnsi="黑体" w:eastAsia="黑体"/>
          <w:color w:val="FF0000"/>
          <w:szCs w:val="21"/>
        </w:rPr>
        <w:t>《工业和信息化部、国家统计局、国家发展和改革委员会、财政部关于印发中小企业划型标准规定的通知》（工信部联企业〔2011〕300 号</w:t>
      </w:r>
      <w:bookmarkEnd w:id="44"/>
      <w:r>
        <w:rPr>
          <w:rFonts w:hint="eastAsia" w:ascii="黑体" w:hAnsi="黑体" w:eastAsia="黑体"/>
          <w:color w:val="FF0000"/>
          <w:szCs w:val="21"/>
        </w:rPr>
        <w:t>，以下简称3</w:t>
      </w:r>
      <w:r>
        <w:rPr>
          <w:rFonts w:ascii="黑体" w:hAnsi="黑体" w:eastAsia="黑体"/>
          <w:color w:val="FF0000"/>
          <w:szCs w:val="21"/>
        </w:rPr>
        <w:t>00</w:t>
      </w:r>
      <w:r>
        <w:rPr>
          <w:rFonts w:hint="eastAsia" w:ascii="黑体" w:hAnsi="黑体" w:eastAsia="黑体"/>
          <w:color w:val="FF0000"/>
          <w:szCs w:val="21"/>
        </w:rPr>
        <w:t>号文）。</w:t>
      </w:r>
    </w:p>
    <w:p>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3、请依照提供的格式和内容填写声明函，不要随意变更格式；声明函不需要盖章或签字；</w:t>
      </w:r>
      <w:r>
        <w:rPr>
          <w:rFonts w:hint="eastAsia" w:ascii="黑体" w:hAnsi="黑体" w:eastAsia="黑体"/>
          <w:color w:val="FF0000"/>
          <w:szCs w:val="21"/>
        </w:rPr>
        <w:t>满足多项优惠政策的投标人，不重复享受多项价格扣除政策。</w:t>
      </w:r>
    </w:p>
    <w:p>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4、声明函具体填写要求：</w:t>
      </w:r>
    </w:p>
    <w:p>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（1）声明是中小企业须填写《中小企业声明函》的以下内容：</w:t>
      </w:r>
    </w:p>
    <w:p>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第一处，在“单位名称”下划线处如实填写采购人名称（深圳公共资源交易中心不是本项目的采购人，而是组织实施机构）；</w:t>
      </w:r>
    </w:p>
    <w:p>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第二处，在“项目名称”下划线处如实填写采购项目名称；</w:t>
      </w:r>
    </w:p>
    <w:p>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第三处，在“标的名称”下划线处填写所采购服务（标的）的具体名称（以</w:t>
      </w:r>
      <w:bookmarkStart w:id="45" w:name="_Hlk72259001"/>
      <w:r>
        <w:rPr>
          <w:rFonts w:hint="eastAsia" w:ascii="黑体" w:hAnsi="宋体" w:eastAsia="黑体"/>
          <w:bCs/>
          <w:color w:val="FF0000"/>
          <w:kern w:val="0"/>
          <w:szCs w:val="21"/>
        </w:rPr>
        <w:t>招标文件第一册第三章</w:t>
      </w:r>
      <w:bookmarkEnd w:id="45"/>
      <w:r>
        <w:rPr>
          <w:rFonts w:hint="eastAsia" w:ascii="黑体" w:hAnsi="宋体" w:eastAsia="黑体"/>
          <w:bCs/>
          <w:color w:val="FF0000"/>
          <w:kern w:val="0"/>
          <w:szCs w:val="21"/>
        </w:rPr>
        <w:t>用户需求书“服务需求明细”的“服务需求名称”一栏为准）；如果涉及多个服务需求（标的）由同一企业承接，“标的名称”下划线处可以如实填写多个服务需求（标的）；</w:t>
      </w:r>
    </w:p>
    <w:p>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第四处，在“招标文件中明确的所属行业”下划线处填写采购标的对应的中小企业划分标准所属行业（所属行业可在招标文件第一册第二章“对通用条款的补充内容及其他关键信息”章节查看）；</w:t>
      </w:r>
    </w:p>
    <w:p>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第五处，在“企业名称”下划线处如实填写承接企业名称；在“从业人员”、“营业收入”、“资产总额”下划线处如实填写从业人员、营业收入、资产总额；在“中型企业、小型企业、微型企业”下划线处如实依照300号文填写相应的企业类型；从业人员、营业收入、资产总额填报上一年度数据，无上一年度数据的新成立企业可以不填报。</w:t>
      </w:r>
    </w:p>
    <w:p>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（2）声明是残疾人福利性单位须填写《残疾人福利性单位声明函》的相关内容（填写位置的字体已加粗），具体参照以上《中小企业声明函》填写要求执行。</w:t>
      </w:r>
    </w:p>
    <w:p>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（3）声明是监狱企业须填写《监狱企业声明函》的相关内容（填写位置的字体已加粗），具体参照以上《中小企业声明函》填写要求执行。</w:t>
      </w:r>
    </w:p>
    <w:p>
      <w:pPr>
        <w:ind w:firstLine="420" w:firstLineChars="200"/>
      </w:pPr>
      <w:r>
        <w:rPr>
          <w:rFonts w:hint="eastAsia" w:ascii="黑体" w:hAnsi="宋体" w:eastAsia="黑体"/>
          <w:bCs/>
          <w:color w:val="FF0000"/>
          <w:kern w:val="0"/>
          <w:szCs w:val="21"/>
        </w:rPr>
        <w:t>5、声明函的有效性最终由评审委员会判定；如评审委员会判定声明函无效，相关供应商不享受</w:t>
      </w:r>
      <w:r>
        <w:rPr>
          <w:rFonts w:hint="eastAsia" w:ascii="黑体" w:hAnsi="黑体" w:eastAsia="黑体"/>
          <w:color w:val="FF0000"/>
          <w:szCs w:val="21"/>
        </w:rPr>
        <w:t>价格扣除</w:t>
      </w:r>
      <w:r>
        <w:rPr>
          <w:rFonts w:hint="eastAsia" w:ascii="黑体" w:hAnsi="宋体" w:eastAsia="黑体"/>
          <w:bCs/>
          <w:color w:val="FF0000"/>
          <w:kern w:val="0"/>
          <w:szCs w:val="21"/>
        </w:rPr>
        <w:t>（但不作投标无效处理）。</w:t>
      </w:r>
    </w:p>
    <w:p>
      <w:pPr>
        <w:ind w:firstLine="420" w:firstLineChars="200"/>
      </w:pPr>
    </w:p>
    <w:p>
      <w:pPr>
        <w:jc w:val="center"/>
        <w:outlineLvl w:val="3"/>
        <w:rPr>
          <w:b/>
          <w:sz w:val="24"/>
        </w:rPr>
      </w:pPr>
      <w:r>
        <w:rPr>
          <w:rFonts w:hint="eastAsia"/>
          <w:b/>
          <w:sz w:val="24"/>
        </w:rPr>
        <w:t>1、</w:t>
      </w:r>
      <w:r>
        <w:rPr>
          <w:b/>
          <w:sz w:val="24"/>
        </w:rPr>
        <w:t>中小企业声明函（</w:t>
      </w:r>
      <w:r>
        <w:rPr>
          <w:rFonts w:hint="eastAsia"/>
          <w:b/>
          <w:sz w:val="24"/>
        </w:rPr>
        <w:t>服务</w:t>
      </w:r>
      <w:r>
        <w:rPr>
          <w:b/>
          <w:sz w:val="24"/>
        </w:rPr>
        <w:t xml:space="preserve">） </w:t>
      </w:r>
    </w:p>
    <w:p>
      <w:pPr>
        <w:ind w:firstLine="420" w:firstLineChars="200"/>
        <w:outlineLvl w:val="3"/>
        <w:rPr>
          <w:rFonts w:ascii="宋体" w:hAnsi="宋体"/>
          <w:szCs w:val="21"/>
        </w:rPr>
      </w:pPr>
      <w:r>
        <w:rPr>
          <w:rFonts w:ascii="宋体" w:hAnsi="宋体" w:cstheme="minorBidi"/>
          <w:szCs w:val="21"/>
        </w:rPr>
        <w:t>本</w:t>
      </w:r>
      <w:r>
        <w:rPr>
          <w:rFonts w:hint="eastAsia" w:ascii="宋体" w:hAnsi="宋体" w:cstheme="minorBidi"/>
          <w:szCs w:val="21"/>
        </w:rPr>
        <w:t>投标人</w:t>
      </w:r>
      <w:r>
        <w:rPr>
          <w:rFonts w:ascii="宋体" w:hAnsi="宋体" w:cstheme="minorBidi"/>
          <w:szCs w:val="21"/>
        </w:rPr>
        <w:t>郑重声明，根据《政府采购促进中小企业发展管理办法》（财库</w:t>
      </w:r>
      <w:r>
        <w:rPr>
          <w:rFonts w:hint="eastAsia" w:ascii="宋体" w:hAnsi="宋体" w:cs="微软雅黑"/>
          <w:szCs w:val="21"/>
        </w:rPr>
        <w:t>﹝</w:t>
      </w:r>
      <w:r>
        <w:rPr>
          <w:rFonts w:ascii="宋体" w:hAnsi="宋体" w:cstheme="minorBidi"/>
          <w:szCs w:val="21"/>
        </w:rPr>
        <w:t>2020</w:t>
      </w:r>
      <w:r>
        <w:rPr>
          <w:rFonts w:hint="eastAsia" w:ascii="宋体" w:hAnsi="宋体" w:cs="微软雅黑"/>
          <w:szCs w:val="21"/>
        </w:rPr>
        <w:t>﹞</w:t>
      </w:r>
      <w:r>
        <w:rPr>
          <w:rFonts w:ascii="宋体" w:hAnsi="宋体" w:cstheme="minorBidi"/>
          <w:szCs w:val="21"/>
        </w:rPr>
        <w:t>46 号）的规定，本</w:t>
      </w:r>
      <w:r>
        <w:rPr>
          <w:rFonts w:hint="eastAsia" w:ascii="宋体" w:hAnsi="宋体" w:cstheme="minorBidi"/>
          <w:szCs w:val="21"/>
        </w:rPr>
        <w:t>投标人</w:t>
      </w:r>
      <w:r>
        <w:rPr>
          <w:rFonts w:ascii="宋体" w:hAnsi="宋体" w:cstheme="minorBidi"/>
          <w:szCs w:val="21"/>
        </w:rPr>
        <w:t>参加</w:t>
      </w:r>
      <w:r>
        <w:rPr>
          <w:rFonts w:ascii="宋体" w:hAnsi="宋体"/>
          <w:b/>
          <w:bCs/>
          <w:szCs w:val="21"/>
          <w:u w:val="single"/>
        </w:rPr>
        <w:t>（</w:t>
      </w:r>
      <w:r>
        <w:rPr>
          <w:rFonts w:hint="eastAsia" w:ascii="宋体" w:hAnsi="宋体"/>
          <w:b/>
          <w:bCs/>
          <w:szCs w:val="21"/>
          <w:u w:val="single"/>
        </w:rPr>
        <w:t>采购人</w:t>
      </w:r>
      <w:r>
        <w:rPr>
          <w:rFonts w:ascii="宋体" w:hAnsi="宋体"/>
          <w:b/>
          <w:bCs/>
          <w:szCs w:val="21"/>
          <w:u w:val="single"/>
        </w:rPr>
        <w:t>名称）</w:t>
      </w:r>
      <w:r>
        <w:rPr>
          <w:rFonts w:ascii="宋体" w:hAnsi="宋体"/>
          <w:szCs w:val="21"/>
        </w:rPr>
        <w:t>的</w:t>
      </w:r>
      <w:r>
        <w:rPr>
          <w:rFonts w:ascii="宋体" w:hAnsi="宋体"/>
          <w:b/>
          <w:bCs/>
          <w:szCs w:val="21"/>
          <w:u w:val="single"/>
        </w:rPr>
        <w:t>（项目名称）</w:t>
      </w:r>
      <w:r>
        <w:rPr>
          <w:rFonts w:ascii="宋体" w:hAnsi="宋体"/>
          <w:szCs w:val="21"/>
        </w:rPr>
        <w:t>采购活动，</w:t>
      </w:r>
      <w:r>
        <w:rPr>
          <w:rFonts w:hint="eastAsia" w:ascii="宋体" w:hAnsi="宋体"/>
          <w:szCs w:val="21"/>
        </w:rPr>
        <w:t>服务</w:t>
      </w:r>
      <w:r>
        <w:rPr>
          <w:rFonts w:ascii="宋体" w:hAnsi="宋体"/>
          <w:szCs w:val="21"/>
        </w:rPr>
        <w:t>全部由符合政策要求的中小企业</w:t>
      </w:r>
      <w:r>
        <w:rPr>
          <w:rFonts w:hint="eastAsia" w:ascii="宋体" w:hAnsi="宋体"/>
          <w:szCs w:val="21"/>
        </w:rPr>
        <w:t>承接</w:t>
      </w:r>
      <w:r>
        <w:rPr>
          <w:rFonts w:ascii="宋体" w:hAnsi="宋体"/>
          <w:szCs w:val="21"/>
        </w:rPr>
        <w:t>。相关企业的具体情况如下：</w:t>
      </w:r>
    </w:p>
    <w:p>
      <w:pPr>
        <w:ind w:firstLine="420" w:firstLineChars="200"/>
        <w:outlineLvl w:val="3"/>
        <w:rPr>
          <w:rFonts w:ascii="宋体" w:hAnsi="宋体"/>
          <w:szCs w:val="21"/>
        </w:rPr>
      </w:pPr>
      <w:r>
        <w:rPr>
          <w:rFonts w:ascii="宋体" w:hAnsi="宋体"/>
          <w:szCs w:val="21"/>
        </w:rPr>
        <w:t>1.</w:t>
      </w:r>
      <w:r>
        <w:rPr>
          <w:rFonts w:ascii="宋体" w:hAnsi="宋体"/>
          <w:b/>
          <w:bCs/>
          <w:szCs w:val="21"/>
          <w:u w:val="single"/>
        </w:rPr>
        <w:t xml:space="preserve"> （标的名称）</w:t>
      </w:r>
      <w:r>
        <w:rPr>
          <w:rFonts w:ascii="宋体" w:hAnsi="宋体"/>
          <w:szCs w:val="21"/>
        </w:rPr>
        <w:t xml:space="preserve"> ，属于</w:t>
      </w:r>
      <w:r>
        <w:rPr>
          <w:rFonts w:ascii="宋体" w:hAnsi="宋体"/>
          <w:b/>
          <w:bCs/>
          <w:szCs w:val="21"/>
          <w:u w:val="single"/>
        </w:rPr>
        <w:t>（</w:t>
      </w:r>
      <w:r>
        <w:rPr>
          <w:rFonts w:hint="eastAsia" w:ascii="宋体" w:hAnsi="宋体"/>
          <w:b/>
          <w:bCs/>
          <w:szCs w:val="21"/>
          <w:u w:val="single"/>
        </w:rPr>
        <w:t>招标</w:t>
      </w:r>
      <w:r>
        <w:rPr>
          <w:rFonts w:ascii="宋体" w:hAnsi="宋体"/>
          <w:b/>
          <w:bCs/>
          <w:szCs w:val="21"/>
          <w:u w:val="single"/>
        </w:rPr>
        <w:t xml:space="preserve">文件中明确的所属行业） </w:t>
      </w:r>
      <w:r>
        <w:rPr>
          <w:rFonts w:ascii="宋体" w:hAnsi="宋体"/>
          <w:szCs w:val="21"/>
        </w:rPr>
        <w:t>行业；</w:t>
      </w:r>
      <w:r>
        <w:rPr>
          <w:rFonts w:hint="eastAsia" w:ascii="宋体" w:hAnsi="宋体"/>
          <w:szCs w:val="21"/>
        </w:rPr>
        <w:t>承接企业</w:t>
      </w:r>
      <w:r>
        <w:rPr>
          <w:rFonts w:ascii="宋体" w:hAnsi="宋体"/>
          <w:szCs w:val="21"/>
        </w:rPr>
        <w:t>为</w:t>
      </w:r>
      <w:r>
        <w:rPr>
          <w:rFonts w:ascii="宋体" w:hAnsi="宋体"/>
          <w:b/>
          <w:bCs/>
          <w:szCs w:val="21"/>
          <w:u w:val="single"/>
        </w:rPr>
        <w:t>（企业名称）</w:t>
      </w:r>
      <w:r>
        <w:rPr>
          <w:rFonts w:ascii="宋体" w:hAnsi="宋体"/>
          <w:szCs w:val="21"/>
        </w:rPr>
        <w:t>，从业人员</w:t>
      </w:r>
      <w:r>
        <w:rPr>
          <w:rFonts w:ascii="宋体" w:hAnsi="宋体"/>
          <w:b/>
          <w:bCs/>
          <w:szCs w:val="21"/>
          <w:u w:val="single"/>
        </w:rPr>
        <w:t xml:space="preserve">  </w:t>
      </w:r>
      <w:r>
        <w:rPr>
          <w:rFonts w:ascii="宋体" w:hAnsi="宋体"/>
          <w:szCs w:val="21"/>
        </w:rPr>
        <w:t>人，营业收入为</w:t>
      </w:r>
      <w:r>
        <w:rPr>
          <w:rFonts w:ascii="宋体" w:hAnsi="宋体"/>
          <w:b/>
          <w:bCs/>
          <w:szCs w:val="21"/>
          <w:u w:val="single"/>
        </w:rPr>
        <w:t xml:space="preserve">  </w:t>
      </w:r>
      <w:r>
        <w:rPr>
          <w:rFonts w:ascii="宋体" w:hAnsi="宋体"/>
          <w:szCs w:val="21"/>
        </w:rPr>
        <w:t>万元，资产总额为</w:t>
      </w:r>
      <w:r>
        <w:rPr>
          <w:rFonts w:hint="eastAsia" w:ascii="宋体" w:hAnsi="宋体"/>
          <w:b/>
          <w:bCs/>
          <w:szCs w:val="21"/>
          <w:u w:val="single"/>
        </w:rPr>
        <w:t xml:space="preserve"> </w:t>
      </w:r>
      <w:r>
        <w:rPr>
          <w:rFonts w:ascii="宋体" w:hAnsi="宋体"/>
          <w:b/>
          <w:bCs/>
          <w:szCs w:val="21"/>
          <w:u w:val="single"/>
        </w:rPr>
        <w:t xml:space="preserve"> </w:t>
      </w:r>
      <w:r>
        <w:rPr>
          <w:rFonts w:ascii="宋体" w:hAnsi="宋体"/>
          <w:szCs w:val="21"/>
        </w:rPr>
        <w:t>万元 ，属于</w:t>
      </w:r>
      <w:r>
        <w:rPr>
          <w:rFonts w:ascii="宋体" w:hAnsi="宋体"/>
          <w:b/>
          <w:bCs/>
          <w:szCs w:val="21"/>
          <w:u w:val="single"/>
        </w:rPr>
        <w:t>（中型企业、小型企业、微型企业）</w:t>
      </w:r>
      <w:r>
        <w:rPr>
          <w:rFonts w:ascii="宋体" w:hAnsi="宋体"/>
          <w:szCs w:val="21"/>
        </w:rPr>
        <w:t xml:space="preserve">； </w:t>
      </w:r>
    </w:p>
    <w:p>
      <w:pPr>
        <w:ind w:firstLine="420" w:firstLineChars="200"/>
        <w:outlineLvl w:val="3"/>
        <w:rPr>
          <w:rFonts w:ascii="宋体" w:hAnsi="宋体"/>
          <w:szCs w:val="21"/>
          <w:u w:val="single"/>
        </w:rPr>
      </w:pPr>
      <w:r>
        <w:rPr>
          <w:rFonts w:ascii="宋体" w:hAnsi="宋体"/>
          <w:szCs w:val="21"/>
        </w:rPr>
        <w:t>2.</w:t>
      </w:r>
      <w:r>
        <w:rPr>
          <w:rFonts w:ascii="宋体" w:hAnsi="宋体"/>
          <w:b/>
          <w:bCs/>
          <w:szCs w:val="21"/>
          <w:u w:val="single"/>
        </w:rPr>
        <w:t xml:space="preserve"> （标的名称）</w:t>
      </w:r>
      <w:r>
        <w:rPr>
          <w:rFonts w:ascii="宋体" w:hAnsi="宋体"/>
          <w:szCs w:val="21"/>
        </w:rPr>
        <w:t xml:space="preserve"> ，属于</w:t>
      </w:r>
      <w:r>
        <w:rPr>
          <w:rFonts w:ascii="宋体" w:hAnsi="宋体"/>
          <w:b/>
          <w:bCs/>
          <w:szCs w:val="21"/>
          <w:u w:val="single"/>
        </w:rPr>
        <w:t>（</w:t>
      </w:r>
      <w:r>
        <w:rPr>
          <w:rFonts w:hint="eastAsia" w:ascii="宋体" w:hAnsi="宋体"/>
          <w:b/>
          <w:bCs/>
          <w:szCs w:val="21"/>
          <w:u w:val="single"/>
        </w:rPr>
        <w:t>招标</w:t>
      </w:r>
      <w:r>
        <w:rPr>
          <w:rFonts w:ascii="宋体" w:hAnsi="宋体"/>
          <w:b/>
          <w:bCs/>
          <w:szCs w:val="21"/>
          <w:u w:val="single"/>
        </w:rPr>
        <w:t xml:space="preserve">文件中明确的所属行业） </w:t>
      </w:r>
      <w:r>
        <w:rPr>
          <w:rFonts w:ascii="宋体" w:hAnsi="宋体"/>
          <w:szCs w:val="21"/>
        </w:rPr>
        <w:t>行业；</w:t>
      </w:r>
      <w:r>
        <w:rPr>
          <w:rFonts w:hint="eastAsia" w:ascii="宋体" w:hAnsi="宋体"/>
          <w:szCs w:val="21"/>
        </w:rPr>
        <w:t>承接企业</w:t>
      </w:r>
      <w:r>
        <w:rPr>
          <w:rFonts w:ascii="宋体" w:hAnsi="宋体"/>
          <w:szCs w:val="21"/>
        </w:rPr>
        <w:t>为</w:t>
      </w:r>
      <w:r>
        <w:rPr>
          <w:rFonts w:ascii="宋体" w:hAnsi="宋体"/>
          <w:b/>
          <w:bCs/>
          <w:szCs w:val="21"/>
          <w:u w:val="single"/>
        </w:rPr>
        <w:t>（企业名称）</w:t>
      </w:r>
      <w:r>
        <w:rPr>
          <w:rFonts w:ascii="宋体" w:hAnsi="宋体"/>
          <w:szCs w:val="21"/>
        </w:rPr>
        <w:t>，从业人员</w:t>
      </w:r>
      <w:r>
        <w:rPr>
          <w:rFonts w:ascii="宋体" w:hAnsi="宋体"/>
          <w:b/>
          <w:bCs/>
          <w:szCs w:val="21"/>
          <w:u w:val="single"/>
        </w:rPr>
        <w:t xml:space="preserve">  </w:t>
      </w:r>
      <w:r>
        <w:rPr>
          <w:rFonts w:ascii="宋体" w:hAnsi="宋体"/>
          <w:szCs w:val="21"/>
        </w:rPr>
        <w:t>人，营业收入为</w:t>
      </w:r>
      <w:r>
        <w:rPr>
          <w:rFonts w:ascii="宋体" w:hAnsi="宋体"/>
          <w:b/>
          <w:bCs/>
          <w:szCs w:val="21"/>
          <w:u w:val="single"/>
        </w:rPr>
        <w:t xml:space="preserve">  </w:t>
      </w:r>
      <w:r>
        <w:rPr>
          <w:rFonts w:ascii="宋体" w:hAnsi="宋体"/>
          <w:szCs w:val="21"/>
        </w:rPr>
        <w:t>万元，资产总额为</w:t>
      </w:r>
      <w:r>
        <w:rPr>
          <w:rFonts w:hint="eastAsia" w:ascii="宋体" w:hAnsi="宋体"/>
          <w:b/>
          <w:bCs/>
          <w:szCs w:val="21"/>
          <w:u w:val="single"/>
        </w:rPr>
        <w:t xml:space="preserve"> </w:t>
      </w:r>
      <w:r>
        <w:rPr>
          <w:rFonts w:ascii="宋体" w:hAnsi="宋体"/>
          <w:b/>
          <w:bCs/>
          <w:szCs w:val="21"/>
          <w:u w:val="single"/>
        </w:rPr>
        <w:t xml:space="preserve"> </w:t>
      </w:r>
      <w:r>
        <w:rPr>
          <w:rFonts w:ascii="宋体" w:hAnsi="宋体"/>
          <w:szCs w:val="21"/>
        </w:rPr>
        <w:t>万元 ，属于</w:t>
      </w:r>
      <w:r>
        <w:rPr>
          <w:rFonts w:ascii="宋体" w:hAnsi="宋体"/>
          <w:b/>
          <w:bCs/>
          <w:szCs w:val="21"/>
          <w:u w:val="single"/>
        </w:rPr>
        <w:t>（中型企业、小型企业、微型企业）</w:t>
      </w:r>
      <w:r>
        <w:rPr>
          <w:rFonts w:hint="eastAsia" w:ascii="宋体" w:hAnsi="宋体"/>
          <w:szCs w:val="21"/>
        </w:rPr>
        <w:t>；</w:t>
      </w:r>
    </w:p>
    <w:p>
      <w:pPr>
        <w:ind w:firstLine="420" w:firstLineChars="200"/>
        <w:outlineLvl w:val="3"/>
        <w:rPr>
          <w:rFonts w:ascii="宋体" w:hAnsi="宋体"/>
          <w:szCs w:val="21"/>
        </w:rPr>
      </w:pPr>
      <w:r>
        <w:rPr>
          <w:rFonts w:ascii="宋体" w:hAnsi="宋体"/>
          <w:szCs w:val="21"/>
        </w:rPr>
        <w:t xml:space="preserve">…… </w:t>
      </w:r>
    </w:p>
    <w:p>
      <w:pPr>
        <w:ind w:firstLine="420" w:firstLineChars="200"/>
        <w:outlineLvl w:val="3"/>
        <w:rPr>
          <w:rFonts w:ascii="宋体" w:hAnsi="宋体"/>
          <w:szCs w:val="21"/>
        </w:rPr>
      </w:pPr>
      <w:r>
        <w:rPr>
          <w:rFonts w:ascii="宋体" w:hAnsi="宋体"/>
          <w:szCs w:val="21"/>
        </w:rPr>
        <w:t>以上企业，不属于大企业的分支机构，不存在控股股东为大企业的情形，也不存在与大企业的负责人为同一人的情形。</w:t>
      </w:r>
    </w:p>
    <w:p>
      <w:pPr>
        <w:ind w:firstLine="420" w:firstLineChars="200"/>
        <w:outlineLvl w:val="3"/>
        <w:rPr>
          <w:rFonts w:ascii="宋体" w:hAnsi="宋体"/>
          <w:bCs/>
          <w:color w:val="FF0000"/>
          <w:kern w:val="0"/>
          <w:szCs w:val="21"/>
        </w:rPr>
      </w:pPr>
      <w:bookmarkStart w:id="46" w:name="_Hlk73562275"/>
      <w:r>
        <w:rPr>
          <w:rFonts w:hint="eastAsia"/>
        </w:rPr>
        <w:t>本</w:t>
      </w:r>
      <w:r>
        <w:t>投标人已知悉《政府采购促进中小企业发展管理办法》（财库〔2020〕 46 号）、《中小企业划型标准规定》（工信部联企〔2011〕 300 号）、《统计上大中小微型企业划分办法（2017）》等规定，承诺提供的声明函内容是真实的，并知悉根据《政府采购促进中小企业发展管理办法》（财库〔2020〕46 号）第二十条规定，</w:t>
      </w:r>
      <w:r>
        <w:rPr>
          <w:rFonts w:hint="eastAsia"/>
        </w:rPr>
        <w:t>投标人</w:t>
      </w:r>
      <w:r>
        <w:t>按照本办法规定提供声明函内容不实的，属于提供虚假材料谋取中标，依照《政府采购法》等政府采购有关法律法规规定追究相应责任</w:t>
      </w:r>
      <w:r>
        <w:rPr>
          <w:rFonts w:hint="eastAsia"/>
        </w:rPr>
        <w:t>。</w:t>
      </w:r>
      <w:bookmarkEnd w:id="46"/>
    </w:p>
    <w:p>
      <w:pPr>
        <w:ind w:firstLine="420" w:firstLineChars="200"/>
        <w:rPr>
          <w:rFonts w:ascii="宋体" w:hAnsi="宋体"/>
          <w:szCs w:val="21"/>
        </w:rPr>
      </w:pPr>
    </w:p>
    <w:p/>
    <w:p>
      <w:pPr>
        <w:ind w:firstLine="420" w:firstLineChars="200"/>
      </w:pPr>
    </w:p>
    <w:p>
      <w:pPr>
        <w:jc w:val="center"/>
        <w:outlineLvl w:val="3"/>
        <w:rPr>
          <w:b/>
          <w:sz w:val="24"/>
        </w:rPr>
      </w:pPr>
      <w:r>
        <w:rPr>
          <w:rFonts w:hint="eastAsia"/>
          <w:b/>
          <w:sz w:val="24"/>
        </w:rPr>
        <w:t>2、残疾人福利性单位声明函（服务类）</w:t>
      </w:r>
    </w:p>
    <w:p>
      <w:pPr>
        <w:rPr>
          <w:b/>
          <w:bCs/>
        </w:rPr>
      </w:pPr>
    </w:p>
    <w:p>
      <w:pPr>
        <w:ind w:firstLine="420" w:firstLineChars="200"/>
        <w:rPr>
          <w:rFonts w:ascii="宋体" w:hAnsi="宋体"/>
          <w:szCs w:val="21"/>
        </w:rPr>
      </w:pPr>
      <w:r>
        <w:rPr>
          <w:rFonts w:ascii="宋体" w:hAnsi="宋体" w:cstheme="minorBidi"/>
          <w:szCs w:val="21"/>
        </w:rPr>
        <w:t>本</w:t>
      </w:r>
      <w:r>
        <w:rPr>
          <w:rFonts w:hint="eastAsia" w:ascii="宋体" w:hAnsi="宋体" w:cstheme="minorBidi"/>
          <w:szCs w:val="21"/>
        </w:rPr>
        <w:t>投标人</w:t>
      </w:r>
      <w:r>
        <w:rPr>
          <w:rFonts w:hint="eastAsia" w:ascii="宋体" w:hAnsi="宋体"/>
          <w:szCs w:val="21"/>
        </w:rPr>
        <w:t>郑重声明，根据《财政部民政部中国残疾人联合会关于促进残疾人就业政府采购政策的通知》（财库〔</w:t>
      </w:r>
      <w:r>
        <w:rPr>
          <w:rFonts w:ascii="宋体" w:hAnsi="宋体"/>
          <w:szCs w:val="21"/>
        </w:rPr>
        <w:t>2017</w:t>
      </w:r>
      <w:r>
        <w:rPr>
          <w:rFonts w:hint="eastAsia" w:ascii="宋体" w:hAnsi="宋体"/>
          <w:szCs w:val="21"/>
        </w:rPr>
        <w:t>〕</w:t>
      </w:r>
      <w:r>
        <w:rPr>
          <w:rFonts w:ascii="宋体" w:hAnsi="宋体"/>
          <w:szCs w:val="21"/>
        </w:rPr>
        <w:t xml:space="preserve">141 </w:t>
      </w:r>
      <w:r>
        <w:rPr>
          <w:rFonts w:hint="eastAsia" w:ascii="宋体" w:hAnsi="宋体"/>
          <w:szCs w:val="21"/>
        </w:rPr>
        <w:t>号）的规定，本投标人</w:t>
      </w:r>
      <w:r>
        <w:rPr>
          <w:rFonts w:ascii="宋体" w:hAnsi="宋体" w:cstheme="minorBidi"/>
          <w:szCs w:val="21"/>
        </w:rPr>
        <w:t>参加</w:t>
      </w:r>
      <w:r>
        <w:rPr>
          <w:rFonts w:ascii="宋体" w:hAnsi="宋体"/>
          <w:b/>
          <w:bCs/>
          <w:szCs w:val="21"/>
          <w:u w:val="single"/>
        </w:rPr>
        <w:t>（</w:t>
      </w:r>
      <w:r>
        <w:rPr>
          <w:rFonts w:hint="eastAsia" w:ascii="宋体" w:hAnsi="宋体"/>
          <w:b/>
          <w:bCs/>
          <w:szCs w:val="21"/>
          <w:u w:val="single"/>
        </w:rPr>
        <w:t>采购人</w:t>
      </w:r>
      <w:r>
        <w:rPr>
          <w:rFonts w:ascii="宋体" w:hAnsi="宋体"/>
          <w:b/>
          <w:bCs/>
          <w:szCs w:val="21"/>
          <w:u w:val="single"/>
        </w:rPr>
        <w:t>名称）</w:t>
      </w:r>
      <w:r>
        <w:rPr>
          <w:rFonts w:ascii="宋体" w:hAnsi="宋体"/>
          <w:szCs w:val="21"/>
        </w:rPr>
        <w:t>的</w:t>
      </w:r>
      <w:r>
        <w:rPr>
          <w:rFonts w:ascii="宋体" w:hAnsi="宋体"/>
          <w:b/>
          <w:bCs/>
          <w:szCs w:val="21"/>
          <w:u w:val="single"/>
        </w:rPr>
        <w:t>（项目名称）</w:t>
      </w:r>
      <w:r>
        <w:rPr>
          <w:rFonts w:ascii="宋体" w:hAnsi="宋体"/>
          <w:szCs w:val="21"/>
        </w:rPr>
        <w:t>采购活动，</w:t>
      </w:r>
      <w:r>
        <w:rPr>
          <w:rFonts w:hint="eastAsia" w:ascii="宋体" w:hAnsi="宋体"/>
          <w:szCs w:val="21"/>
        </w:rPr>
        <w:t>服务</w:t>
      </w:r>
      <w:r>
        <w:rPr>
          <w:rFonts w:ascii="宋体" w:hAnsi="宋体"/>
          <w:szCs w:val="21"/>
        </w:rPr>
        <w:t>全部由符合政策要求的</w:t>
      </w:r>
      <w:r>
        <w:rPr>
          <w:rFonts w:hint="eastAsia" w:ascii="宋体" w:hAnsi="宋体"/>
          <w:szCs w:val="21"/>
        </w:rPr>
        <w:t>残疾人福利性单位承接</w:t>
      </w:r>
      <w:r>
        <w:rPr>
          <w:rFonts w:ascii="宋体" w:hAnsi="宋体"/>
          <w:szCs w:val="21"/>
        </w:rPr>
        <w:t>。相关</w:t>
      </w:r>
      <w:r>
        <w:rPr>
          <w:rFonts w:hint="eastAsia" w:ascii="宋体" w:hAnsi="宋体"/>
          <w:szCs w:val="21"/>
        </w:rPr>
        <w:t>残疾人福利性单位</w:t>
      </w:r>
      <w:r>
        <w:rPr>
          <w:rFonts w:ascii="宋体" w:hAnsi="宋体"/>
          <w:szCs w:val="21"/>
        </w:rPr>
        <w:t>的具体情况如下：</w:t>
      </w:r>
    </w:p>
    <w:p>
      <w:pPr>
        <w:ind w:firstLine="420" w:firstLineChars="200"/>
        <w:rPr>
          <w:rFonts w:ascii="宋体" w:hAnsi="宋体"/>
          <w:szCs w:val="21"/>
        </w:rPr>
      </w:pPr>
      <w:r>
        <w:rPr>
          <w:rFonts w:ascii="宋体" w:hAnsi="宋体"/>
          <w:szCs w:val="21"/>
        </w:rPr>
        <w:t>1.</w:t>
      </w:r>
      <w:r>
        <w:rPr>
          <w:rFonts w:ascii="宋体" w:hAnsi="宋体"/>
          <w:b/>
          <w:bCs/>
          <w:szCs w:val="21"/>
          <w:u w:val="single"/>
        </w:rPr>
        <w:t xml:space="preserve"> （标的名称）</w:t>
      </w:r>
      <w:r>
        <w:rPr>
          <w:rFonts w:ascii="宋体" w:hAnsi="宋体"/>
          <w:szCs w:val="21"/>
        </w:rPr>
        <w:t xml:space="preserve"> </w:t>
      </w:r>
      <w:r>
        <w:rPr>
          <w:rFonts w:hint="eastAsia" w:ascii="宋体" w:hAnsi="宋体"/>
          <w:szCs w:val="21"/>
        </w:rPr>
        <w:t>，承接企业</w:t>
      </w:r>
      <w:r>
        <w:rPr>
          <w:rFonts w:ascii="宋体" w:hAnsi="宋体"/>
          <w:szCs w:val="21"/>
        </w:rPr>
        <w:t>为</w:t>
      </w:r>
      <w:r>
        <w:rPr>
          <w:rFonts w:ascii="宋体" w:hAnsi="宋体"/>
          <w:b/>
          <w:bCs/>
          <w:szCs w:val="21"/>
          <w:u w:val="single"/>
        </w:rPr>
        <w:t>（</w:t>
      </w:r>
      <w:r>
        <w:rPr>
          <w:rFonts w:hint="eastAsia" w:ascii="宋体" w:hAnsi="宋体"/>
          <w:b/>
          <w:bCs/>
          <w:szCs w:val="21"/>
          <w:u w:val="single"/>
        </w:rPr>
        <w:t>单位</w:t>
      </w:r>
      <w:r>
        <w:rPr>
          <w:rFonts w:ascii="宋体" w:hAnsi="宋体"/>
          <w:b/>
          <w:bCs/>
          <w:szCs w:val="21"/>
          <w:u w:val="single"/>
        </w:rPr>
        <w:t>名称）</w:t>
      </w:r>
      <w:r>
        <w:rPr>
          <w:rFonts w:ascii="宋体" w:hAnsi="宋体"/>
          <w:szCs w:val="21"/>
        </w:rPr>
        <w:t>，属于</w:t>
      </w:r>
      <w:r>
        <w:rPr>
          <w:rFonts w:hint="eastAsia" w:ascii="宋体" w:hAnsi="宋体"/>
          <w:b/>
          <w:bCs/>
          <w:szCs w:val="21"/>
          <w:u w:val="single"/>
        </w:rPr>
        <w:t>残疾人福利性单位</w:t>
      </w:r>
      <w:r>
        <w:rPr>
          <w:rFonts w:ascii="宋体" w:hAnsi="宋体"/>
          <w:szCs w:val="21"/>
        </w:rPr>
        <w:t>；</w:t>
      </w:r>
    </w:p>
    <w:p>
      <w:pPr>
        <w:ind w:firstLine="420" w:firstLineChars="200"/>
        <w:rPr>
          <w:rFonts w:ascii="宋体" w:hAnsi="宋体"/>
          <w:szCs w:val="21"/>
        </w:rPr>
      </w:pPr>
      <w:r>
        <w:rPr>
          <w:rFonts w:ascii="宋体" w:hAnsi="宋体"/>
          <w:szCs w:val="21"/>
        </w:rPr>
        <w:t>2.</w:t>
      </w:r>
      <w:r>
        <w:rPr>
          <w:rFonts w:ascii="宋体" w:hAnsi="宋体"/>
          <w:b/>
          <w:bCs/>
          <w:szCs w:val="21"/>
          <w:u w:val="single"/>
        </w:rPr>
        <w:t xml:space="preserve"> （标的名称）</w:t>
      </w:r>
      <w:r>
        <w:rPr>
          <w:rFonts w:ascii="宋体" w:hAnsi="宋体"/>
          <w:szCs w:val="21"/>
        </w:rPr>
        <w:t xml:space="preserve"> </w:t>
      </w:r>
      <w:r>
        <w:rPr>
          <w:rFonts w:hint="eastAsia" w:ascii="宋体" w:hAnsi="宋体"/>
          <w:szCs w:val="21"/>
        </w:rPr>
        <w:t>，承接企业</w:t>
      </w:r>
      <w:r>
        <w:rPr>
          <w:rFonts w:ascii="宋体" w:hAnsi="宋体"/>
          <w:szCs w:val="21"/>
        </w:rPr>
        <w:t>为</w:t>
      </w:r>
      <w:r>
        <w:rPr>
          <w:rFonts w:ascii="宋体" w:hAnsi="宋体"/>
          <w:b/>
          <w:bCs/>
          <w:szCs w:val="21"/>
          <w:u w:val="single"/>
        </w:rPr>
        <w:t>（</w:t>
      </w:r>
      <w:r>
        <w:rPr>
          <w:rFonts w:hint="eastAsia" w:ascii="宋体" w:hAnsi="宋体"/>
          <w:b/>
          <w:bCs/>
          <w:szCs w:val="21"/>
          <w:u w:val="single"/>
        </w:rPr>
        <w:t>单位</w:t>
      </w:r>
      <w:r>
        <w:rPr>
          <w:rFonts w:ascii="宋体" w:hAnsi="宋体"/>
          <w:b/>
          <w:bCs/>
          <w:szCs w:val="21"/>
          <w:u w:val="single"/>
        </w:rPr>
        <w:t>名称）</w:t>
      </w:r>
      <w:r>
        <w:rPr>
          <w:rFonts w:ascii="宋体" w:hAnsi="宋体"/>
          <w:szCs w:val="21"/>
        </w:rPr>
        <w:t>，属于</w:t>
      </w:r>
      <w:r>
        <w:rPr>
          <w:rFonts w:hint="eastAsia" w:ascii="宋体" w:hAnsi="宋体"/>
          <w:b/>
          <w:bCs/>
          <w:szCs w:val="21"/>
          <w:u w:val="single"/>
        </w:rPr>
        <w:t>残疾人福利性单位</w:t>
      </w:r>
      <w:r>
        <w:rPr>
          <w:rFonts w:hint="eastAsia" w:ascii="宋体" w:hAnsi="宋体"/>
          <w:szCs w:val="21"/>
        </w:rPr>
        <w:t>。</w:t>
      </w:r>
    </w:p>
    <w:p>
      <w:pPr>
        <w:ind w:firstLine="420" w:firstLineChars="200"/>
        <w:outlineLvl w:val="3"/>
        <w:rPr>
          <w:rFonts w:ascii="宋体" w:hAnsi="宋体"/>
          <w:szCs w:val="21"/>
        </w:rPr>
      </w:pPr>
      <w:r>
        <w:rPr>
          <w:rFonts w:ascii="宋体" w:hAnsi="宋体"/>
          <w:szCs w:val="21"/>
        </w:rPr>
        <w:t xml:space="preserve">…… </w:t>
      </w:r>
    </w:p>
    <w:p>
      <w:pPr>
        <w:ind w:firstLine="420" w:firstLineChars="200"/>
        <w:rPr>
          <w:rFonts w:ascii="宋体" w:hAnsi="宋体"/>
          <w:szCs w:val="21"/>
        </w:rPr>
      </w:pPr>
      <w:r>
        <w:rPr>
          <w:rFonts w:hint="eastAsia"/>
        </w:rPr>
        <w:t>本</w:t>
      </w:r>
      <w:r>
        <w:t>投标人</w:t>
      </w:r>
      <w:r>
        <w:rPr>
          <w:rFonts w:hint="eastAsia"/>
        </w:rPr>
        <w:t>已</w:t>
      </w:r>
      <w:r>
        <w:t>知悉</w:t>
      </w:r>
      <w:r>
        <w:rPr>
          <w:rFonts w:hint="eastAsia"/>
        </w:rPr>
        <w:t>《财政部民政部中国残疾人联合会关于促进残疾人就业政府采购政策的通知》（财库〔2017〕141 号）</w:t>
      </w:r>
      <w:r>
        <w:t>的规定，承诺提供的声明函内容是真实的，如提供声明函内容不实，则依法追究相关法律责任</w:t>
      </w:r>
      <w:r>
        <w:rPr>
          <w:rFonts w:hint="eastAsia"/>
        </w:rPr>
        <w:t>。</w:t>
      </w:r>
    </w:p>
    <w:p>
      <w:pPr>
        <w:ind w:firstLine="420" w:firstLineChars="200"/>
        <w:rPr>
          <w:rFonts w:ascii="宋体" w:hAnsi="宋体"/>
          <w:szCs w:val="21"/>
        </w:rPr>
      </w:pPr>
    </w:p>
    <w:p>
      <w:pPr>
        <w:ind w:firstLine="420" w:firstLineChars="200"/>
        <w:rPr>
          <w:rFonts w:ascii="宋体" w:hAnsi="宋体"/>
          <w:szCs w:val="21"/>
        </w:rPr>
      </w:pPr>
    </w:p>
    <w:p>
      <w:pPr>
        <w:jc w:val="center"/>
        <w:outlineLvl w:val="3"/>
        <w:rPr>
          <w:b/>
          <w:sz w:val="24"/>
        </w:rPr>
      </w:pPr>
      <w:r>
        <w:rPr>
          <w:rFonts w:hint="eastAsia"/>
          <w:b/>
          <w:sz w:val="24"/>
        </w:rPr>
        <w:t>3、监狱企业声明函【服务类，监狱企业如需享受优惠政策，还须另行提供省级以上监狱管理局、戒毒管理局（含新疆生产建设兵团）出具的监狱企业证明文件】</w:t>
      </w:r>
    </w:p>
    <w:p>
      <w:pPr>
        <w:ind w:firstLine="420" w:firstLineChars="200"/>
        <w:rPr>
          <w:rFonts w:ascii="宋体" w:hAnsi="宋体"/>
          <w:szCs w:val="21"/>
        </w:rPr>
      </w:pPr>
      <w:r>
        <w:rPr>
          <w:rFonts w:hint="eastAsia" w:ascii="宋体" w:hAnsi="宋体"/>
          <w:szCs w:val="21"/>
        </w:rPr>
        <w:t>本投标人郑重声明，根据《财政部司法部关于政府采购支持监狱企业发展有关问题的通知》（财库〔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号）的规定，本投标人</w:t>
      </w:r>
      <w:r>
        <w:rPr>
          <w:rFonts w:ascii="宋体" w:hAnsi="宋体" w:cstheme="minorBidi"/>
          <w:szCs w:val="21"/>
        </w:rPr>
        <w:t>参加</w:t>
      </w:r>
      <w:r>
        <w:rPr>
          <w:rFonts w:ascii="宋体" w:hAnsi="宋体"/>
          <w:b/>
          <w:bCs/>
          <w:szCs w:val="21"/>
          <w:u w:val="single"/>
        </w:rPr>
        <w:t>（</w:t>
      </w:r>
      <w:r>
        <w:rPr>
          <w:rFonts w:hint="eastAsia" w:ascii="宋体" w:hAnsi="宋体"/>
          <w:b/>
          <w:bCs/>
          <w:szCs w:val="21"/>
          <w:u w:val="single"/>
        </w:rPr>
        <w:t>采购人</w:t>
      </w:r>
      <w:r>
        <w:rPr>
          <w:rFonts w:ascii="宋体" w:hAnsi="宋体"/>
          <w:b/>
          <w:bCs/>
          <w:szCs w:val="21"/>
          <w:u w:val="single"/>
        </w:rPr>
        <w:t>名称）</w:t>
      </w:r>
      <w:r>
        <w:rPr>
          <w:rFonts w:ascii="宋体" w:hAnsi="宋体"/>
          <w:szCs w:val="21"/>
        </w:rPr>
        <w:t>的</w:t>
      </w:r>
      <w:r>
        <w:rPr>
          <w:rFonts w:ascii="宋体" w:hAnsi="宋体"/>
          <w:b/>
          <w:bCs/>
          <w:szCs w:val="21"/>
          <w:u w:val="single"/>
        </w:rPr>
        <w:t>（项目名称）</w:t>
      </w:r>
      <w:r>
        <w:rPr>
          <w:rFonts w:ascii="宋体" w:hAnsi="宋体"/>
          <w:szCs w:val="21"/>
        </w:rPr>
        <w:t>采购活动，</w:t>
      </w:r>
      <w:r>
        <w:rPr>
          <w:rFonts w:hint="eastAsia" w:ascii="宋体" w:hAnsi="宋体"/>
          <w:szCs w:val="21"/>
        </w:rPr>
        <w:t>服务</w:t>
      </w:r>
      <w:r>
        <w:rPr>
          <w:rFonts w:ascii="宋体" w:hAnsi="宋体"/>
          <w:szCs w:val="21"/>
        </w:rPr>
        <w:t>全部由符合政策要求的</w:t>
      </w:r>
      <w:r>
        <w:rPr>
          <w:rFonts w:hint="eastAsia" w:ascii="宋体" w:hAnsi="宋体"/>
          <w:szCs w:val="21"/>
        </w:rPr>
        <w:t>监狱企业承接</w:t>
      </w:r>
      <w:r>
        <w:rPr>
          <w:rFonts w:ascii="宋体" w:hAnsi="宋体"/>
          <w:szCs w:val="21"/>
        </w:rPr>
        <w:t>。相关</w:t>
      </w:r>
      <w:r>
        <w:rPr>
          <w:rFonts w:hint="eastAsia" w:ascii="宋体" w:hAnsi="宋体"/>
          <w:szCs w:val="21"/>
        </w:rPr>
        <w:t>监狱企业</w:t>
      </w:r>
      <w:r>
        <w:rPr>
          <w:rFonts w:ascii="宋体" w:hAnsi="宋体"/>
          <w:szCs w:val="21"/>
        </w:rPr>
        <w:t>的具体情况如下：</w:t>
      </w:r>
    </w:p>
    <w:p>
      <w:pPr>
        <w:ind w:firstLine="420" w:firstLineChars="200"/>
        <w:rPr>
          <w:rFonts w:ascii="宋体" w:hAnsi="宋体"/>
          <w:szCs w:val="21"/>
        </w:rPr>
      </w:pPr>
      <w:r>
        <w:rPr>
          <w:rFonts w:ascii="宋体" w:hAnsi="宋体"/>
          <w:szCs w:val="21"/>
        </w:rPr>
        <w:t>1.</w:t>
      </w:r>
      <w:r>
        <w:rPr>
          <w:rFonts w:ascii="宋体" w:hAnsi="宋体"/>
          <w:b/>
          <w:bCs/>
          <w:szCs w:val="21"/>
          <w:u w:val="single"/>
        </w:rPr>
        <w:t xml:space="preserve"> （标的名称）</w:t>
      </w:r>
      <w:r>
        <w:rPr>
          <w:rFonts w:ascii="宋体" w:hAnsi="宋体"/>
          <w:szCs w:val="21"/>
        </w:rPr>
        <w:t xml:space="preserve"> </w:t>
      </w:r>
      <w:r>
        <w:rPr>
          <w:rFonts w:hint="eastAsia" w:ascii="宋体" w:hAnsi="宋体"/>
          <w:szCs w:val="21"/>
        </w:rPr>
        <w:t>，承接单位</w:t>
      </w:r>
      <w:r>
        <w:rPr>
          <w:rFonts w:ascii="宋体" w:hAnsi="宋体"/>
          <w:szCs w:val="21"/>
        </w:rPr>
        <w:t>为</w:t>
      </w:r>
      <w:r>
        <w:rPr>
          <w:rFonts w:ascii="宋体" w:hAnsi="宋体"/>
          <w:b/>
          <w:bCs/>
          <w:szCs w:val="21"/>
          <w:u w:val="single"/>
        </w:rPr>
        <w:t>（</w:t>
      </w:r>
      <w:r>
        <w:rPr>
          <w:rFonts w:hint="eastAsia" w:ascii="宋体" w:hAnsi="宋体"/>
          <w:b/>
          <w:bCs/>
          <w:szCs w:val="21"/>
          <w:u w:val="single"/>
        </w:rPr>
        <w:t>企业</w:t>
      </w:r>
      <w:r>
        <w:rPr>
          <w:rFonts w:ascii="宋体" w:hAnsi="宋体"/>
          <w:b/>
          <w:bCs/>
          <w:szCs w:val="21"/>
          <w:u w:val="single"/>
        </w:rPr>
        <w:t>名称）</w:t>
      </w:r>
      <w:r>
        <w:rPr>
          <w:rFonts w:ascii="宋体" w:hAnsi="宋体"/>
          <w:szCs w:val="21"/>
        </w:rPr>
        <w:t>，属于</w:t>
      </w:r>
      <w:r>
        <w:rPr>
          <w:rFonts w:hint="eastAsia" w:ascii="宋体" w:hAnsi="宋体"/>
          <w:b/>
          <w:bCs/>
          <w:szCs w:val="21"/>
          <w:u w:val="single"/>
        </w:rPr>
        <w:t>监狱企业</w:t>
      </w:r>
      <w:r>
        <w:rPr>
          <w:rFonts w:ascii="宋体" w:hAnsi="宋体"/>
          <w:szCs w:val="21"/>
        </w:rPr>
        <w:t>；</w:t>
      </w:r>
    </w:p>
    <w:p>
      <w:pPr>
        <w:ind w:firstLine="420" w:firstLineChars="200"/>
        <w:rPr>
          <w:rFonts w:ascii="宋体" w:hAnsi="宋体"/>
          <w:szCs w:val="21"/>
        </w:rPr>
      </w:pPr>
      <w:r>
        <w:rPr>
          <w:rFonts w:ascii="宋体" w:hAnsi="宋体"/>
          <w:szCs w:val="21"/>
        </w:rPr>
        <w:t>2.</w:t>
      </w:r>
      <w:r>
        <w:rPr>
          <w:rFonts w:ascii="宋体" w:hAnsi="宋体"/>
          <w:b/>
          <w:bCs/>
          <w:szCs w:val="21"/>
          <w:u w:val="single"/>
        </w:rPr>
        <w:t xml:space="preserve"> （标的名称）</w:t>
      </w:r>
      <w:r>
        <w:rPr>
          <w:rFonts w:ascii="宋体" w:hAnsi="宋体"/>
          <w:szCs w:val="21"/>
        </w:rPr>
        <w:t xml:space="preserve"> </w:t>
      </w:r>
      <w:r>
        <w:rPr>
          <w:rFonts w:hint="eastAsia" w:ascii="宋体" w:hAnsi="宋体"/>
          <w:szCs w:val="21"/>
        </w:rPr>
        <w:t>，承接单位</w:t>
      </w:r>
      <w:r>
        <w:rPr>
          <w:rFonts w:ascii="宋体" w:hAnsi="宋体"/>
          <w:szCs w:val="21"/>
        </w:rPr>
        <w:t>为</w:t>
      </w:r>
      <w:r>
        <w:rPr>
          <w:rFonts w:ascii="宋体" w:hAnsi="宋体"/>
          <w:b/>
          <w:bCs/>
          <w:szCs w:val="21"/>
          <w:u w:val="single"/>
        </w:rPr>
        <w:t>（</w:t>
      </w:r>
      <w:r>
        <w:rPr>
          <w:rFonts w:hint="eastAsia" w:ascii="宋体" w:hAnsi="宋体"/>
          <w:b/>
          <w:bCs/>
          <w:szCs w:val="21"/>
          <w:u w:val="single"/>
        </w:rPr>
        <w:t>企业</w:t>
      </w:r>
      <w:r>
        <w:rPr>
          <w:rFonts w:ascii="宋体" w:hAnsi="宋体"/>
          <w:b/>
          <w:bCs/>
          <w:szCs w:val="21"/>
          <w:u w:val="single"/>
        </w:rPr>
        <w:t>名称）</w:t>
      </w:r>
      <w:r>
        <w:rPr>
          <w:rFonts w:ascii="宋体" w:hAnsi="宋体"/>
          <w:szCs w:val="21"/>
        </w:rPr>
        <w:t>，属于</w:t>
      </w:r>
      <w:r>
        <w:rPr>
          <w:rFonts w:hint="eastAsia" w:ascii="宋体" w:hAnsi="宋体"/>
          <w:b/>
          <w:bCs/>
          <w:szCs w:val="21"/>
          <w:u w:val="single"/>
        </w:rPr>
        <w:t>监狱企业</w:t>
      </w:r>
      <w:r>
        <w:rPr>
          <w:rFonts w:hint="eastAsia" w:ascii="宋体" w:hAnsi="宋体"/>
          <w:szCs w:val="21"/>
        </w:rPr>
        <w:t>。</w:t>
      </w:r>
    </w:p>
    <w:p>
      <w:pPr>
        <w:ind w:firstLine="420" w:firstLineChars="200"/>
        <w:outlineLvl w:val="3"/>
        <w:rPr>
          <w:rFonts w:ascii="宋体" w:hAnsi="宋体"/>
          <w:szCs w:val="21"/>
        </w:rPr>
      </w:pPr>
      <w:r>
        <w:rPr>
          <w:rFonts w:ascii="宋体" w:hAnsi="宋体"/>
          <w:szCs w:val="21"/>
        </w:rPr>
        <w:t xml:space="preserve">…… </w:t>
      </w:r>
    </w:p>
    <w:p>
      <w:pPr>
        <w:ind w:firstLine="420" w:firstLineChars="200"/>
        <w:rPr>
          <w:rFonts w:ascii="宋体" w:hAnsi="宋体"/>
          <w:szCs w:val="21"/>
        </w:rPr>
      </w:pPr>
      <w:r>
        <w:rPr>
          <w:rFonts w:ascii="宋体" w:hAnsi="宋体" w:cstheme="minorBidi"/>
          <w:szCs w:val="21"/>
        </w:rPr>
        <w:t>本</w:t>
      </w:r>
      <w:r>
        <w:rPr>
          <w:rFonts w:hint="eastAsia" w:ascii="宋体" w:hAnsi="宋体" w:cstheme="minorBidi"/>
          <w:szCs w:val="21"/>
        </w:rPr>
        <w:t>投标人</w:t>
      </w:r>
      <w:r>
        <w:rPr>
          <w:rFonts w:ascii="宋体" w:hAnsi="宋体"/>
          <w:szCs w:val="21"/>
        </w:rPr>
        <w:t>对上述声明内容的真实性负责。如有虚假，将依法承担相应责任。</w:t>
      </w:r>
    </w:p>
    <w:p>
      <w:pPr>
        <w:ind w:firstLine="420" w:firstLineChars="200"/>
        <w:rPr>
          <w:rFonts w:ascii="宋体" w:hAnsi="宋体"/>
          <w:szCs w:val="21"/>
        </w:rPr>
      </w:pPr>
      <w:r>
        <w:rPr>
          <w:rFonts w:hint="eastAsia" w:ascii="宋体" w:hAnsi="宋体"/>
          <w:szCs w:val="21"/>
        </w:rPr>
        <w:t>附：省级以上监狱管理局、戒毒管理局（含新疆生产建设兵团）出具的监狱企业证明文件。</w:t>
      </w:r>
    </w:p>
    <w:p>
      <w:pPr>
        <w:ind w:left="723" w:hanging="723" w:hangingChars="300"/>
        <w:rPr>
          <w:b/>
          <w:sz w:val="24"/>
        </w:rPr>
      </w:pPr>
    </w:p>
    <w:p>
      <w:pPr>
        <w:ind w:left="723" w:hanging="723" w:hangingChars="300"/>
        <w:rPr>
          <w:b/>
          <w:sz w:val="24"/>
        </w:rPr>
      </w:pPr>
    </w:p>
    <w:p>
      <w:pPr>
        <w:pStyle w:val="3"/>
        <w:jc w:val="center"/>
        <w:rPr>
          <w:rFonts w:ascii="黑体" w:eastAsia="黑体"/>
          <w:b w:val="0"/>
          <w:sz w:val="24"/>
          <w:szCs w:val="24"/>
        </w:rPr>
      </w:pPr>
      <w:r>
        <w:rPr>
          <w:rFonts w:hint="eastAsia" w:ascii="黑体" w:eastAsia="黑体"/>
          <w:b w:val="0"/>
          <w:sz w:val="24"/>
          <w:szCs w:val="24"/>
        </w:rPr>
        <w:t>四、项目详细报价</w:t>
      </w:r>
    </w:p>
    <w:p>
      <w:pPr>
        <w:tabs>
          <w:tab w:val="left" w:pos="720"/>
        </w:tabs>
        <w:ind w:firstLine="3614" w:firstLineChars="1500"/>
        <w:jc w:val="left"/>
        <w:rPr>
          <w:b/>
          <w:sz w:val="24"/>
        </w:rPr>
      </w:pPr>
      <w:r>
        <w:rPr>
          <w:rFonts w:hint="eastAsia"/>
          <w:b/>
          <w:sz w:val="24"/>
        </w:rPr>
        <w:t>（一）报价表</w:t>
      </w:r>
    </w:p>
    <w:tbl>
      <w:tblPr>
        <w:tblStyle w:val="42"/>
        <w:tblW w:w="9039" w:type="dxa"/>
        <w:tblInd w:w="0" w:type="dxa"/>
        <w:tblLayout w:type="autofit"/>
        <w:tblCellMar>
          <w:top w:w="0" w:type="dxa"/>
          <w:left w:w="108" w:type="dxa"/>
          <w:bottom w:w="0" w:type="dxa"/>
          <w:right w:w="108" w:type="dxa"/>
        </w:tblCellMar>
      </w:tblPr>
      <w:tblGrid>
        <w:gridCol w:w="4168"/>
        <w:gridCol w:w="3028"/>
        <w:gridCol w:w="1843"/>
      </w:tblGrid>
      <w:tr>
        <w:tblPrEx>
          <w:tblCellMar>
            <w:top w:w="0" w:type="dxa"/>
            <w:left w:w="108" w:type="dxa"/>
            <w:bottom w:w="0" w:type="dxa"/>
            <w:right w:w="108" w:type="dxa"/>
          </w:tblCellMar>
        </w:tblPrEx>
        <w:trPr>
          <w:trHeight w:val="455" w:hRule="atLeast"/>
        </w:trPr>
        <w:tc>
          <w:tcPr>
            <w:tcW w:w="4168" w:type="dxa"/>
            <w:tcBorders>
              <w:top w:val="single" w:color="auto" w:sz="8" w:space="0"/>
              <w:left w:val="single" w:color="auto" w:sz="4" w:space="0"/>
              <w:bottom w:val="single" w:color="auto" w:sz="4" w:space="0"/>
              <w:right w:val="single" w:color="auto" w:sz="4" w:space="0"/>
            </w:tcBorders>
            <w:shd w:val="clear" w:color="000000" w:fill="E7E6E6"/>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需求名称</w:t>
            </w:r>
          </w:p>
        </w:tc>
        <w:tc>
          <w:tcPr>
            <w:tcW w:w="3028" w:type="dxa"/>
            <w:tcBorders>
              <w:top w:val="single" w:color="auto" w:sz="8" w:space="0"/>
              <w:left w:val="nil"/>
              <w:bottom w:val="single" w:color="auto" w:sz="4" w:space="0"/>
              <w:right w:val="single" w:color="auto" w:sz="4" w:space="0"/>
            </w:tcBorders>
            <w:shd w:val="clear" w:color="000000" w:fill="E7E6E6"/>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合计金额（元）</w:t>
            </w:r>
          </w:p>
        </w:tc>
        <w:tc>
          <w:tcPr>
            <w:tcW w:w="1843" w:type="dxa"/>
            <w:tcBorders>
              <w:top w:val="single" w:color="auto" w:sz="8" w:space="0"/>
              <w:left w:val="nil"/>
              <w:bottom w:val="single" w:color="auto" w:sz="4" w:space="0"/>
              <w:right w:val="single" w:color="auto" w:sz="8" w:space="0"/>
            </w:tcBorders>
            <w:shd w:val="clear" w:color="000000" w:fill="E7E6E6"/>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备注</w:t>
            </w:r>
          </w:p>
        </w:tc>
      </w:tr>
      <w:tr>
        <w:tblPrEx>
          <w:tblCellMar>
            <w:top w:w="0" w:type="dxa"/>
            <w:left w:w="108" w:type="dxa"/>
            <w:bottom w:w="0" w:type="dxa"/>
            <w:right w:w="108" w:type="dxa"/>
          </w:tblCellMar>
        </w:tblPrEx>
        <w:trPr>
          <w:trHeight w:val="570" w:hRule="atLeast"/>
        </w:trPr>
        <w:tc>
          <w:tcPr>
            <w:tcW w:w="4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b/>
                <w:bCs/>
                <w:kern w:val="0"/>
                <w:sz w:val="20"/>
                <w:szCs w:val="20"/>
              </w:rPr>
              <w:t>深圳市眼科医院全成本核算系统项目</w:t>
            </w:r>
          </w:p>
        </w:tc>
        <w:tc>
          <w:tcPr>
            <w:tcW w:w="3028"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c>
          <w:tcPr>
            <w:tcW w:w="1843" w:type="dxa"/>
            <w:tcBorders>
              <w:top w:val="single" w:color="auto" w:sz="4" w:space="0"/>
              <w:left w:val="nil"/>
              <w:bottom w:val="single" w:color="auto" w:sz="4" w:space="0"/>
              <w:right w:val="single" w:color="auto" w:sz="8" w:space="0"/>
            </w:tcBorders>
            <w:shd w:val="clear" w:color="auto" w:fill="auto"/>
            <w:vAlign w:val="center"/>
          </w:tcPr>
          <w:p>
            <w:pPr>
              <w:widowControl/>
              <w:jc w:val="left"/>
              <w:rPr>
                <w:rFonts w:ascii="宋体" w:hAnsi="宋体" w:cs="宋体"/>
                <w:kern w:val="0"/>
                <w:sz w:val="20"/>
                <w:szCs w:val="20"/>
              </w:rPr>
            </w:pPr>
          </w:p>
        </w:tc>
      </w:tr>
    </w:tbl>
    <w:p>
      <w:pPr>
        <w:ind w:firstLine="482" w:firstLineChars="200"/>
        <w:rPr>
          <w:rFonts w:hAnsi="宋体"/>
          <w:b/>
          <w:bCs/>
          <w:sz w:val="24"/>
        </w:rPr>
      </w:pPr>
    </w:p>
    <w:p>
      <w:pPr>
        <w:ind w:firstLine="482" w:firstLineChars="200"/>
        <w:rPr>
          <w:rFonts w:hAnsi="宋体"/>
          <w:b/>
          <w:bCs/>
          <w:sz w:val="24"/>
        </w:rPr>
      </w:pPr>
    </w:p>
    <w:p>
      <w:pPr>
        <w:ind w:firstLine="482" w:firstLineChars="200"/>
        <w:rPr>
          <w:rFonts w:hAnsi="宋体"/>
          <w:b/>
          <w:bCs/>
          <w:sz w:val="24"/>
        </w:rPr>
      </w:pPr>
    </w:p>
    <w:p>
      <w:pPr>
        <w:tabs>
          <w:tab w:val="left" w:pos="720"/>
        </w:tabs>
        <w:jc w:val="center"/>
        <w:rPr>
          <w:b/>
          <w:sz w:val="24"/>
        </w:rPr>
      </w:pPr>
      <w:r>
        <w:rPr>
          <w:rFonts w:hint="eastAsia"/>
          <w:b/>
          <w:sz w:val="24"/>
        </w:rPr>
        <w:t>（二）</w:t>
      </w:r>
      <w:bookmarkStart w:id="47" w:name="_Hlk72073235"/>
      <w:r>
        <w:rPr>
          <w:rFonts w:hint="eastAsia"/>
          <w:b/>
          <w:sz w:val="24"/>
        </w:rPr>
        <w:t>投标人认为需要涉及的其他内容报价清单</w:t>
      </w:r>
      <w:bookmarkEnd w:id="47"/>
    </w:p>
    <w:p>
      <w:pPr>
        <w:rPr>
          <w:b/>
          <w:bCs/>
        </w:rPr>
      </w:pPr>
    </w:p>
    <w:p>
      <w:pPr>
        <w:rPr>
          <w:b/>
          <w:bCs/>
        </w:rPr>
      </w:pPr>
    </w:p>
    <w:p/>
    <w:p/>
    <w:p>
      <w:pPr>
        <w:widowControl/>
        <w:tabs>
          <w:tab w:val="left" w:pos="720"/>
        </w:tabs>
        <w:spacing w:line="360" w:lineRule="auto"/>
        <w:ind w:left="1134" w:firstLine="324" w:firstLineChars="135"/>
        <w:jc w:val="left"/>
        <w:rPr>
          <w:rFonts w:ascii="黑体" w:hAnsi="宋体" w:eastAsia="黑体"/>
          <w:bCs/>
          <w:sz w:val="24"/>
        </w:rPr>
      </w:pPr>
      <w:r>
        <w:rPr>
          <w:rFonts w:ascii="黑体" w:hAnsi="宋体" w:eastAsia="黑体"/>
          <w:bCs/>
          <w:sz w:val="24"/>
        </w:rPr>
        <w:t xml:space="preserve"> </w:t>
      </w:r>
      <w:r>
        <w:rPr>
          <w:rFonts w:hint="eastAsia" w:ascii="黑体" w:hAnsi="宋体" w:eastAsia="黑体"/>
          <w:bCs/>
          <w:sz w:val="24"/>
        </w:rPr>
        <w:t>五、供应商资格（资质、认证）情况（格式自定）</w:t>
      </w:r>
    </w:p>
    <w:p>
      <w:pPr>
        <w:widowControl/>
        <w:tabs>
          <w:tab w:val="left" w:pos="720"/>
        </w:tabs>
        <w:spacing w:line="360" w:lineRule="auto"/>
        <w:ind w:left="1134" w:firstLine="324" w:firstLineChars="135"/>
        <w:jc w:val="left"/>
        <w:rPr>
          <w:rFonts w:ascii="黑体" w:hAnsi="宋体" w:eastAsia="黑体"/>
          <w:bCs/>
          <w:sz w:val="24"/>
        </w:rPr>
      </w:pPr>
    </w:p>
    <w:p>
      <w:pPr>
        <w:widowControl/>
        <w:tabs>
          <w:tab w:val="left" w:pos="720"/>
        </w:tabs>
        <w:spacing w:line="360" w:lineRule="auto"/>
        <w:ind w:left="1134" w:firstLine="444" w:firstLineChars="185"/>
        <w:jc w:val="left"/>
        <w:rPr>
          <w:rFonts w:ascii="黑体" w:hAnsi="宋体" w:eastAsia="黑体"/>
          <w:sz w:val="24"/>
          <w:szCs w:val="20"/>
        </w:rPr>
      </w:pPr>
      <w:r>
        <w:rPr>
          <w:rFonts w:hint="eastAsia" w:ascii="黑体" w:hAnsi="宋体" w:eastAsia="黑体"/>
          <w:bCs/>
          <w:sz w:val="24"/>
        </w:rPr>
        <w:t>六、供应商同类项目业绩情况</w:t>
      </w:r>
      <w:r>
        <w:rPr>
          <w:rFonts w:hint="eastAsia" w:ascii="黑体" w:hAnsi="宋体" w:eastAsia="黑体"/>
          <w:sz w:val="24"/>
          <w:szCs w:val="20"/>
        </w:rPr>
        <w:t>（格式自定）</w:t>
      </w:r>
    </w:p>
    <w:p>
      <w:pPr>
        <w:widowControl/>
        <w:tabs>
          <w:tab w:val="left" w:pos="720"/>
        </w:tabs>
        <w:spacing w:line="360" w:lineRule="auto"/>
        <w:ind w:left="1134" w:firstLine="444" w:firstLineChars="185"/>
        <w:jc w:val="left"/>
        <w:rPr>
          <w:rFonts w:ascii="黑体" w:hAnsi="宋体" w:eastAsia="黑体"/>
          <w:bCs/>
          <w:sz w:val="24"/>
        </w:rPr>
      </w:pPr>
    </w:p>
    <w:p>
      <w:pPr>
        <w:widowControl/>
        <w:tabs>
          <w:tab w:val="left" w:pos="720"/>
        </w:tabs>
        <w:spacing w:line="360" w:lineRule="auto"/>
        <w:ind w:left="1134" w:firstLine="444" w:firstLineChars="185"/>
        <w:jc w:val="left"/>
        <w:rPr>
          <w:rFonts w:ascii="黑体" w:hAnsi="宋体" w:eastAsia="黑体"/>
          <w:sz w:val="24"/>
          <w:szCs w:val="20"/>
        </w:rPr>
      </w:pPr>
      <w:r>
        <w:rPr>
          <w:rFonts w:hint="eastAsia" w:ascii="黑体" w:hAnsi="宋体" w:eastAsia="黑体"/>
          <w:bCs/>
          <w:sz w:val="24"/>
        </w:rPr>
        <w:t>七、供应商自主知识产权产品（创新、设计）情况</w:t>
      </w:r>
      <w:r>
        <w:rPr>
          <w:rFonts w:hint="eastAsia" w:ascii="黑体" w:hAnsi="宋体" w:eastAsia="黑体"/>
          <w:sz w:val="24"/>
          <w:szCs w:val="20"/>
        </w:rPr>
        <w:t>（格式自定）</w:t>
      </w:r>
    </w:p>
    <w:p>
      <w:pPr>
        <w:widowControl/>
        <w:tabs>
          <w:tab w:val="left" w:pos="720"/>
        </w:tabs>
        <w:spacing w:line="360" w:lineRule="auto"/>
        <w:ind w:left="1134" w:firstLine="444" w:firstLineChars="185"/>
        <w:jc w:val="left"/>
        <w:rPr>
          <w:rFonts w:ascii="黑体" w:hAnsi="宋体" w:eastAsia="黑体"/>
          <w:bCs/>
          <w:sz w:val="24"/>
        </w:rPr>
      </w:pPr>
    </w:p>
    <w:p>
      <w:pPr>
        <w:ind w:firstLine="1560" w:firstLineChars="650"/>
        <w:rPr>
          <w:rFonts w:ascii="黑体" w:hAnsi="宋体" w:eastAsia="黑体"/>
          <w:bCs/>
          <w:sz w:val="24"/>
        </w:rPr>
      </w:pPr>
      <w:r>
        <w:rPr>
          <w:rFonts w:hint="eastAsia" w:ascii="黑体" w:hAnsi="宋体" w:eastAsia="黑体"/>
          <w:bCs/>
          <w:sz w:val="24"/>
        </w:rPr>
        <w:t>八、服务网点</w:t>
      </w:r>
      <w:r>
        <w:rPr>
          <w:rFonts w:hint="eastAsia" w:ascii="黑体" w:hAnsi="宋体" w:eastAsia="黑体"/>
          <w:sz w:val="24"/>
          <w:szCs w:val="20"/>
        </w:rPr>
        <w:t>（格式自定）</w:t>
      </w:r>
    </w:p>
    <w:p/>
    <w:p/>
    <w:p>
      <w:pPr>
        <w:ind w:firstLine="1446" w:firstLineChars="600"/>
        <w:rPr>
          <w:b/>
          <w:color w:val="FF0000"/>
          <w:sz w:val="24"/>
        </w:rPr>
      </w:pPr>
      <w:r>
        <w:rPr>
          <w:rFonts w:hint="eastAsia"/>
          <w:b/>
          <w:color w:val="FF0000"/>
          <w:sz w:val="24"/>
        </w:rPr>
        <w:t>（信息公开部分的内容到此为止！以下为信息不公开部分。）</w:t>
      </w:r>
    </w:p>
    <w:p>
      <w:pPr>
        <w:jc w:val="center"/>
        <w:rPr>
          <w:b/>
          <w:sz w:val="32"/>
          <w:szCs w:val="32"/>
        </w:rPr>
      </w:pPr>
    </w:p>
    <w:p>
      <w:pPr>
        <w:jc w:val="center"/>
        <w:rPr>
          <w:b/>
          <w:sz w:val="32"/>
          <w:szCs w:val="32"/>
        </w:rPr>
      </w:pPr>
    </w:p>
    <w:p>
      <w:pPr>
        <w:jc w:val="center"/>
        <w:rPr>
          <w:b/>
          <w:sz w:val="32"/>
          <w:szCs w:val="32"/>
        </w:rPr>
      </w:pPr>
    </w:p>
    <w:p>
      <w:pPr>
        <w:jc w:val="center"/>
        <w:rPr>
          <w:b/>
          <w:sz w:val="32"/>
          <w:szCs w:val="32"/>
        </w:rPr>
      </w:pPr>
    </w:p>
    <w:p>
      <w:pPr>
        <w:jc w:val="center"/>
        <w:rPr>
          <w:b/>
          <w:sz w:val="32"/>
          <w:szCs w:val="32"/>
        </w:rPr>
      </w:pPr>
    </w:p>
    <w:p>
      <w:pPr>
        <w:jc w:val="center"/>
        <w:rPr>
          <w:b/>
          <w:sz w:val="32"/>
          <w:szCs w:val="32"/>
        </w:rPr>
      </w:pPr>
    </w:p>
    <w:p>
      <w:pPr>
        <w:jc w:val="center"/>
        <w:rPr>
          <w:b/>
          <w:sz w:val="32"/>
          <w:szCs w:val="32"/>
        </w:rPr>
      </w:pPr>
    </w:p>
    <w:p>
      <w:pPr>
        <w:jc w:val="center"/>
        <w:rPr>
          <w:b/>
          <w:sz w:val="32"/>
          <w:szCs w:val="32"/>
        </w:rPr>
      </w:pPr>
    </w:p>
    <w:p>
      <w:pPr>
        <w:outlineLvl w:val="1"/>
        <w:rPr>
          <w:rFonts w:ascii="宋体" w:hAnsi="宋体"/>
          <w:b/>
          <w:color w:val="FF0000"/>
          <w:sz w:val="28"/>
          <w:szCs w:val="28"/>
        </w:rPr>
      </w:pPr>
      <w:r>
        <w:rPr>
          <w:rFonts w:hint="eastAsia" w:ascii="宋体" w:hAnsi="宋体"/>
          <w:b/>
          <w:color w:val="FF0000"/>
          <w:sz w:val="28"/>
          <w:szCs w:val="28"/>
        </w:rPr>
        <w:t>投标文件附件（信息不公开部分）</w:t>
      </w:r>
    </w:p>
    <w:p>
      <w:pPr>
        <w:pStyle w:val="3"/>
        <w:jc w:val="center"/>
        <w:rPr>
          <w:rFonts w:ascii="黑体" w:eastAsia="黑体"/>
          <w:b w:val="0"/>
          <w:sz w:val="24"/>
        </w:rPr>
      </w:pPr>
      <w:r>
        <w:rPr>
          <w:rFonts w:hint="eastAsia" w:ascii="黑体" w:eastAsia="黑体"/>
          <w:b w:val="0"/>
          <w:sz w:val="24"/>
        </w:rPr>
        <w:t>一、</w:t>
      </w:r>
      <w:bookmarkStart w:id="48" w:name="_Hlk72092499"/>
      <w:r>
        <w:rPr>
          <w:rFonts w:hint="eastAsia" w:ascii="黑体" w:eastAsia="黑体"/>
          <w:b w:val="0"/>
          <w:sz w:val="24"/>
        </w:rPr>
        <w:t>法定代表人（负责人）证明书</w:t>
      </w:r>
      <w:bookmarkEnd w:id="48"/>
    </w:p>
    <w:p>
      <w:pPr>
        <w:rPr>
          <w:sz w:val="24"/>
        </w:rPr>
      </w:pPr>
    </w:p>
    <w:p>
      <w:pPr>
        <w:spacing w:line="360" w:lineRule="auto"/>
        <w:rPr>
          <w:szCs w:val="21"/>
        </w:rPr>
      </w:pPr>
      <w:r>
        <w:rPr>
          <w:rFonts w:hint="eastAsia"/>
          <w:szCs w:val="21"/>
        </w:rPr>
        <w:t xml:space="preserve">   </w:t>
      </w:r>
      <w:r>
        <w:rPr>
          <w:rFonts w:hint="eastAsia"/>
          <w:szCs w:val="21"/>
          <w:u w:val="single"/>
        </w:rPr>
        <w:t xml:space="preserve">         </w:t>
      </w:r>
      <w:r>
        <w:rPr>
          <w:rFonts w:hint="eastAsia"/>
          <w:szCs w:val="21"/>
        </w:rPr>
        <w:t>同志，现任我单位</w:t>
      </w:r>
      <w:r>
        <w:rPr>
          <w:rFonts w:hint="eastAsia"/>
          <w:szCs w:val="21"/>
          <w:u w:val="single"/>
        </w:rPr>
        <w:t xml:space="preserve">         </w:t>
      </w:r>
      <w:r>
        <w:rPr>
          <w:rFonts w:hint="eastAsia"/>
          <w:szCs w:val="21"/>
        </w:rPr>
        <w:t>职务，为法定代表人（负责人），特此证明。</w:t>
      </w:r>
    </w:p>
    <w:p>
      <w:pPr>
        <w:spacing w:line="360" w:lineRule="auto"/>
        <w:rPr>
          <w:szCs w:val="21"/>
        </w:rPr>
      </w:pPr>
      <w:r>
        <w:rPr>
          <w:rFonts w:hint="eastAsia"/>
          <w:szCs w:val="21"/>
        </w:rPr>
        <w:t xml:space="preserve">         </w:t>
      </w:r>
    </w:p>
    <w:p>
      <w:pPr>
        <w:spacing w:line="360" w:lineRule="auto"/>
        <w:rPr>
          <w:szCs w:val="21"/>
        </w:rPr>
      </w:pPr>
      <w:r>
        <w:rPr>
          <w:rFonts w:hint="eastAsia"/>
          <w:szCs w:val="21"/>
        </w:rPr>
        <w:t>说明：1、法定代表人为投标人（企业事业单位、国家机关、社会团体）的主要行政负责人。</w:t>
      </w:r>
    </w:p>
    <w:p>
      <w:pPr>
        <w:rPr>
          <w:szCs w:val="21"/>
        </w:rPr>
      </w:pPr>
      <w:r>
        <w:rPr>
          <w:rFonts w:hint="eastAsia"/>
          <w:szCs w:val="21"/>
        </w:rPr>
        <w:t xml:space="preserve">     </w:t>
      </w:r>
      <w:r>
        <w:rPr>
          <w:szCs w:val="21"/>
        </w:rPr>
        <w:t xml:space="preserve"> </w:t>
      </w:r>
      <w:r>
        <w:rPr>
          <w:rFonts w:hint="eastAsia"/>
          <w:szCs w:val="21"/>
        </w:rPr>
        <w:t>2、内容必须填写真实、清楚，涂改无效，不得转让、买卖。</w:t>
      </w:r>
    </w:p>
    <w:p>
      <w:pPr>
        <w:rPr>
          <w:sz w:val="24"/>
        </w:rPr>
      </w:pPr>
    </w:p>
    <w:p>
      <w:pPr>
        <w:rPr>
          <w:b/>
          <w:bCs/>
          <w:sz w:val="24"/>
        </w:rPr>
      </w:pPr>
    </w:p>
    <w:p>
      <w:pPr>
        <w:pStyle w:val="3"/>
        <w:spacing w:before="120" w:after="120"/>
        <w:jc w:val="center"/>
        <w:rPr>
          <w:rFonts w:ascii="黑体" w:eastAsia="黑体"/>
          <w:b w:val="0"/>
          <w:sz w:val="24"/>
        </w:rPr>
      </w:pPr>
      <w:r>
        <w:rPr>
          <w:rFonts w:hint="eastAsia" w:ascii="黑体" w:eastAsia="黑体"/>
          <w:b w:val="0"/>
          <w:sz w:val="24"/>
        </w:rPr>
        <w:t>二、投标文件签署授权委托书</w:t>
      </w:r>
    </w:p>
    <w:p>
      <w:pPr>
        <w:spacing w:line="360" w:lineRule="auto"/>
        <w:ind w:firstLine="420" w:firstLineChars="20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（投标人名称）的法定代表人（负责人），现授权委托</w:t>
      </w:r>
      <w:r>
        <w:rPr>
          <w:rFonts w:hint="eastAsia"/>
          <w:szCs w:val="21"/>
          <w:u w:val="single"/>
        </w:rPr>
        <w:t xml:space="preserve">            </w:t>
      </w:r>
      <w:r>
        <w:rPr>
          <w:rFonts w:hint="eastAsia"/>
          <w:szCs w:val="21"/>
        </w:rPr>
        <w:t>（姓名）为我单位签署本项目已递交的投标文件的法定代表人（负责人）的授权委托代理人，代理人全权代表我所签署的本项目已递交的投标文件内容我均承认。</w:t>
      </w:r>
    </w:p>
    <w:p>
      <w:pPr>
        <w:pStyle w:val="7"/>
        <w:spacing w:line="360" w:lineRule="auto"/>
        <w:rPr>
          <w:szCs w:val="21"/>
        </w:rPr>
      </w:pPr>
      <w:r>
        <w:rPr>
          <w:rFonts w:hint="eastAsia"/>
          <w:szCs w:val="21"/>
        </w:rPr>
        <w:t>代理人无转委托权，特此委托。</w:t>
      </w:r>
    </w:p>
    <w:p>
      <w:pPr>
        <w:pStyle w:val="7"/>
        <w:spacing w:line="360" w:lineRule="auto"/>
        <w:rPr>
          <w:szCs w:val="21"/>
        </w:rPr>
      </w:pPr>
    </w:p>
    <w:p>
      <w:pPr>
        <w:spacing w:line="360" w:lineRule="auto"/>
        <w:ind w:left="540" w:leftChars="257"/>
        <w:rPr>
          <w:szCs w:val="21"/>
          <w:u w:val="single"/>
        </w:rPr>
      </w:pPr>
      <w:r>
        <w:rPr>
          <w:rFonts w:hint="eastAsia"/>
          <w:szCs w:val="21"/>
        </w:rPr>
        <w:t>代理人：</w:t>
      </w:r>
      <w:r>
        <w:rPr>
          <w:rFonts w:hint="eastAsia"/>
          <w:szCs w:val="21"/>
          <w:u w:val="single"/>
        </w:rPr>
        <w:t xml:space="preserve">             </w:t>
      </w:r>
    </w:p>
    <w:p>
      <w:pPr>
        <w:spacing w:line="360" w:lineRule="auto"/>
        <w:ind w:left="540" w:leftChars="257"/>
        <w:rPr>
          <w:szCs w:val="21"/>
        </w:rPr>
      </w:pPr>
      <w:r>
        <w:rPr>
          <w:rFonts w:hint="eastAsia"/>
          <w:szCs w:val="21"/>
        </w:rPr>
        <w:t>联系电话：</w:t>
      </w:r>
      <w:r>
        <w:rPr>
          <w:rFonts w:hint="eastAsia"/>
          <w:szCs w:val="21"/>
          <w:u w:val="single"/>
        </w:rPr>
        <w:t xml:space="preserve">            </w:t>
      </w:r>
      <w:r>
        <w:rPr>
          <w:rFonts w:hint="eastAsia"/>
          <w:szCs w:val="21"/>
        </w:rPr>
        <w:t xml:space="preserve">  手机：</w:t>
      </w:r>
      <w:r>
        <w:rPr>
          <w:rFonts w:hint="eastAsia"/>
          <w:szCs w:val="21"/>
          <w:u w:val="single"/>
        </w:rPr>
        <w:t xml:space="preserve">                   </w:t>
      </w:r>
    </w:p>
    <w:p>
      <w:pPr>
        <w:spacing w:line="360" w:lineRule="auto"/>
        <w:ind w:left="540" w:leftChars="257"/>
        <w:rPr>
          <w:szCs w:val="21"/>
          <w:u w:val="single"/>
        </w:rPr>
      </w:pPr>
      <w:r>
        <w:rPr>
          <w:rFonts w:hint="eastAsia"/>
          <w:szCs w:val="21"/>
        </w:rPr>
        <w:t>身份证号码：</w:t>
      </w:r>
      <w:r>
        <w:rPr>
          <w:rFonts w:hint="eastAsia"/>
          <w:szCs w:val="21"/>
          <w:u w:val="single"/>
        </w:rPr>
        <w:t xml:space="preserve">                        </w:t>
      </w:r>
      <w:r>
        <w:rPr>
          <w:rFonts w:hint="eastAsia"/>
          <w:szCs w:val="21"/>
        </w:rPr>
        <w:t>职务：</w:t>
      </w:r>
      <w:r>
        <w:rPr>
          <w:rFonts w:hint="eastAsia"/>
          <w:szCs w:val="21"/>
          <w:u w:val="single"/>
        </w:rPr>
        <w:t xml:space="preserve">       </w:t>
      </w:r>
    </w:p>
    <w:p>
      <w:pPr>
        <w:spacing w:line="360" w:lineRule="auto"/>
        <w:ind w:left="540" w:leftChars="257"/>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 xml:space="preserve">月 </w:t>
      </w:r>
      <w:r>
        <w:rPr>
          <w:rFonts w:hint="eastAsia"/>
          <w:szCs w:val="21"/>
          <w:u w:val="single"/>
        </w:rPr>
        <w:t xml:space="preserve">      </w:t>
      </w:r>
      <w:r>
        <w:rPr>
          <w:rFonts w:hint="eastAsia"/>
          <w:szCs w:val="21"/>
        </w:rPr>
        <w:t>日</w:t>
      </w:r>
    </w:p>
    <w:p/>
    <w:p>
      <w:pPr>
        <w:spacing w:line="360" w:lineRule="auto"/>
        <w:ind w:firstLine="422" w:firstLineChars="200"/>
        <w:rPr>
          <w:b/>
          <w:color w:val="FF0000"/>
          <w:szCs w:val="21"/>
        </w:rPr>
      </w:pPr>
      <w:r>
        <w:rPr>
          <w:rFonts w:hint="eastAsia"/>
          <w:b/>
          <w:color w:val="FF0000"/>
          <w:szCs w:val="21"/>
        </w:rPr>
        <w:t>附： 请提供代理人身份证扫描件（正反两面）；非中国国籍管辖范围人员，可提供公安部门认可的身份证明材料扫描件。</w:t>
      </w:r>
    </w:p>
    <w:p>
      <w:pPr>
        <w:spacing w:line="360" w:lineRule="auto"/>
        <w:rPr>
          <w:b/>
          <w:szCs w:val="21"/>
        </w:rPr>
      </w:pPr>
    </w:p>
    <w:p>
      <w:pPr>
        <w:pStyle w:val="3"/>
        <w:jc w:val="center"/>
        <w:rPr>
          <w:rFonts w:ascii="黑体" w:eastAsia="黑体"/>
          <w:b w:val="0"/>
          <w:kern w:val="0"/>
          <w:sz w:val="24"/>
          <w:szCs w:val="24"/>
        </w:rPr>
      </w:pPr>
      <w:r>
        <w:rPr>
          <w:rFonts w:hint="eastAsia" w:ascii="黑体" w:eastAsia="黑体"/>
          <w:b w:val="0"/>
          <w:kern w:val="0"/>
          <w:sz w:val="24"/>
          <w:szCs w:val="24"/>
        </w:rPr>
        <w:t>三、</w:t>
      </w:r>
      <w:bookmarkStart w:id="49" w:name="_Hlk72092634"/>
      <w:r>
        <w:rPr>
          <w:rFonts w:hint="eastAsia" w:ascii="黑体" w:eastAsia="黑体"/>
          <w:b w:val="0"/>
          <w:kern w:val="0"/>
          <w:sz w:val="24"/>
          <w:szCs w:val="24"/>
        </w:rPr>
        <w:t>实质性条款响应情况表</w:t>
      </w:r>
      <w:bookmarkEnd w:id="49"/>
    </w:p>
    <w:tbl>
      <w:tblPr>
        <w:tblStyle w:val="42"/>
        <w:tblW w:w="8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3514"/>
        <w:gridCol w:w="1559"/>
        <w:gridCol w:w="1276"/>
        <w:gridCol w:w="1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1" w:hRule="atLeast"/>
        </w:trPr>
        <w:tc>
          <w:tcPr>
            <w:tcW w:w="705" w:type="dxa"/>
            <w:vAlign w:val="center"/>
          </w:tcPr>
          <w:p>
            <w:pPr>
              <w:adjustRightInd w:val="0"/>
              <w:snapToGrid w:val="0"/>
              <w:spacing w:line="360" w:lineRule="auto"/>
              <w:jc w:val="center"/>
              <w:rPr>
                <w:rFonts w:ascii="宋体" w:hAnsi="宋体"/>
                <w:kern w:val="0"/>
                <w:szCs w:val="21"/>
              </w:rPr>
            </w:pPr>
            <w:bookmarkStart w:id="50" w:name="_Hlk72092651"/>
            <w:r>
              <w:rPr>
                <w:rFonts w:hint="eastAsia" w:ascii="宋体" w:hAnsi="宋体"/>
                <w:kern w:val="0"/>
                <w:szCs w:val="21"/>
              </w:rPr>
              <w:t>序号</w:t>
            </w:r>
          </w:p>
        </w:tc>
        <w:tc>
          <w:tcPr>
            <w:tcW w:w="3514" w:type="dxa"/>
            <w:vAlign w:val="center"/>
          </w:tcPr>
          <w:p>
            <w:pPr>
              <w:adjustRightInd w:val="0"/>
              <w:snapToGrid w:val="0"/>
              <w:spacing w:line="360" w:lineRule="auto"/>
              <w:jc w:val="center"/>
              <w:rPr>
                <w:rFonts w:ascii="宋体" w:hAnsi="宋体"/>
                <w:kern w:val="0"/>
                <w:szCs w:val="21"/>
              </w:rPr>
            </w:pPr>
            <w:r>
              <w:rPr>
                <w:rFonts w:hint="eastAsia" w:ascii="宋体" w:hAnsi="宋体"/>
                <w:kern w:val="0"/>
                <w:szCs w:val="21"/>
              </w:rPr>
              <w:t>实质性条款具体内容</w:t>
            </w:r>
          </w:p>
        </w:tc>
        <w:tc>
          <w:tcPr>
            <w:tcW w:w="1559" w:type="dxa"/>
            <w:vAlign w:val="center"/>
          </w:tcPr>
          <w:p>
            <w:pPr>
              <w:adjustRightInd w:val="0"/>
              <w:snapToGrid w:val="0"/>
              <w:spacing w:line="360" w:lineRule="auto"/>
              <w:jc w:val="center"/>
              <w:rPr>
                <w:rFonts w:ascii="宋体" w:hAnsi="宋体"/>
                <w:kern w:val="0"/>
                <w:szCs w:val="21"/>
              </w:rPr>
            </w:pPr>
            <w:r>
              <w:rPr>
                <w:rFonts w:hint="eastAsia"/>
              </w:rPr>
              <w:t>投标响应</w:t>
            </w:r>
          </w:p>
        </w:tc>
        <w:tc>
          <w:tcPr>
            <w:tcW w:w="1276" w:type="dxa"/>
            <w:vAlign w:val="center"/>
          </w:tcPr>
          <w:p>
            <w:pPr>
              <w:adjustRightInd w:val="0"/>
              <w:snapToGrid w:val="0"/>
              <w:spacing w:line="360" w:lineRule="auto"/>
              <w:jc w:val="center"/>
              <w:rPr>
                <w:rFonts w:ascii="宋体" w:hAnsi="宋体"/>
                <w:kern w:val="0"/>
                <w:szCs w:val="21"/>
              </w:rPr>
            </w:pPr>
            <w:r>
              <w:rPr>
                <w:rFonts w:hint="eastAsia"/>
              </w:rPr>
              <w:t>偏离情况</w:t>
            </w:r>
          </w:p>
        </w:tc>
        <w:tc>
          <w:tcPr>
            <w:tcW w:w="1163" w:type="dxa"/>
            <w:vAlign w:val="center"/>
          </w:tcPr>
          <w:p>
            <w:pPr>
              <w:adjustRightInd w:val="0"/>
              <w:snapToGrid w:val="0"/>
              <w:spacing w:line="360" w:lineRule="auto"/>
              <w:jc w:val="center"/>
              <w:rPr>
                <w:rFonts w:ascii="宋体" w:hAnsi="宋体"/>
                <w:kern w:val="0"/>
                <w:szCs w:val="21"/>
              </w:rPr>
            </w:pPr>
            <w:r>
              <w:rPr>
                <w:rFonts w:hint="eastAsia"/>
              </w:rPr>
              <w:t>说明</w:t>
            </w:r>
          </w:p>
        </w:tc>
      </w:tr>
      <w:bookmarkEnd w:id="5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pPr>
              <w:adjustRightInd w:val="0"/>
              <w:snapToGrid w:val="0"/>
              <w:spacing w:line="360" w:lineRule="auto"/>
              <w:jc w:val="center"/>
              <w:rPr>
                <w:rFonts w:ascii="宋体" w:hAnsi="宋体"/>
                <w:kern w:val="0"/>
                <w:szCs w:val="21"/>
              </w:rPr>
            </w:pPr>
            <w:r>
              <w:rPr>
                <w:rFonts w:hint="eastAsia" w:ascii="宋体" w:hAnsi="宋体"/>
                <w:kern w:val="0"/>
                <w:szCs w:val="21"/>
              </w:rPr>
              <w:t>1</w:t>
            </w:r>
          </w:p>
        </w:tc>
        <w:tc>
          <w:tcPr>
            <w:tcW w:w="3514" w:type="dxa"/>
          </w:tcPr>
          <w:p>
            <w:pPr>
              <w:adjustRightInd w:val="0"/>
              <w:snapToGrid w:val="0"/>
              <w:spacing w:line="360" w:lineRule="auto"/>
              <w:jc w:val="left"/>
              <w:rPr>
                <w:rFonts w:hAnsi="宋体"/>
                <w:kern w:val="0"/>
                <w:szCs w:val="21"/>
              </w:rPr>
            </w:pPr>
            <w:r>
              <w:rPr>
                <w:rFonts w:hint="eastAsia"/>
              </w:rPr>
              <w:t>完全满足本项目服务期限的要求。</w:t>
            </w:r>
          </w:p>
        </w:tc>
        <w:tc>
          <w:tcPr>
            <w:tcW w:w="1559" w:type="dxa"/>
          </w:tcPr>
          <w:p>
            <w:pPr>
              <w:adjustRightInd w:val="0"/>
              <w:snapToGrid w:val="0"/>
              <w:spacing w:line="360" w:lineRule="auto"/>
              <w:rPr>
                <w:rFonts w:ascii="宋体" w:hAnsi="宋体"/>
                <w:kern w:val="0"/>
                <w:szCs w:val="21"/>
              </w:rPr>
            </w:pPr>
          </w:p>
        </w:tc>
        <w:tc>
          <w:tcPr>
            <w:tcW w:w="1276" w:type="dxa"/>
          </w:tcPr>
          <w:p>
            <w:pPr>
              <w:adjustRightInd w:val="0"/>
              <w:snapToGrid w:val="0"/>
              <w:spacing w:line="360" w:lineRule="auto"/>
              <w:rPr>
                <w:rFonts w:ascii="宋体" w:hAnsi="宋体"/>
                <w:kern w:val="0"/>
                <w:szCs w:val="21"/>
              </w:rPr>
            </w:pPr>
          </w:p>
        </w:tc>
        <w:tc>
          <w:tcPr>
            <w:tcW w:w="1163" w:type="dxa"/>
          </w:tcPr>
          <w:p>
            <w:pPr>
              <w:adjustRightInd w:val="0"/>
              <w:snapToGrid w:val="0"/>
              <w:spacing w:line="360" w:lineRule="auto"/>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pPr>
              <w:adjustRightInd w:val="0"/>
              <w:snapToGrid w:val="0"/>
              <w:spacing w:line="360" w:lineRule="auto"/>
              <w:jc w:val="center"/>
              <w:rPr>
                <w:rFonts w:ascii="宋体" w:hAnsi="宋体"/>
                <w:kern w:val="0"/>
                <w:szCs w:val="21"/>
              </w:rPr>
            </w:pPr>
            <w:r>
              <w:rPr>
                <w:rFonts w:hint="eastAsia" w:ascii="宋体" w:hAnsi="宋体"/>
                <w:kern w:val="0"/>
                <w:szCs w:val="21"/>
              </w:rPr>
              <w:t>3</w:t>
            </w:r>
          </w:p>
        </w:tc>
        <w:tc>
          <w:tcPr>
            <w:tcW w:w="3514" w:type="dxa"/>
          </w:tcPr>
          <w:p>
            <w:pPr>
              <w:adjustRightInd w:val="0"/>
              <w:snapToGrid w:val="0"/>
              <w:spacing w:line="360" w:lineRule="auto"/>
              <w:jc w:val="left"/>
              <w:rPr>
                <w:rFonts w:ascii="宋体" w:hAnsi="宋体"/>
                <w:kern w:val="0"/>
                <w:szCs w:val="21"/>
              </w:rPr>
            </w:pPr>
            <w:r>
              <w:rPr>
                <w:rFonts w:hint="eastAsia"/>
              </w:rPr>
              <w:t>系统免费维保期</w:t>
            </w:r>
            <w:r>
              <w:rPr>
                <w:rFonts w:hint="eastAsia"/>
                <w:u w:val="single"/>
                <w:shd w:val="clear" w:color="auto" w:fill="FFFFFF"/>
              </w:rPr>
              <w:t xml:space="preserve">   </w:t>
            </w:r>
            <w:r>
              <w:rPr>
                <w:u w:val="single"/>
                <w:shd w:val="clear" w:color="auto" w:fill="FFFFFF"/>
              </w:rPr>
              <w:t>1</w:t>
            </w:r>
            <w:r>
              <w:rPr>
                <w:rFonts w:hint="eastAsia"/>
                <w:u w:val="single"/>
                <w:shd w:val="clear" w:color="auto" w:fill="FFFFFF"/>
              </w:rPr>
              <w:t xml:space="preserve">   </w:t>
            </w:r>
            <w:r>
              <w:rPr>
                <w:rFonts w:hint="eastAsia"/>
              </w:rPr>
              <w:t>年，时间自最终验收合格之日起计算。</w:t>
            </w:r>
          </w:p>
        </w:tc>
        <w:tc>
          <w:tcPr>
            <w:tcW w:w="1559" w:type="dxa"/>
          </w:tcPr>
          <w:p>
            <w:pPr>
              <w:adjustRightInd w:val="0"/>
              <w:snapToGrid w:val="0"/>
              <w:spacing w:line="360" w:lineRule="auto"/>
              <w:rPr>
                <w:rFonts w:ascii="宋体" w:hAnsi="宋体"/>
                <w:kern w:val="0"/>
                <w:szCs w:val="21"/>
              </w:rPr>
            </w:pPr>
          </w:p>
        </w:tc>
        <w:tc>
          <w:tcPr>
            <w:tcW w:w="1276" w:type="dxa"/>
          </w:tcPr>
          <w:p>
            <w:pPr>
              <w:adjustRightInd w:val="0"/>
              <w:snapToGrid w:val="0"/>
              <w:spacing w:line="360" w:lineRule="auto"/>
              <w:rPr>
                <w:rFonts w:ascii="宋体" w:hAnsi="宋体"/>
                <w:kern w:val="0"/>
                <w:szCs w:val="21"/>
              </w:rPr>
            </w:pPr>
          </w:p>
        </w:tc>
        <w:tc>
          <w:tcPr>
            <w:tcW w:w="1163" w:type="dxa"/>
          </w:tcPr>
          <w:p>
            <w:pPr>
              <w:adjustRightInd w:val="0"/>
              <w:snapToGrid w:val="0"/>
              <w:spacing w:line="360" w:lineRule="auto"/>
              <w:rPr>
                <w:rFonts w:ascii="宋体" w:hAnsi="宋体"/>
                <w:kern w:val="0"/>
                <w:szCs w:val="21"/>
              </w:rPr>
            </w:pPr>
          </w:p>
        </w:tc>
      </w:tr>
    </w:tbl>
    <w:p>
      <w:pPr>
        <w:ind w:firstLine="482" w:firstLineChars="200"/>
        <w:rPr>
          <w:b/>
          <w:sz w:val="24"/>
          <w:szCs w:val="22"/>
        </w:rPr>
      </w:pPr>
    </w:p>
    <w:p>
      <w:pPr>
        <w:ind w:firstLine="482" w:firstLineChars="200"/>
        <w:rPr>
          <w:b/>
          <w:sz w:val="24"/>
          <w:szCs w:val="22"/>
        </w:rPr>
      </w:pPr>
      <w:r>
        <w:rPr>
          <w:rFonts w:hint="eastAsia"/>
          <w:b/>
          <w:sz w:val="24"/>
          <w:szCs w:val="22"/>
        </w:rPr>
        <w:t>注：1. 上表所列各项均为不可负偏离条款。</w:t>
      </w:r>
    </w:p>
    <w:p>
      <w:pPr>
        <w:ind w:firstLine="482" w:firstLineChars="200"/>
        <w:rPr>
          <w:b/>
          <w:sz w:val="24"/>
          <w:szCs w:val="22"/>
        </w:rPr>
      </w:pPr>
      <w:r>
        <w:rPr>
          <w:rFonts w:hint="eastAsia"/>
          <w:b/>
          <w:sz w:val="24"/>
          <w:szCs w:val="22"/>
        </w:rPr>
        <w:t>2.“投标响应”一栏应当详细填写投标人自身响应情况，而不能不合理照搬照抄招实质性条款具体内容。</w:t>
      </w:r>
    </w:p>
    <w:p>
      <w:pPr>
        <w:ind w:firstLine="482" w:firstLineChars="200"/>
        <w:rPr>
          <w:b/>
          <w:sz w:val="24"/>
          <w:szCs w:val="22"/>
        </w:rPr>
      </w:pPr>
      <w:r>
        <w:rPr>
          <w:rFonts w:hint="eastAsia"/>
          <w:b/>
          <w:sz w:val="24"/>
          <w:szCs w:val="22"/>
        </w:rPr>
        <w:t>3</w:t>
      </w:r>
      <w:r>
        <w:rPr>
          <w:b/>
          <w:sz w:val="24"/>
          <w:szCs w:val="22"/>
        </w:rPr>
        <w:t>.</w:t>
      </w:r>
      <w:r>
        <w:rPr>
          <w:rFonts w:hint="eastAsia"/>
          <w:b/>
          <w:sz w:val="24"/>
          <w:szCs w:val="22"/>
        </w:rPr>
        <w:t>“偏离情况”一栏应填写“正偏离”、“负偏离”或“无偏离”，</w:t>
      </w:r>
      <w:r>
        <w:rPr>
          <w:rFonts w:hint="eastAsia"/>
          <w:b/>
          <w:sz w:val="24"/>
        </w:rPr>
        <w:t>“正偏离”表示“投标响应优于实质性条款具体内容要求”，“负偏离”表示“投标响应不满足实质性条款具体内容要求”，“无偏离”表示“投标响应与实质性条款具体内容要求一致”。</w:t>
      </w:r>
    </w:p>
    <w:p>
      <w:pPr>
        <w:ind w:firstLine="482" w:firstLineChars="200"/>
        <w:rPr>
          <w:b/>
          <w:sz w:val="24"/>
        </w:rPr>
      </w:pPr>
      <w:r>
        <w:rPr>
          <w:b/>
          <w:sz w:val="24"/>
        </w:rPr>
        <w:t>4.</w:t>
      </w:r>
      <w:r>
        <w:rPr>
          <w:rFonts w:hint="eastAsia"/>
          <w:b/>
          <w:sz w:val="24"/>
        </w:rPr>
        <w:t>评审委员会有权对投标响应情况作出判断（作出评审结论）。</w:t>
      </w:r>
    </w:p>
    <w:p>
      <w:pPr>
        <w:ind w:firstLine="482" w:firstLineChars="200"/>
      </w:pPr>
      <w:r>
        <w:rPr>
          <w:b/>
          <w:sz w:val="24"/>
          <w:szCs w:val="22"/>
        </w:rPr>
        <w:t>5</w:t>
      </w:r>
      <w:r>
        <w:rPr>
          <w:rFonts w:hint="eastAsia"/>
          <w:b/>
          <w:sz w:val="24"/>
          <w:szCs w:val="22"/>
        </w:rPr>
        <w:t>.实质性响应条款“投标响应情况”与投标文件其它内容冲突的，以实质性响应条款“投标响应情况”为准。</w:t>
      </w:r>
    </w:p>
    <w:p/>
    <w:p>
      <w:pPr>
        <w:rPr>
          <w:b/>
          <w:bCs/>
          <w:sz w:val="24"/>
        </w:rPr>
      </w:pPr>
    </w:p>
    <w:p>
      <w:pPr>
        <w:rPr>
          <w:rFonts w:ascii="黑体" w:hAnsi="宋体" w:eastAsia="黑体"/>
          <w:sz w:val="24"/>
          <w:szCs w:val="20"/>
        </w:rPr>
      </w:pPr>
      <w:r>
        <w:rPr>
          <w:rFonts w:hint="eastAsia" w:ascii="黑体" w:hAnsi="宋体" w:eastAsia="黑体"/>
          <w:sz w:val="24"/>
          <w:szCs w:val="20"/>
        </w:rPr>
        <w:t>四、实施方案（格式自定）</w:t>
      </w:r>
    </w:p>
    <w:p>
      <w:pPr>
        <w:pStyle w:val="7"/>
        <w:ind w:firstLine="0"/>
        <w:rPr>
          <w:rFonts w:ascii="黑体" w:hAnsi="宋体" w:eastAsia="黑体"/>
          <w:sz w:val="24"/>
        </w:rPr>
      </w:pPr>
    </w:p>
    <w:p>
      <w:pPr>
        <w:pStyle w:val="7"/>
        <w:ind w:firstLine="0"/>
        <w:rPr>
          <w:rFonts w:ascii="黑体" w:hAnsi="宋体" w:eastAsia="黑体"/>
          <w:sz w:val="24"/>
        </w:rPr>
      </w:pPr>
      <w:r>
        <w:rPr>
          <w:rFonts w:hint="eastAsia" w:ascii="黑体" w:hAnsi="宋体" w:eastAsia="黑体"/>
          <w:sz w:val="24"/>
        </w:rPr>
        <w:t>五、项目重点难点分析、应对措施及相关的合理化建议（格式自定）</w:t>
      </w:r>
    </w:p>
    <w:p>
      <w:pPr>
        <w:pStyle w:val="7"/>
        <w:ind w:firstLine="0"/>
        <w:rPr>
          <w:rFonts w:ascii="黑体" w:hAnsi="宋体" w:eastAsia="黑体"/>
          <w:sz w:val="24"/>
        </w:rPr>
      </w:pPr>
    </w:p>
    <w:p>
      <w:pPr>
        <w:pStyle w:val="7"/>
        <w:ind w:firstLine="0"/>
        <w:rPr>
          <w:rFonts w:ascii="黑体" w:hAnsi="宋体" w:eastAsia="黑体"/>
          <w:sz w:val="24"/>
        </w:rPr>
      </w:pPr>
      <w:r>
        <w:rPr>
          <w:rFonts w:hint="eastAsia" w:ascii="黑体" w:hAnsi="宋体" w:eastAsia="黑体"/>
          <w:sz w:val="24"/>
        </w:rPr>
        <w:t>六、质量（完成时间、安全、环保）保障措施及方案（格式自定）</w:t>
      </w:r>
    </w:p>
    <w:p>
      <w:pPr>
        <w:pStyle w:val="7"/>
        <w:ind w:firstLine="0"/>
        <w:rPr>
          <w:rFonts w:ascii="黑体" w:hAnsi="宋体" w:eastAsia="黑体"/>
          <w:sz w:val="24"/>
        </w:rPr>
      </w:pPr>
    </w:p>
    <w:p>
      <w:pPr>
        <w:pStyle w:val="7"/>
        <w:ind w:firstLine="0"/>
        <w:rPr>
          <w:rFonts w:ascii="黑体" w:hAnsi="宋体" w:eastAsia="黑体"/>
          <w:sz w:val="24"/>
        </w:rPr>
      </w:pPr>
      <w:r>
        <w:rPr>
          <w:rFonts w:hint="eastAsia" w:ascii="黑体" w:hAnsi="宋体" w:eastAsia="黑体"/>
          <w:sz w:val="24"/>
        </w:rPr>
        <w:t>七、项目完成（服务期满）后的服务承诺（格式自定）</w:t>
      </w:r>
    </w:p>
    <w:p>
      <w:pPr>
        <w:pStyle w:val="7"/>
        <w:ind w:firstLine="0"/>
        <w:rPr>
          <w:rFonts w:ascii="黑体" w:hAnsi="宋体" w:eastAsia="黑体"/>
          <w:sz w:val="24"/>
        </w:rPr>
      </w:pPr>
    </w:p>
    <w:p>
      <w:pPr>
        <w:pStyle w:val="7"/>
        <w:ind w:firstLine="0"/>
        <w:rPr>
          <w:rFonts w:ascii="黑体" w:hAnsi="宋体" w:eastAsia="黑体"/>
          <w:sz w:val="24"/>
        </w:rPr>
      </w:pPr>
      <w:r>
        <w:rPr>
          <w:rFonts w:hint="eastAsia" w:ascii="黑体" w:hAnsi="宋体" w:eastAsia="黑体"/>
          <w:sz w:val="24"/>
        </w:rPr>
        <w:t>八、违约承诺（格式自定）</w:t>
      </w:r>
    </w:p>
    <w:p>
      <w:pPr>
        <w:pStyle w:val="7"/>
        <w:spacing w:beforeLines="25" w:afterLines="25"/>
        <w:ind w:firstLine="0"/>
        <w:rPr>
          <w:rFonts w:ascii="黑体" w:hAnsi="宋体" w:eastAsia="黑体"/>
          <w:sz w:val="24"/>
        </w:rPr>
      </w:pPr>
    </w:p>
    <w:p>
      <w:pPr>
        <w:pStyle w:val="7"/>
        <w:spacing w:beforeLines="25" w:afterLines="25"/>
        <w:ind w:firstLine="0"/>
        <w:rPr>
          <w:rFonts w:ascii="黑体" w:hAnsi="宋体" w:eastAsia="黑体"/>
          <w:sz w:val="24"/>
        </w:rPr>
      </w:pPr>
      <w:r>
        <w:rPr>
          <w:rFonts w:hint="eastAsia" w:ascii="黑体" w:hAnsi="宋体" w:eastAsia="黑体"/>
          <w:sz w:val="24"/>
        </w:rPr>
        <w:t>九、拟安排的项目负责人情况（仅限一人）（格式自定）</w:t>
      </w:r>
    </w:p>
    <w:p>
      <w:pPr>
        <w:pStyle w:val="7"/>
        <w:spacing w:beforeLines="25" w:afterLines="25"/>
        <w:ind w:firstLine="0"/>
        <w:rPr>
          <w:rFonts w:ascii="黑体" w:hAnsi="宋体" w:eastAsia="黑体"/>
          <w:sz w:val="24"/>
        </w:rPr>
      </w:pPr>
    </w:p>
    <w:p>
      <w:pPr>
        <w:pStyle w:val="7"/>
        <w:spacing w:beforeLines="25" w:afterLines="25"/>
        <w:ind w:firstLine="0"/>
        <w:rPr>
          <w:rFonts w:ascii="黑体" w:hAnsi="宋体" w:eastAsia="黑体"/>
          <w:sz w:val="24"/>
        </w:rPr>
      </w:pPr>
      <w:r>
        <w:rPr>
          <w:rFonts w:hint="eastAsia" w:ascii="黑体" w:hAnsi="宋体" w:eastAsia="黑体"/>
          <w:sz w:val="24"/>
        </w:rPr>
        <w:t>十、拟安排的项目主要团队成员（主要技术人员）情况（项目负责人除外）（格式自定）</w:t>
      </w:r>
    </w:p>
    <w:p>
      <w:pPr>
        <w:rPr>
          <w:rFonts w:ascii="黑体" w:hAnsi="宋体" w:eastAsia="黑体"/>
          <w:sz w:val="24"/>
          <w:szCs w:val="20"/>
        </w:rPr>
      </w:pPr>
    </w:p>
    <w:p>
      <w:pPr>
        <w:rPr>
          <w:rFonts w:ascii="黑体" w:hAnsi="宋体" w:eastAsia="黑体"/>
          <w:sz w:val="24"/>
          <w:szCs w:val="20"/>
        </w:rPr>
      </w:pPr>
      <w:r>
        <w:rPr>
          <w:rFonts w:hint="eastAsia" w:ascii="黑体" w:hAnsi="宋体" w:eastAsia="黑体"/>
          <w:sz w:val="24"/>
          <w:szCs w:val="20"/>
        </w:rPr>
        <w:t>十一、投标人认为需要加以说明的其他内容</w:t>
      </w:r>
    </w:p>
    <w:p/>
    <w:p>
      <w:pPr>
        <w:widowControl/>
        <w:jc w:val="left"/>
        <w:rPr>
          <w:rFonts w:ascii="宋体" w:hAnsi="宋体"/>
          <w:b/>
          <w:bCs/>
          <w:kern w:val="0"/>
          <w:sz w:val="24"/>
          <w:szCs w:val="20"/>
        </w:rPr>
      </w:pPr>
      <w:r>
        <w:br w:type="page"/>
      </w:r>
    </w:p>
    <w:p>
      <w:pPr>
        <w:pStyle w:val="5"/>
      </w:pPr>
      <w:r>
        <w:rPr>
          <w:rFonts w:hint="eastAsia"/>
        </w:rPr>
        <w:t>第五章  合同条款及格式</w:t>
      </w:r>
    </w:p>
    <w:p>
      <w:pPr>
        <w:ind w:firstLine="411" w:firstLineChars="196"/>
      </w:pPr>
    </w:p>
    <w:p>
      <w:pPr>
        <w:jc w:val="center"/>
        <w:outlineLvl w:val="0"/>
      </w:pPr>
      <w:r>
        <w:rPr>
          <w:rFonts w:hint="eastAsia"/>
          <w:b/>
          <w:sz w:val="24"/>
        </w:rPr>
        <w:t>（仅供参考，具体以项目需求及采购结果为准）</w:t>
      </w:r>
    </w:p>
    <w:p>
      <w:pPr>
        <w:rPr>
          <w:rFonts w:ascii="宋体" w:hAnsi="宋体"/>
          <w:b/>
          <w:bCs/>
          <w:szCs w:val="21"/>
        </w:rPr>
      </w:pPr>
      <w:r>
        <w:rPr>
          <w:rFonts w:hint="eastAsia" w:ascii="宋体" w:hAnsi="宋体"/>
          <w:b/>
          <w:bCs/>
          <w:szCs w:val="21"/>
        </w:rPr>
        <w:t>甲方：</w:t>
      </w:r>
    </w:p>
    <w:p>
      <w:pPr>
        <w:rPr>
          <w:rFonts w:ascii="宋体" w:hAnsi="宋体"/>
          <w:szCs w:val="21"/>
        </w:rPr>
      </w:pPr>
      <w:r>
        <w:rPr>
          <w:rFonts w:hint="eastAsia" w:ascii="宋体" w:hAnsi="宋体"/>
          <w:szCs w:val="21"/>
        </w:rPr>
        <w:t>地址：</w:t>
      </w:r>
    </w:p>
    <w:p>
      <w:pPr>
        <w:rPr>
          <w:rFonts w:ascii="宋体" w:hAnsi="宋体"/>
          <w:szCs w:val="21"/>
        </w:rPr>
      </w:pPr>
      <w:r>
        <w:rPr>
          <w:rFonts w:hint="eastAsia" w:ascii="宋体" w:hAnsi="宋体"/>
          <w:szCs w:val="21"/>
        </w:rPr>
        <w:t>联系人：</w:t>
      </w:r>
      <w:r>
        <w:rPr>
          <w:rFonts w:ascii="宋体" w:hAnsi="宋体"/>
          <w:szCs w:val="21"/>
        </w:rPr>
        <w:t xml:space="preserve">                          </w:t>
      </w:r>
    </w:p>
    <w:p>
      <w:pPr>
        <w:rPr>
          <w:rFonts w:ascii="宋体" w:hAnsi="宋体"/>
          <w:b/>
          <w:bCs/>
          <w:szCs w:val="21"/>
        </w:rPr>
      </w:pPr>
      <w:r>
        <w:rPr>
          <w:rFonts w:hint="eastAsia" w:ascii="宋体" w:hAnsi="宋体"/>
          <w:szCs w:val="21"/>
        </w:rPr>
        <w:t>联系电话：</w:t>
      </w:r>
    </w:p>
    <w:p>
      <w:pPr>
        <w:rPr>
          <w:rFonts w:ascii="宋体" w:hAnsi="宋体"/>
          <w:b/>
          <w:bCs/>
          <w:szCs w:val="21"/>
        </w:rPr>
      </w:pPr>
      <w:r>
        <w:rPr>
          <w:rFonts w:ascii="宋体" w:hAnsi="宋体"/>
          <w:b/>
          <w:bCs/>
          <w:szCs w:val="21"/>
        </w:rPr>
        <w:t xml:space="preserve"> </w:t>
      </w:r>
      <w:r>
        <w:rPr>
          <w:rFonts w:hint="eastAsia" w:ascii="宋体" w:hAnsi="宋体"/>
          <w:b/>
          <w:bCs/>
          <w:szCs w:val="21"/>
        </w:rPr>
        <w:t xml:space="preserve"> </w:t>
      </w:r>
      <w:r>
        <w:rPr>
          <w:rFonts w:ascii="宋体" w:hAnsi="宋体"/>
          <w:b/>
          <w:bCs/>
          <w:szCs w:val="21"/>
        </w:rPr>
        <w:t xml:space="preserve"> </w:t>
      </w:r>
    </w:p>
    <w:p>
      <w:pPr>
        <w:rPr>
          <w:rFonts w:ascii="宋体" w:hAnsi="宋体"/>
          <w:b/>
          <w:bCs/>
          <w:szCs w:val="21"/>
        </w:rPr>
      </w:pPr>
      <w:r>
        <w:rPr>
          <w:rFonts w:hint="eastAsia" w:ascii="宋体" w:hAnsi="宋体"/>
          <w:b/>
          <w:bCs/>
          <w:szCs w:val="21"/>
        </w:rPr>
        <w:t>乙方：</w:t>
      </w:r>
    </w:p>
    <w:p>
      <w:pPr>
        <w:rPr>
          <w:rFonts w:ascii="宋体" w:hAnsi="宋体"/>
          <w:szCs w:val="21"/>
        </w:rPr>
      </w:pPr>
      <w:r>
        <w:rPr>
          <w:rFonts w:hint="eastAsia" w:ascii="宋体" w:hAnsi="宋体"/>
          <w:szCs w:val="21"/>
        </w:rPr>
        <w:t>地址：</w:t>
      </w:r>
    </w:p>
    <w:p>
      <w:pPr>
        <w:rPr>
          <w:rFonts w:ascii="宋体" w:hAnsi="宋体"/>
          <w:szCs w:val="21"/>
        </w:rPr>
      </w:pPr>
      <w:r>
        <w:rPr>
          <w:rFonts w:hint="eastAsia" w:ascii="宋体" w:hAnsi="宋体"/>
          <w:szCs w:val="21"/>
        </w:rPr>
        <w:t>联系人：</w:t>
      </w:r>
      <w:r>
        <w:rPr>
          <w:rFonts w:ascii="宋体" w:hAnsi="宋体"/>
          <w:szCs w:val="21"/>
        </w:rPr>
        <w:t xml:space="preserve">                          </w:t>
      </w:r>
    </w:p>
    <w:p>
      <w:pPr>
        <w:rPr>
          <w:rFonts w:ascii="宋体" w:hAnsi="宋体"/>
          <w:b/>
          <w:bCs/>
          <w:szCs w:val="21"/>
        </w:rPr>
      </w:pPr>
      <w:r>
        <w:rPr>
          <w:rFonts w:hint="eastAsia" w:ascii="宋体" w:hAnsi="宋体"/>
          <w:szCs w:val="21"/>
        </w:rPr>
        <w:t>联系电话：</w:t>
      </w:r>
    </w:p>
    <w:p>
      <w:pPr>
        <w:rPr>
          <w:rFonts w:ascii="宋体" w:hAnsi="宋体"/>
          <w:szCs w:val="21"/>
        </w:rPr>
      </w:pPr>
      <w:r>
        <w:rPr>
          <w:rFonts w:ascii="宋体" w:hAnsi="宋体"/>
          <w:b/>
          <w:bCs/>
          <w:szCs w:val="21"/>
        </w:rPr>
        <w:t xml:space="preserve">            </w:t>
      </w:r>
      <w:r>
        <w:rPr>
          <w:rFonts w:hint="eastAsia" w:ascii="宋体" w:hAnsi="宋体"/>
          <w:b/>
          <w:bCs/>
          <w:szCs w:val="21"/>
        </w:rPr>
        <w:t xml:space="preserve">          </w:t>
      </w:r>
    </w:p>
    <w:p>
      <w:pPr>
        <w:rPr>
          <w:rFonts w:ascii="宋体" w:hAnsi="宋体"/>
          <w:szCs w:val="21"/>
        </w:rPr>
      </w:pPr>
    </w:p>
    <w:p>
      <w:pPr>
        <w:ind w:firstLine="420" w:firstLineChars="200"/>
        <w:rPr>
          <w:rFonts w:ascii="宋体" w:hAnsi="宋体"/>
          <w:szCs w:val="21"/>
        </w:rPr>
      </w:pPr>
      <w:r>
        <w:rPr>
          <w:rFonts w:hint="eastAsia" w:ascii="宋体" w:hAnsi="宋体"/>
          <w:szCs w:val="21"/>
        </w:rPr>
        <w:t>根据深圳公共资源交易中心（深圳交易集团有限公司政府采购业务分公司）</w:t>
      </w:r>
      <w:r>
        <w:rPr>
          <w:rFonts w:hint="eastAsia" w:ascii="宋体" w:hAnsi="宋体"/>
          <w:szCs w:val="21"/>
          <w:highlight w:val="yellow"/>
        </w:rPr>
        <w:t>*</w:t>
      </w:r>
      <w:r>
        <w:rPr>
          <w:rFonts w:ascii="宋体" w:hAnsi="宋体"/>
          <w:szCs w:val="21"/>
          <w:highlight w:val="yellow"/>
        </w:rPr>
        <w:t>**</w:t>
      </w:r>
      <w:r>
        <w:rPr>
          <w:rFonts w:hint="eastAsia" w:ascii="宋体" w:hAnsi="宋体"/>
          <w:szCs w:val="21"/>
          <w:highlight w:val="yellow"/>
        </w:rPr>
        <w:t>号项目结果，</w:t>
      </w:r>
      <w:r>
        <w:rPr>
          <w:rFonts w:hint="eastAsia" w:ascii="宋体" w:hAnsi="宋体"/>
          <w:szCs w:val="21"/>
        </w:rPr>
        <w:t>*</w:t>
      </w:r>
      <w:r>
        <w:rPr>
          <w:rFonts w:ascii="宋体" w:hAnsi="宋体"/>
          <w:szCs w:val="21"/>
        </w:rPr>
        <w:t>**</w:t>
      </w:r>
      <w:r>
        <w:rPr>
          <w:rFonts w:hint="eastAsia" w:ascii="宋体" w:hAnsi="宋体"/>
          <w:szCs w:val="21"/>
        </w:rPr>
        <w:t>单位为中标人。按照《中华人民共和国民法典》（第三编 合同）》和《深圳经济特区政府采购条例》，经深圳市（以下简称甲方）和单位（以下简称乙方）协商，就甲方委托乙方承担</w:t>
      </w:r>
      <w:r>
        <w:rPr>
          <w:rFonts w:hint="eastAsia" w:ascii="宋体" w:hAnsi="宋体"/>
          <w:b/>
          <w:bCs/>
          <w:snapToGrid w:val="0"/>
          <w:kern w:val="0"/>
          <w:szCs w:val="21"/>
          <w:u w:val="single"/>
          <w:lang w:val="zh-CN"/>
        </w:rPr>
        <w:t xml:space="preserve">                      服务项目</w:t>
      </w:r>
      <w:r>
        <w:rPr>
          <w:rFonts w:hint="eastAsia" w:ascii="宋体" w:hAnsi="宋体"/>
          <w:szCs w:val="21"/>
        </w:rPr>
        <w:t>，达成以下合同条款：</w:t>
      </w:r>
    </w:p>
    <w:p>
      <w:pPr>
        <w:ind w:firstLine="422" w:firstLineChars="200"/>
        <w:rPr>
          <w:rFonts w:ascii="宋体" w:hAnsi="宋体"/>
          <w:b/>
          <w:bCs/>
          <w:szCs w:val="21"/>
        </w:rPr>
      </w:pPr>
      <w:r>
        <w:rPr>
          <w:rFonts w:hint="eastAsia" w:ascii="宋体" w:hAnsi="宋体"/>
          <w:b/>
          <w:bCs/>
          <w:szCs w:val="21"/>
        </w:rPr>
        <w:t>第一条　项目概况</w:t>
      </w:r>
    </w:p>
    <w:p>
      <w:pPr>
        <w:ind w:firstLine="420" w:firstLineChars="200"/>
        <w:rPr>
          <w:rFonts w:ascii="宋体" w:hAnsi="宋体"/>
          <w:szCs w:val="21"/>
        </w:rPr>
      </w:pPr>
      <w:r>
        <w:rPr>
          <w:rFonts w:hint="eastAsia" w:ascii="宋体" w:hAnsi="宋体"/>
          <w:szCs w:val="21"/>
        </w:rPr>
        <w:t xml:space="preserve">项目名称： </w:t>
      </w:r>
    </w:p>
    <w:p>
      <w:pPr>
        <w:ind w:firstLine="420" w:firstLineChars="200"/>
        <w:rPr>
          <w:rFonts w:ascii="宋体" w:hAnsi="宋体"/>
          <w:szCs w:val="21"/>
        </w:rPr>
      </w:pPr>
      <w:r>
        <w:rPr>
          <w:rFonts w:hint="eastAsia" w:ascii="宋体" w:hAnsi="宋体"/>
          <w:szCs w:val="21"/>
        </w:rPr>
        <w:t xml:space="preserve">项目内容： </w:t>
      </w:r>
    </w:p>
    <w:p>
      <w:pPr>
        <w:ind w:firstLine="420" w:firstLineChars="200"/>
        <w:rPr>
          <w:rFonts w:ascii="宋体" w:hAnsi="宋体"/>
          <w:szCs w:val="21"/>
        </w:rPr>
      </w:pPr>
      <w:r>
        <w:rPr>
          <w:rFonts w:hint="eastAsia" w:ascii="宋体" w:hAnsi="宋体"/>
          <w:szCs w:val="21"/>
        </w:rPr>
        <w:t xml:space="preserve">服务时间： </w:t>
      </w:r>
    </w:p>
    <w:p>
      <w:pPr>
        <w:ind w:firstLine="420" w:firstLineChars="200"/>
        <w:rPr>
          <w:rFonts w:ascii="宋体" w:hAnsi="宋体"/>
          <w:szCs w:val="21"/>
        </w:rPr>
      </w:pPr>
      <w:r>
        <w:rPr>
          <w:rFonts w:hint="eastAsia" w:ascii="宋体" w:hAnsi="宋体"/>
          <w:szCs w:val="21"/>
        </w:rPr>
        <w:t>合同价款：合同总价为元，含一切税、费。</w:t>
      </w:r>
      <w:r>
        <w:t>本合同总价包括</w:t>
      </w:r>
      <w:r>
        <w:rPr>
          <w:rFonts w:hint="eastAsia" w:ascii="宋体" w:hAnsi="宋体"/>
          <w:szCs w:val="21"/>
        </w:rPr>
        <w:t>乙方为实施本项目*</w:t>
      </w:r>
      <w:r>
        <w:rPr>
          <w:rFonts w:ascii="宋体" w:hAnsi="宋体"/>
          <w:szCs w:val="21"/>
        </w:rPr>
        <w:t>**</w:t>
      </w:r>
      <w:r>
        <w:rPr>
          <w:rFonts w:hint="eastAsia" w:ascii="宋体" w:hAnsi="宋体"/>
          <w:szCs w:val="21"/>
        </w:rPr>
        <w:t>所需的设备仪器费、车辆租赁费、</w:t>
      </w:r>
      <w:r>
        <w:t>服务</w:t>
      </w:r>
      <w:r>
        <w:rPr>
          <w:rFonts w:hint="eastAsia"/>
        </w:rPr>
        <w:t>和</w:t>
      </w:r>
      <w:r>
        <w:t>技术费用</w:t>
      </w:r>
      <w:r>
        <w:rPr>
          <w:rFonts w:hint="eastAsia"/>
        </w:rPr>
        <w:t>等</w:t>
      </w:r>
      <w:r>
        <w:t>，为固定不变价格，且不随通货膨胀的影响而波动。合同总价包括</w:t>
      </w:r>
      <w:r>
        <w:rPr>
          <w:rFonts w:hint="eastAsia" w:ascii="宋体" w:hAnsi="宋体"/>
          <w:szCs w:val="21"/>
        </w:rPr>
        <w:t>乙方</w:t>
      </w:r>
      <w:r>
        <w:t>履行本合同义务所发生的一切费用和支出和以各种方式寄送技术资料到</w:t>
      </w:r>
      <w:r>
        <w:rPr>
          <w:rFonts w:hint="eastAsia"/>
        </w:rPr>
        <w:t>甲</w:t>
      </w:r>
      <w:r>
        <w:t>方办公室所发生的费用。</w:t>
      </w:r>
    </w:p>
    <w:p>
      <w:pPr>
        <w:pStyle w:val="7"/>
        <w:rPr>
          <w:rFonts w:ascii="宋体" w:hAnsi="宋体"/>
          <w:szCs w:val="21"/>
        </w:rPr>
      </w:pPr>
      <w:r>
        <w:rPr>
          <w:rFonts w:hint="eastAsia" w:ascii="宋体" w:hAnsi="宋体"/>
          <w:szCs w:val="21"/>
        </w:rPr>
        <w:t>支付方式：分期支付。</w:t>
      </w:r>
    </w:p>
    <w:p>
      <w:pPr>
        <w:ind w:firstLine="422" w:firstLineChars="200"/>
        <w:rPr>
          <w:rFonts w:ascii="宋体" w:hAnsi="宋体"/>
          <w:b/>
          <w:bCs/>
          <w:szCs w:val="21"/>
        </w:rPr>
      </w:pPr>
      <w:r>
        <w:rPr>
          <w:rFonts w:hint="eastAsia" w:ascii="宋体" w:hAnsi="宋体"/>
          <w:b/>
          <w:bCs/>
          <w:szCs w:val="21"/>
        </w:rPr>
        <w:t>第二条  服务范围</w:t>
      </w:r>
    </w:p>
    <w:p>
      <w:pPr>
        <w:ind w:firstLine="420" w:firstLineChars="200"/>
        <w:rPr>
          <w:rFonts w:ascii="宋体" w:hAnsi="宋体"/>
          <w:szCs w:val="21"/>
        </w:rPr>
      </w:pPr>
      <w:r>
        <w:rPr>
          <w:rFonts w:hint="eastAsia" w:ascii="宋体" w:hAnsi="宋体"/>
          <w:szCs w:val="21"/>
        </w:rPr>
        <w:t xml:space="preserve">1、  </w:t>
      </w:r>
    </w:p>
    <w:p>
      <w:pPr>
        <w:ind w:firstLine="420" w:firstLineChars="200"/>
        <w:rPr>
          <w:rFonts w:ascii="宋体" w:hAnsi="宋体"/>
          <w:szCs w:val="21"/>
        </w:rPr>
      </w:pPr>
      <w:r>
        <w:rPr>
          <w:rFonts w:hint="eastAsia" w:ascii="宋体" w:hAnsi="宋体"/>
          <w:szCs w:val="21"/>
        </w:rPr>
        <w:t xml:space="preserve">2、  </w:t>
      </w:r>
    </w:p>
    <w:p>
      <w:pPr>
        <w:ind w:firstLine="420" w:firstLineChars="200"/>
        <w:rPr>
          <w:rFonts w:ascii="宋体" w:hAnsi="宋体"/>
          <w:szCs w:val="21"/>
        </w:rPr>
      </w:pPr>
      <w:r>
        <w:rPr>
          <w:rFonts w:hint="eastAsia" w:ascii="宋体" w:hAnsi="宋体"/>
          <w:szCs w:val="21"/>
        </w:rPr>
        <w:t xml:space="preserve">3、  </w:t>
      </w:r>
    </w:p>
    <w:p>
      <w:pPr>
        <w:ind w:firstLine="420" w:firstLineChars="200"/>
        <w:rPr>
          <w:rFonts w:ascii="宋体" w:hAnsi="宋体"/>
          <w:szCs w:val="21"/>
        </w:rPr>
      </w:pPr>
      <w:r>
        <w:rPr>
          <w:rFonts w:hint="eastAsia" w:ascii="宋体" w:hAnsi="宋体"/>
          <w:szCs w:val="21"/>
        </w:rPr>
        <w:t>4、 其他合同未明示的相关工作。</w:t>
      </w:r>
    </w:p>
    <w:p>
      <w:pPr>
        <w:ind w:firstLine="422" w:firstLineChars="200"/>
        <w:rPr>
          <w:rFonts w:ascii="宋体" w:hAnsi="宋体"/>
          <w:b/>
          <w:bCs/>
          <w:szCs w:val="21"/>
        </w:rPr>
      </w:pPr>
      <w:r>
        <w:rPr>
          <w:rFonts w:hint="eastAsia" w:ascii="宋体" w:hAnsi="宋体"/>
          <w:b/>
          <w:bCs/>
          <w:szCs w:val="21"/>
        </w:rPr>
        <w:t>第三条  时间要求及阶段成果</w:t>
      </w:r>
    </w:p>
    <w:p>
      <w:pPr>
        <w:ind w:firstLine="420" w:firstLineChars="200"/>
        <w:rPr>
          <w:rFonts w:ascii="宋体" w:hAnsi="宋体"/>
          <w:szCs w:val="21"/>
        </w:rPr>
      </w:pPr>
      <w:r>
        <w:rPr>
          <w:rFonts w:hint="eastAsia" w:ascii="宋体" w:hAnsi="宋体"/>
          <w:szCs w:val="21"/>
        </w:rPr>
        <w:t>1、合同签订天内完成项目实施的准备工作，包括工作大纲和试验细则的编制；</w:t>
      </w:r>
    </w:p>
    <w:p>
      <w:pPr>
        <w:ind w:firstLine="420" w:firstLineChars="200"/>
        <w:rPr>
          <w:rFonts w:ascii="宋体" w:hAnsi="宋体"/>
          <w:szCs w:val="21"/>
        </w:rPr>
      </w:pPr>
      <w:r>
        <w:rPr>
          <w:rFonts w:hint="eastAsia" w:ascii="宋体" w:hAnsi="宋体"/>
          <w:szCs w:val="21"/>
        </w:rPr>
        <w:t xml:space="preserve">2、 </w:t>
      </w:r>
    </w:p>
    <w:p>
      <w:pPr>
        <w:ind w:firstLine="420" w:firstLineChars="200"/>
        <w:rPr>
          <w:rFonts w:ascii="宋体" w:hAnsi="宋体"/>
          <w:szCs w:val="21"/>
        </w:rPr>
      </w:pPr>
      <w:r>
        <w:rPr>
          <w:rFonts w:hint="eastAsia" w:ascii="宋体" w:hAnsi="宋体"/>
          <w:szCs w:val="21"/>
        </w:rPr>
        <w:t>3、</w:t>
      </w:r>
    </w:p>
    <w:p>
      <w:pPr>
        <w:ind w:firstLine="420" w:firstLineChars="200"/>
        <w:rPr>
          <w:rFonts w:ascii="宋体" w:hAnsi="宋体"/>
          <w:szCs w:val="21"/>
        </w:rPr>
      </w:pPr>
      <w:r>
        <w:rPr>
          <w:rFonts w:hint="eastAsia" w:ascii="宋体" w:hAnsi="宋体"/>
          <w:szCs w:val="21"/>
        </w:rPr>
        <w:t>4、</w:t>
      </w:r>
    </w:p>
    <w:p>
      <w:pPr>
        <w:ind w:firstLine="422" w:firstLineChars="200"/>
        <w:rPr>
          <w:rFonts w:ascii="宋体" w:hAnsi="宋体"/>
          <w:b/>
          <w:bCs/>
          <w:szCs w:val="21"/>
        </w:rPr>
      </w:pPr>
      <w:r>
        <w:rPr>
          <w:rFonts w:hint="eastAsia" w:ascii="宋体" w:hAnsi="宋体"/>
          <w:b/>
          <w:bCs/>
          <w:szCs w:val="21"/>
        </w:rPr>
        <w:t>第四条  咨询服务资料归属</w:t>
      </w:r>
    </w:p>
    <w:p>
      <w:pPr>
        <w:ind w:firstLine="420" w:firstLineChars="200"/>
      </w:pPr>
      <w:r>
        <w:t>1</w:t>
      </w:r>
      <w:r>
        <w:rPr>
          <w:rFonts w:hint="eastAsia"/>
        </w:rPr>
        <w:t>、</w:t>
      </w:r>
      <w:r>
        <w:t>所有提交给</w:t>
      </w:r>
      <w:r>
        <w:rPr>
          <w:rFonts w:hint="eastAsia"/>
        </w:rPr>
        <w:t>甲</w:t>
      </w:r>
      <w:r>
        <w:t>方的咨询服务</w:t>
      </w:r>
      <w:r>
        <w:rPr>
          <w:rFonts w:hint="eastAsia"/>
        </w:rPr>
        <w:t>文件</w:t>
      </w:r>
      <w:r>
        <w:t>及相关的资料的最后文本，包括为履行技术咨询服务范围所编制的图纸、计划和证明资料等，都属于</w:t>
      </w:r>
      <w:r>
        <w:rPr>
          <w:rFonts w:hint="eastAsia"/>
        </w:rPr>
        <w:t>甲</w:t>
      </w:r>
      <w:r>
        <w:t>方的财产，</w:t>
      </w:r>
      <w:r>
        <w:rPr>
          <w:rFonts w:hint="eastAsia" w:ascii="宋体" w:hAnsi="宋体"/>
          <w:szCs w:val="21"/>
        </w:rPr>
        <w:t>乙</w:t>
      </w:r>
      <w:r>
        <w:t>方在提交给</w:t>
      </w:r>
      <w:r>
        <w:rPr>
          <w:rFonts w:hint="eastAsia"/>
        </w:rPr>
        <w:t>甲</w:t>
      </w:r>
      <w:r>
        <w:t>方之前应将上述资料进行整理归类和编制索引</w:t>
      </w:r>
      <w:r>
        <w:rPr>
          <w:rFonts w:hint="eastAsia"/>
        </w:rPr>
        <w:t>。</w:t>
      </w:r>
    </w:p>
    <w:p>
      <w:pPr>
        <w:ind w:firstLine="420" w:firstLineChars="200"/>
      </w:pPr>
      <w:r>
        <w:t>2</w:t>
      </w:r>
      <w:r>
        <w:rPr>
          <w:rFonts w:hint="eastAsia"/>
        </w:rPr>
        <w:t>、</w:t>
      </w:r>
      <w:r>
        <w:rPr>
          <w:rFonts w:hint="eastAsia" w:ascii="宋体" w:hAnsi="宋体"/>
          <w:szCs w:val="21"/>
        </w:rPr>
        <w:t>乙</w:t>
      </w:r>
      <w:r>
        <w:t>方未经</w:t>
      </w:r>
      <w:r>
        <w:rPr>
          <w:rFonts w:hint="eastAsia"/>
        </w:rPr>
        <w:t>甲</w:t>
      </w:r>
      <w:r>
        <w:t>方的书面同意，不得将上述资料用于与本咨询服务项目之外的任何项目</w:t>
      </w:r>
      <w:r>
        <w:rPr>
          <w:rFonts w:hint="eastAsia"/>
        </w:rPr>
        <w:t>。</w:t>
      </w:r>
    </w:p>
    <w:p>
      <w:pPr>
        <w:ind w:firstLine="420" w:firstLineChars="200"/>
      </w:pPr>
      <w:r>
        <w:rPr>
          <w:rFonts w:hint="eastAsia"/>
        </w:rPr>
        <w:t>3、</w:t>
      </w:r>
      <w:r>
        <w:t>合同履行</w:t>
      </w:r>
      <w:r>
        <w:rPr>
          <w:rFonts w:hint="eastAsia"/>
        </w:rPr>
        <w:t>完毕，</w:t>
      </w:r>
      <w:r>
        <w:t>未经</w:t>
      </w:r>
      <w:r>
        <w:rPr>
          <w:rFonts w:hint="eastAsia"/>
        </w:rPr>
        <w:t>甲</w:t>
      </w:r>
      <w:r>
        <w:t>方的书面同意</w:t>
      </w:r>
      <w:r>
        <w:rPr>
          <w:rFonts w:hint="eastAsia"/>
        </w:rPr>
        <w:t>，</w:t>
      </w:r>
      <w:r>
        <w:rPr>
          <w:rFonts w:hint="eastAsia" w:ascii="宋体" w:hAnsi="宋体"/>
          <w:szCs w:val="21"/>
        </w:rPr>
        <w:t>乙</w:t>
      </w:r>
      <w:r>
        <w:t>方</w:t>
      </w:r>
      <w:r>
        <w:rPr>
          <w:rFonts w:hint="eastAsia"/>
        </w:rPr>
        <w:t>不得保存在</w:t>
      </w:r>
      <w:r>
        <w:t>履行合同过程中所获得或接触到的任何</w:t>
      </w:r>
      <w:r>
        <w:rPr>
          <w:rFonts w:hint="eastAsia" w:ascii="宋体" w:hAnsi="宋体"/>
          <w:szCs w:val="21"/>
        </w:rPr>
        <w:t>内部数据资料。</w:t>
      </w:r>
    </w:p>
    <w:p>
      <w:pPr>
        <w:ind w:firstLine="422" w:firstLineChars="200"/>
        <w:rPr>
          <w:rFonts w:ascii="宋体" w:hAnsi="宋体"/>
          <w:b/>
          <w:bCs/>
          <w:szCs w:val="21"/>
        </w:rPr>
      </w:pPr>
      <w:r>
        <w:rPr>
          <w:rFonts w:hint="eastAsia" w:ascii="宋体" w:hAnsi="宋体"/>
          <w:b/>
          <w:bCs/>
          <w:szCs w:val="21"/>
        </w:rPr>
        <w:t>第五条  甲方的义务</w:t>
      </w:r>
    </w:p>
    <w:p>
      <w:pPr>
        <w:ind w:firstLine="420" w:firstLineChars="200"/>
        <w:rPr>
          <w:rFonts w:ascii="宋体" w:hAnsi="宋体"/>
          <w:szCs w:val="21"/>
        </w:rPr>
      </w:pPr>
      <w:r>
        <w:rPr>
          <w:rFonts w:hint="eastAsia" w:ascii="宋体" w:hAnsi="宋体"/>
          <w:szCs w:val="21"/>
        </w:rPr>
        <w:t>1、负责与本咨询服务项目有关的第三方的协调，提供开展咨询服务工作的外部条件。</w:t>
      </w:r>
    </w:p>
    <w:p>
      <w:pPr>
        <w:ind w:firstLine="420" w:firstLineChars="200"/>
        <w:rPr>
          <w:rFonts w:ascii="宋体" w:hAnsi="宋体"/>
          <w:szCs w:val="21"/>
        </w:rPr>
      </w:pPr>
      <w:r>
        <w:rPr>
          <w:rFonts w:hint="eastAsia" w:ascii="宋体" w:hAnsi="宋体"/>
          <w:szCs w:val="21"/>
        </w:rPr>
        <w:t>2、向乙方提供与本项目咨询服务工作有关的资料。</w:t>
      </w:r>
    </w:p>
    <w:p>
      <w:pPr>
        <w:ind w:firstLine="420" w:firstLineChars="200"/>
        <w:rPr>
          <w:rFonts w:ascii="宋体" w:hAnsi="宋体"/>
          <w:szCs w:val="21"/>
        </w:rPr>
      </w:pPr>
      <w:r>
        <w:rPr>
          <w:rFonts w:hint="eastAsia" w:ascii="宋体" w:hAnsi="宋体"/>
          <w:szCs w:val="21"/>
        </w:rPr>
        <w:t>3、负责组织有关专家对项目试验成果评估报告的评审。</w:t>
      </w:r>
    </w:p>
    <w:p>
      <w:pPr>
        <w:ind w:firstLine="422" w:firstLineChars="200"/>
        <w:rPr>
          <w:rFonts w:ascii="宋体" w:hAnsi="宋体"/>
          <w:b/>
          <w:bCs/>
          <w:szCs w:val="21"/>
        </w:rPr>
      </w:pPr>
      <w:r>
        <w:rPr>
          <w:rFonts w:hint="eastAsia" w:ascii="宋体" w:hAnsi="宋体"/>
          <w:b/>
          <w:bCs/>
          <w:szCs w:val="21"/>
        </w:rPr>
        <w:t>第七条　乙方的义务</w:t>
      </w:r>
    </w:p>
    <w:p>
      <w:pPr>
        <w:ind w:firstLine="420" w:firstLineChars="200"/>
        <w:rPr>
          <w:rFonts w:ascii="宋体" w:hAnsi="宋体"/>
          <w:szCs w:val="21"/>
        </w:rPr>
      </w:pPr>
      <w:r>
        <w:rPr>
          <w:rFonts w:hint="eastAsia" w:ascii="宋体" w:hAnsi="宋体"/>
          <w:szCs w:val="21"/>
        </w:rPr>
        <w:t>１、应按照招标文件、投标文件要求按期完成本项目咨询服务工作。</w:t>
      </w:r>
    </w:p>
    <w:p>
      <w:pPr>
        <w:ind w:firstLine="420" w:firstLineChars="200"/>
        <w:rPr>
          <w:rFonts w:ascii="宋体" w:hAnsi="宋体"/>
          <w:szCs w:val="21"/>
        </w:rPr>
      </w:pPr>
      <w:r>
        <w:rPr>
          <w:rFonts w:hint="eastAsia" w:ascii="宋体" w:hAnsi="宋体"/>
          <w:szCs w:val="21"/>
        </w:rPr>
        <w:t>2、负责组织项目的实施，保证工程进度和成桥荷载试验工作质量，并满足</w:t>
      </w:r>
      <w:bookmarkStart w:id="105" w:name="_GoBack"/>
      <w:bookmarkEnd w:id="105"/>
      <w:r>
        <w:rPr>
          <w:rFonts w:hint="eastAsia" w:ascii="宋体" w:hAnsi="宋体"/>
          <w:szCs w:val="21"/>
          <w:lang w:eastAsia="zh-CN"/>
        </w:rPr>
        <w:t>交通运输部</w:t>
      </w:r>
      <w:r>
        <w:rPr>
          <w:rFonts w:hint="eastAsia" w:ascii="宋体" w:hAnsi="宋体"/>
          <w:szCs w:val="21"/>
        </w:rPr>
        <w:t>交工验收相关标准。</w:t>
      </w:r>
    </w:p>
    <w:p>
      <w:pPr>
        <w:ind w:firstLine="420" w:firstLineChars="200"/>
        <w:rPr>
          <w:rFonts w:ascii="宋体" w:hAnsi="宋体"/>
          <w:szCs w:val="21"/>
        </w:rPr>
      </w:pPr>
      <w:r>
        <w:rPr>
          <w:rFonts w:hint="eastAsia" w:ascii="宋体" w:hAnsi="宋体"/>
          <w:szCs w:val="21"/>
        </w:rPr>
        <w:t>3、</w:t>
      </w:r>
      <w:r>
        <w:rPr>
          <w:rFonts w:hint="eastAsia" w:ascii="宋体" w:hAnsi="宋体"/>
        </w:rPr>
        <w:t>向甲方提交检测资料等各套，一套电子版文件。</w:t>
      </w:r>
    </w:p>
    <w:p>
      <w:pPr>
        <w:ind w:firstLine="420" w:firstLineChars="200"/>
        <w:rPr>
          <w:rFonts w:ascii="宋体" w:hAnsi="宋体"/>
          <w:szCs w:val="21"/>
        </w:rPr>
      </w:pPr>
      <w:r>
        <w:rPr>
          <w:rFonts w:hint="eastAsia" w:ascii="宋体" w:hAnsi="宋体"/>
          <w:szCs w:val="21"/>
        </w:rPr>
        <w:t>4、在履行合同期间或合同规定期限内，不得泄露与本合同规定业务活动有关的保密资料。</w:t>
      </w:r>
    </w:p>
    <w:p>
      <w:pPr>
        <w:ind w:firstLine="422" w:firstLineChars="200"/>
        <w:rPr>
          <w:rFonts w:ascii="宋体" w:hAnsi="宋体"/>
          <w:b/>
          <w:bCs/>
          <w:szCs w:val="21"/>
        </w:rPr>
      </w:pPr>
      <w:r>
        <w:rPr>
          <w:rFonts w:hint="eastAsia" w:ascii="宋体" w:hAnsi="宋体"/>
          <w:b/>
          <w:bCs/>
          <w:szCs w:val="21"/>
        </w:rPr>
        <w:t>第八条  甲方的权利</w:t>
      </w:r>
    </w:p>
    <w:p>
      <w:pPr>
        <w:ind w:firstLine="420" w:firstLineChars="200"/>
        <w:rPr>
          <w:rFonts w:ascii="宋体" w:hAnsi="宋体"/>
          <w:szCs w:val="21"/>
        </w:rPr>
      </w:pPr>
      <w:r>
        <w:rPr>
          <w:rFonts w:ascii="宋体" w:hAnsi="宋体"/>
          <w:szCs w:val="21"/>
        </w:rPr>
        <w:t>1</w:t>
      </w:r>
      <w:r>
        <w:rPr>
          <w:rFonts w:hint="eastAsia" w:ascii="宋体" w:hAnsi="宋体"/>
          <w:szCs w:val="21"/>
        </w:rPr>
        <w:t>、有权向乙方询问工作进展情况及相关的内容。</w:t>
      </w:r>
    </w:p>
    <w:p>
      <w:pPr>
        <w:ind w:firstLine="420" w:firstLineChars="200"/>
        <w:rPr>
          <w:rFonts w:ascii="宋体" w:hAnsi="宋体"/>
          <w:szCs w:val="21"/>
        </w:rPr>
      </w:pPr>
      <w:r>
        <w:rPr>
          <w:rFonts w:ascii="宋体" w:hAnsi="宋体"/>
          <w:szCs w:val="21"/>
        </w:rPr>
        <w:t>2</w:t>
      </w:r>
      <w:r>
        <w:rPr>
          <w:rFonts w:hint="eastAsia" w:ascii="宋体" w:hAnsi="宋体"/>
          <w:szCs w:val="21"/>
        </w:rPr>
        <w:t>、有权阐述对具体问题的意见和建议。</w:t>
      </w:r>
    </w:p>
    <w:p>
      <w:pPr>
        <w:ind w:firstLine="420" w:firstLineChars="200"/>
        <w:rPr>
          <w:rFonts w:ascii="宋体" w:hAnsi="宋体"/>
          <w:szCs w:val="21"/>
        </w:rPr>
      </w:pPr>
      <w:r>
        <w:rPr>
          <w:rFonts w:ascii="宋体" w:hAnsi="宋体"/>
          <w:szCs w:val="21"/>
        </w:rPr>
        <w:t>3</w:t>
      </w:r>
      <w:r>
        <w:rPr>
          <w:rFonts w:hint="eastAsia" w:ascii="宋体" w:hAnsi="宋体"/>
          <w:szCs w:val="21"/>
        </w:rPr>
        <w:t>、当甲方认定乙方人员不按合同履行其职责，或与第三人串通给甲方造成经济损失的，甲方有权要求更换人员，直至终止合同并要求乙方承担相应的赔偿责任。</w:t>
      </w:r>
    </w:p>
    <w:p>
      <w:pPr>
        <w:ind w:firstLine="422" w:firstLineChars="200"/>
        <w:rPr>
          <w:rFonts w:ascii="宋体" w:hAnsi="宋体"/>
          <w:b/>
          <w:bCs/>
          <w:szCs w:val="21"/>
        </w:rPr>
      </w:pPr>
      <w:r>
        <w:rPr>
          <w:rFonts w:hint="eastAsia" w:ascii="宋体" w:hAnsi="宋体"/>
          <w:b/>
          <w:bCs/>
          <w:szCs w:val="21"/>
        </w:rPr>
        <w:t>第九条  乙方的权利</w:t>
      </w:r>
    </w:p>
    <w:p>
      <w:pPr>
        <w:ind w:firstLine="420" w:firstLineChars="200"/>
        <w:rPr>
          <w:rFonts w:ascii="宋体" w:hAnsi="宋体"/>
          <w:szCs w:val="21"/>
        </w:rPr>
      </w:pPr>
      <w:r>
        <w:rPr>
          <w:rFonts w:ascii="宋体" w:hAnsi="宋体"/>
          <w:szCs w:val="21"/>
        </w:rPr>
        <w:t>1</w:t>
      </w:r>
      <w:r>
        <w:rPr>
          <w:rFonts w:hint="eastAsia" w:ascii="宋体" w:hAnsi="宋体"/>
          <w:szCs w:val="21"/>
        </w:rPr>
        <w:t>、乙方在本项目服务过程中，如甲方提供的资料不明确时可向甲方提出书面报告。</w:t>
      </w:r>
    </w:p>
    <w:p>
      <w:pPr>
        <w:ind w:firstLine="420" w:firstLineChars="200"/>
        <w:rPr>
          <w:rFonts w:ascii="宋体" w:hAnsi="宋体"/>
          <w:szCs w:val="21"/>
        </w:rPr>
      </w:pPr>
      <w:r>
        <w:rPr>
          <w:rFonts w:ascii="宋体" w:hAnsi="宋体"/>
          <w:szCs w:val="21"/>
        </w:rPr>
        <w:t>2</w:t>
      </w:r>
      <w:r>
        <w:rPr>
          <w:rFonts w:hint="eastAsia" w:ascii="宋体" w:hAnsi="宋体"/>
          <w:szCs w:val="21"/>
        </w:rPr>
        <w:t>、乙方在本项目服务过程中，有权对第三方提出与本咨询服务业务有关的问题进行核对或查问。</w:t>
      </w:r>
    </w:p>
    <w:p>
      <w:pPr>
        <w:ind w:firstLine="420" w:firstLineChars="200"/>
        <w:rPr>
          <w:rFonts w:ascii="宋体" w:hAnsi="宋体"/>
          <w:szCs w:val="21"/>
        </w:rPr>
      </w:pPr>
      <w:r>
        <w:rPr>
          <w:rFonts w:ascii="宋体" w:hAnsi="宋体"/>
          <w:szCs w:val="21"/>
        </w:rPr>
        <w:t>3</w:t>
      </w:r>
      <w:r>
        <w:rPr>
          <w:rFonts w:hint="eastAsia" w:ascii="宋体" w:hAnsi="宋体"/>
          <w:szCs w:val="21"/>
        </w:rPr>
        <w:t>、乙方在本项目服务过程中，有到工程现场勘察的权利。</w:t>
      </w:r>
    </w:p>
    <w:p>
      <w:pPr>
        <w:ind w:firstLine="422" w:firstLineChars="200"/>
        <w:rPr>
          <w:rFonts w:ascii="宋体" w:hAnsi="宋体"/>
          <w:b/>
          <w:bCs/>
          <w:szCs w:val="21"/>
        </w:rPr>
      </w:pPr>
      <w:r>
        <w:rPr>
          <w:rFonts w:hint="eastAsia" w:ascii="宋体" w:hAnsi="宋体"/>
          <w:b/>
          <w:bCs/>
          <w:szCs w:val="21"/>
        </w:rPr>
        <w:t>第十条  甲方的责任</w:t>
      </w:r>
    </w:p>
    <w:p>
      <w:pPr>
        <w:ind w:firstLine="420" w:firstLineChars="200"/>
        <w:rPr>
          <w:rFonts w:ascii="宋体" w:hAnsi="宋体"/>
          <w:szCs w:val="21"/>
        </w:rPr>
      </w:pPr>
      <w:r>
        <w:rPr>
          <w:rFonts w:hint="eastAsia" w:ascii="宋体" w:hAnsi="宋体"/>
          <w:szCs w:val="21"/>
        </w:rPr>
        <w:t>1、应当履行本合同约定的义务，如有违反则应当承担违约责任，赔偿给乙方造成的损失。</w:t>
      </w:r>
    </w:p>
    <w:p>
      <w:pPr>
        <w:ind w:firstLine="420" w:firstLineChars="200"/>
        <w:rPr>
          <w:rFonts w:ascii="宋体" w:hAnsi="宋体"/>
          <w:szCs w:val="21"/>
        </w:rPr>
      </w:pPr>
      <w:r>
        <w:rPr>
          <w:rFonts w:hint="eastAsia" w:ascii="宋体" w:hAnsi="宋体"/>
          <w:szCs w:val="21"/>
        </w:rPr>
        <w:t>2、甲方向乙方提出赔偿要求不能成立时，则应补偿由于该赔偿或其他要求所导致乙方的各种费用的支出。</w:t>
      </w:r>
    </w:p>
    <w:p>
      <w:pPr>
        <w:ind w:firstLine="422" w:firstLineChars="200"/>
        <w:rPr>
          <w:rFonts w:ascii="宋体" w:hAnsi="宋体"/>
          <w:b/>
          <w:bCs/>
          <w:szCs w:val="21"/>
        </w:rPr>
      </w:pPr>
      <w:r>
        <w:rPr>
          <w:rFonts w:hint="eastAsia" w:ascii="宋体" w:hAnsi="宋体"/>
          <w:b/>
          <w:bCs/>
          <w:szCs w:val="21"/>
        </w:rPr>
        <w:t>第十一条  乙方的责任</w:t>
      </w:r>
    </w:p>
    <w:p>
      <w:pPr>
        <w:ind w:firstLine="420" w:firstLineChars="200"/>
        <w:rPr>
          <w:rFonts w:ascii="宋体" w:hAnsi="宋体"/>
          <w:szCs w:val="21"/>
        </w:rPr>
      </w:pPr>
      <w:r>
        <w:rPr>
          <w:rFonts w:hint="eastAsia" w:ascii="宋体" w:hAnsi="宋体"/>
          <w:szCs w:val="21"/>
        </w:rPr>
        <w:t>1、乙方的责任期即本合同有效期。如因非乙方的责任造成进度的推迟或延误而超过约定的日期，双方应进一步约定相应延长合同有效期。</w:t>
      </w:r>
    </w:p>
    <w:p>
      <w:pPr>
        <w:ind w:firstLine="420" w:firstLineChars="200"/>
        <w:rPr>
          <w:rFonts w:ascii="宋体" w:hAnsi="宋体"/>
          <w:szCs w:val="21"/>
        </w:rPr>
      </w:pPr>
      <w:r>
        <w:rPr>
          <w:rFonts w:hint="eastAsia" w:ascii="宋体" w:hAnsi="宋体"/>
          <w:szCs w:val="21"/>
        </w:rPr>
        <w:t>2、乙方的责任期内，应当履行本合同中约定的义务，因乙方的单方过失造成的经济损失，应当向甲方进行赔偿。</w:t>
      </w:r>
    </w:p>
    <w:p>
      <w:pPr>
        <w:ind w:firstLine="420" w:firstLineChars="200"/>
        <w:rPr>
          <w:rFonts w:ascii="宋体" w:hAnsi="宋体"/>
          <w:szCs w:val="21"/>
        </w:rPr>
      </w:pPr>
      <w:r>
        <w:rPr>
          <w:rFonts w:hint="eastAsia" w:ascii="宋体" w:hAnsi="宋体"/>
          <w:szCs w:val="21"/>
        </w:rPr>
        <w:t>3、乙方对甲方或第三方所提出的问题不能及时核对或答复，导致合同不能全部或部分履行，乙方应承担责任。</w:t>
      </w:r>
    </w:p>
    <w:p>
      <w:pPr>
        <w:ind w:firstLine="420" w:firstLineChars="200"/>
        <w:rPr>
          <w:rFonts w:ascii="宋体" w:hAnsi="宋体"/>
          <w:szCs w:val="21"/>
        </w:rPr>
      </w:pPr>
      <w:r>
        <w:rPr>
          <w:rFonts w:hint="eastAsia" w:ascii="宋体" w:hAnsi="宋体"/>
          <w:szCs w:val="21"/>
        </w:rPr>
        <w:t>4、乙方向甲方提出赔偿要求不能成立时，则应补偿由于该赔偿或其他要求所导致甲方的各种费用的支出。</w:t>
      </w:r>
    </w:p>
    <w:p>
      <w:pPr>
        <w:ind w:firstLine="422" w:firstLineChars="200"/>
        <w:rPr>
          <w:rFonts w:ascii="宋体" w:hAnsi="宋体"/>
          <w:b/>
          <w:bCs/>
          <w:szCs w:val="21"/>
        </w:rPr>
      </w:pPr>
      <w:r>
        <w:rPr>
          <w:rFonts w:hint="eastAsia" w:ascii="宋体" w:hAnsi="宋体"/>
          <w:b/>
          <w:bCs/>
          <w:szCs w:val="21"/>
        </w:rPr>
        <w:t>第十二条  人员要求</w:t>
      </w:r>
    </w:p>
    <w:p>
      <w:pPr>
        <w:ind w:firstLine="420" w:firstLineChars="200"/>
        <w:rPr>
          <w:rFonts w:ascii="宋体" w:hAnsi="宋体"/>
          <w:szCs w:val="21"/>
        </w:rPr>
      </w:pPr>
      <w:r>
        <w:rPr>
          <w:rFonts w:hint="eastAsia" w:ascii="宋体" w:hAnsi="宋体"/>
          <w:szCs w:val="21"/>
        </w:rPr>
        <w:t>1、参加本项目试验的人员必须具有国家和有关部门规定的相应资质。</w:t>
      </w:r>
    </w:p>
    <w:p>
      <w:pPr>
        <w:ind w:firstLine="420" w:firstLineChars="200"/>
        <w:rPr>
          <w:rFonts w:ascii="宋体" w:hAnsi="宋体"/>
          <w:szCs w:val="21"/>
        </w:rPr>
      </w:pPr>
      <w:r>
        <w:rPr>
          <w:rFonts w:hint="eastAsia" w:ascii="宋体" w:hAnsi="宋体"/>
          <w:szCs w:val="21"/>
        </w:rPr>
        <w:t>2、 参加本项目的试验人员的配置必须与投标文件中的服务承诺书和试验服务组织实施方案一致。</w:t>
      </w:r>
    </w:p>
    <w:p>
      <w:pPr>
        <w:ind w:firstLine="420" w:firstLineChars="200"/>
        <w:rPr>
          <w:rFonts w:ascii="宋体" w:hAnsi="宋体"/>
          <w:szCs w:val="21"/>
        </w:rPr>
      </w:pPr>
      <w:r>
        <w:rPr>
          <w:rFonts w:hint="eastAsia" w:ascii="宋体" w:hAnsi="宋体"/>
          <w:szCs w:val="21"/>
        </w:rPr>
        <w:t>3、必须以直属试验人员参与本项目服务，不得使用挂靠队伍。</w:t>
      </w:r>
    </w:p>
    <w:p>
      <w:pPr>
        <w:ind w:firstLine="422" w:firstLineChars="200"/>
        <w:rPr>
          <w:rFonts w:ascii="宋体" w:hAnsi="宋体"/>
          <w:b/>
          <w:bCs/>
          <w:szCs w:val="21"/>
        </w:rPr>
      </w:pPr>
      <w:r>
        <w:rPr>
          <w:rFonts w:hint="eastAsia" w:ascii="宋体" w:hAnsi="宋体"/>
          <w:b/>
          <w:bCs/>
          <w:szCs w:val="21"/>
        </w:rPr>
        <w:t>第十三条  乙方咨询服务工具要求</w:t>
      </w:r>
    </w:p>
    <w:p>
      <w:pPr>
        <w:ind w:firstLine="420" w:firstLineChars="200"/>
        <w:rPr>
          <w:rFonts w:ascii="宋体" w:hAnsi="宋体"/>
          <w:szCs w:val="21"/>
        </w:rPr>
      </w:pPr>
      <w:r>
        <w:rPr>
          <w:rFonts w:hint="eastAsia" w:ascii="宋体" w:hAnsi="宋体"/>
          <w:szCs w:val="21"/>
        </w:rPr>
        <w:t>1、乙方应配备中标项目所需的足够数量的仪器、仪表以及工具等设备。用户不需向乙方提供施工工具和仪器、仪表。</w:t>
      </w:r>
    </w:p>
    <w:p>
      <w:pPr>
        <w:ind w:firstLine="420" w:firstLineChars="200"/>
        <w:rPr>
          <w:rFonts w:ascii="宋体" w:hAnsi="宋体"/>
          <w:szCs w:val="21"/>
        </w:rPr>
      </w:pPr>
      <w:r>
        <w:rPr>
          <w:rFonts w:hint="eastAsia" w:ascii="宋体" w:hAnsi="宋体"/>
          <w:szCs w:val="21"/>
        </w:rPr>
        <w:t>2、乙方在提供服务过程中应自备车辆。</w:t>
      </w:r>
    </w:p>
    <w:p>
      <w:pPr>
        <w:ind w:firstLine="422" w:firstLineChars="200"/>
        <w:rPr>
          <w:rFonts w:ascii="宋体" w:hAnsi="宋体"/>
          <w:b/>
          <w:bCs/>
          <w:szCs w:val="21"/>
        </w:rPr>
      </w:pPr>
      <w:r>
        <w:rPr>
          <w:rFonts w:hint="eastAsia" w:ascii="宋体" w:hAnsi="宋体"/>
          <w:b/>
          <w:bCs/>
          <w:szCs w:val="21"/>
        </w:rPr>
        <w:t>第十四条  保密要求</w:t>
      </w:r>
    </w:p>
    <w:p>
      <w:pPr>
        <w:ind w:firstLine="420" w:firstLineChars="200"/>
        <w:rPr>
          <w:rFonts w:ascii="宋体" w:hAnsi="宋体"/>
          <w:szCs w:val="21"/>
        </w:rPr>
      </w:pPr>
      <w:r>
        <w:rPr>
          <w:rFonts w:hint="eastAsia" w:ascii="宋体" w:hAnsi="宋体"/>
          <w:szCs w:val="21"/>
        </w:rPr>
        <w:t>1、</w:t>
      </w:r>
      <w:r>
        <w:rPr>
          <w:rFonts w:ascii="宋体" w:hAnsi="宋体"/>
          <w:szCs w:val="21"/>
        </w:rPr>
        <w:t>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pPr>
        <w:ind w:firstLine="420" w:firstLineChars="200"/>
        <w:rPr>
          <w:rFonts w:ascii="宋体" w:hAnsi="宋体"/>
          <w:szCs w:val="21"/>
        </w:rPr>
      </w:pPr>
      <w:r>
        <w:rPr>
          <w:rFonts w:hint="eastAsia" w:ascii="宋体" w:hAnsi="宋体"/>
          <w:szCs w:val="21"/>
        </w:rPr>
        <w:t>2、</w:t>
      </w:r>
      <w:r>
        <w:rPr>
          <w:rFonts w:ascii="宋体" w:hAnsi="宋体"/>
          <w:szCs w:val="21"/>
        </w:rPr>
        <w:t>乙方在履行合同过程中所获得或接触到的任何</w:t>
      </w:r>
      <w:r>
        <w:rPr>
          <w:rFonts w:hint="eastAsia" w:ascii="宋体" w:hAnsi="宋体"/>
          <w:szCs w:val="21"/>
        </w:rPr>
        <w:t>内部数据资料，未经甲方同意，不得向第三方透露。</w:t>
      </w:r>
    </w:p>
    <w:p>
      <w:pPr>
        <w:ind w:firstLine="420" w:firstLineChars="200"/>
        <w:rPr>
          <w:rFonts w:ascii="宋体" w:hAnsi="宋体"/>
          <w:szCs w:val="21"/>
        </w:rPr>
      </w:pPr>
      <w:r>
        <w:rPr>
          <w:rFonts w:hint="eastAsia" w:ascii="宋体" w:hAnsi="宋体"/>
          <w:szCs w:val="21"/>
        </w:rPr>
        <w:t>3、</w:t>
      </w:r>
      <w:r>
        <w:rPr>
          <w:rFonts w:ascii="宋体" w:hAnsi="宋体"/>
          <w:szCs w:val="21"/>
        </w:rPr>
        <w:t>乙方</w:t>
      </w:r>
      <w:r>
        <w:rPr>
          <w:rFonts w:hint="eastAsia" w:ascii="宋体" w:hAnsi="宋体"/>
          <w:szCs w:val="21"/>
        </w:rPr>
        <w:t>实施项目的一切程序都应符合国家安全、保密的有关规定和标准。</w:t>
      </w:r>
    </w:p>
    <w:p>
      <w:pPr>
        <w:ind w:firstLine="420" w:firstLineChars="200"/>
        <w:rPr>
          <w:rFonts w:ascii="宋体" w:hAnsi="宋体"/>
          <w:szCs w:val="21"/>
        </w:rPr>
      </w:pPr>
      <w:r>
        <w:rPr>
          <w:rFonts w:hint="eastAsia" w:ascii="宋体" w:hAnsi="宋体"/>
          <w:szCs w:val="21"/>
        </w:rPr>
        <w:t>4、</w:t>
      </w:r>
      <w:r>
        <w:rPr>
          <w:rFonts w:ascii="宋体" w:hAnsi="宋体"/>
          <w:szCs w:val="21"/>
        </w:rPr>
        <w:t>乙方</w:t>
      </w:r>
      <w:r>
        <w:rPr>
          <w:rFonts w:hint="eastAsia" w:ascii="宋体" w:hAnsi="宋体"/>
          <w:szCs w:val="21"/>
        </w:rPr>
        <w:t>参加项目的有关人员均需同甲方签订保密协议。</w:t>
      </w:r>
    </w:p>
    <w:p>
      <w:pPr>
        <w:ind w:firstLine="422" w:firstLineChars="200"/>
        <w:rPr>
          <w:rFonts w:ascii="宋体" w:hAnsi="宋体"/>
          <w:b/>
          <w:bCs/>
          <w:szCs w:val="21"/>
        </w:rPr>
      </w:pPr>
      <w:r>
        <w:rPr>
          <w:rFonts w:hint="eastAsia" w:ascii="宋体" w:hAnsi="宋体"/>
          <w:b/>
          <w:bCs/>
          <w:szCs w:val="21"/>
        </w:rPr>
        <w:t xml:space="preserve">第十五条  验收     </w:t>
      </w:r>
    </w:p>
    <w:p>
      <w:pPr>
        <w:ind w:firstLine="420" w:firstLineChars="200"/>
        <w:rPr>
          <w:rFonts w:ascii="宋体" w:hAnsi="宋体"/>
          <w:szCs w:val="21"/>
        </w:rPr>
      </w:pPr>
      <w:r>
        <w:rPr>
          <w:rFonts w:hint="eastAsia" w:ascii="宋体" w:hAnsi="宋体"/>
          <w:szCs w:val="21"/>
        </w:rPr>
        <w:t>1、下列文件的验收分为</w:t>
      </w:r>
      <w:r>
        <w:rPr>
          <w:rFonts w:hint="eastAsia" w:ascii="宋体" w:hAnsi="宋体"/>
          <w:szCs w:val="21"/>
          <w:u w:val="single"/>
        </w:rPr>
        <w:t xml:space="preserve">          三</w:t>
      </w:r>
      <w:r>
        <w:rPr>
          <w:rFonts w:hint="eastAsia" w:ascii="宋体" w:hAnsi="宋体"/>
          <w:szCs w:val="21"/>
        </w:rPr>
        <w:t>个阶段:</w:t>
      </w:r>
    </w:p>
    <w:p>
      <w:pPr>
        <w:ind w:firstLine="420" w:firstLineChars="200"/>
        <w:rPr>
          <w:rFonts w:ascii="宋体" w:hAnsi="宋体"/>
          <w:szCs w:val="21"/>
        </w:rPr>
      </w:pPr>
      <w:r>
        <w:rPr>
          <w:rFonts w:hint="eastAsia" w:ascii="宋体" w:hAnsi="宋体"/>
          <w:szCs w:val="21"/>
        </w:rPr>
        <w:t>2、其余文件和工作由用户组织有关技术人员根据国家和行业有关规范、规程、标准和用户需求直接验收。</w:t>
      </w:r>
    </w:p>
    <w:p>
      <w:pPr>
        <w:ind w:firstLine="420" w:firstLineChars="200"/>
        <w:rPr>
          <w:rFonts w:ascii="宋体" w:hAnsi="宋体"/>
          <w:szCs w:val="21"/>
        </w:rPr>
      </w:pPr>
      <w:r>
        <w:rPr>
          <w:rFonts w:hint="eastAsia" w:ascii="宋体" w:hAnsi="宋体"/>
          <w:szCs w:val="21"/>
        </w:rPr>
        <w:t>3、验收依据为招标文件、投标文件，国家和行业有关规范、规程和标准。</w:t>
      </w:r>
    </w:p>
    <w:p>
      <w:pPr>
        <w:ind w:firstLine="422" w:firstLineChars="200"/>
        <w:rPr>
          <w:rFonts w:ascii="宋体" w:hAnsi="宋体"/>
          <w:b/>
          <w:bCs/>
          <w:szCs w:val="21"/>
        </w:rPr>
      </w:pPr>
      <w:r>
        <w:rPr>
          <w:rFonts w:hint="eastAsia" w:ascii="宋体" w:hAnsi="宋体"/>
          <w:b/>
          <w:bCs/>
          <w:szCs w:val="21"/>
        </w:rPr>
        <w:t>第十六条  付款方式</w:t>
      </w:r>
    </w:p>
    <w:p>
      <w:pPr>
        <w:ind w:firstLine="420" w:firstLineChars="200"/>
        <w:rPr>
          <w:rFonts w:ascii="宋体" w:hAnsi="宋体"/>
          <w:szCs w:val="21"/>
        </w:rPr>
      </w:pPr>
      <w:r>
        <w:rPr>
          <w:rFonts w:hint="eastAsia" w:ascii="宋体" w:hAnsi="宋体"/>
          <w:szCs w:val="21"/>
        </w:rPr>
        <w:t>1、合同签订后   天内乙方向甲方开具合法有效的发票后，甲方于   天内向乙方支付合同总价%的款项。</w:t>
      </w:r>
    </w:p>
    <w:p>
      <w:pPr>
        <w:ind w:firstLine="420" w:firstLineChars="200"/>
        <w:rPr>
          <w:rFonts w:ascii="宋体" w:hAnsi="宋体"/>
          <w:szCs w:val="21"/>
        </w:rPr>
      </w:pPr>
      <w:r>
        <w:rPr>
          <w:rFonts w:hint="eastAsia" w:ascii="宋体" w:hAnsi="宋体"/>
          <w:szCs w:val="21"/>
        </w:rPr>
        <w:t>2、检测完成并提交评估报告后  天内，乙方向甲方开具合法有效发票后 天，甲方向乙方支付合同总价%的款项。</w:t>
      </w:r>
    </w:p>
    <w:p>
      <w:pPr>
        <w:ind w:firstLine="420" w:firstLineChars="200"/>
        <w:rPr>
          <w:rFonts w:ascii="宋体" w:hAnsi="宋体"/>
          <w:szCs w:val="21"/>
        </w:rPr>
      </w:pPr>
      <w:r>
        <w:rPr>
          <w:rFonts w:hint="eastAsia" w:ascii="宋体" w:hAnsi="宋体"/>
          <w:szCs w:val="21"/>
        </w:rPr>
        <w:t>3、报告通过专家评审后，甲方向乙方支付合同总价%的款项。</w:t>
      </w:r>
    </w:p>
    <w:p>
      <w:pPr>
        <w:ind w:firstLine="422" w:firstLineChars="200"/>
        <w:rPr>
          <w:rFonts w:ascii="宋体" w:hAnsi="宋体"/>
          <w:b/>
          <w:bCs/>
          <w:szCs w:val="21"/>
        </w:rPr>
      </w:pPr>
      <w:r>
        <w:rPr>
          <w:rFonts w:hint="eastAsia" w:ascii="宋体" w:hAnsi="宋体"/>
          <w:b/>
          <w:bCs/>
          <w:szCs w:val="21"/>
        </w:rPr>
        <w:t>第十七条  争议解决办法</w:t>
      </w:r>
    </w:p>
    <w:p>
      <w:pPr>
        <w:ind w:firstLine="420" w:firstLineChars="200"/>
        <w:rPr>
          <w:rFonts w:ascii="宋体" w:hAnsi="宋体"/>
          <w:szCs w:val="21"/>
        </w:rPr>
      </w:pPr>
      <w:r>
        <w:rPr>
          <w:rFonts w:hint="eastAsia" w:ascii="宋体" w:hAnsi="宋体"/>
          <w:szCs w:val="21"/>
        </w:rPr>
        <w:t>执行本合同发生的争议，由甲乙双方协商解决，如协商不成的，应提交甲方所在地人民法院诉讼解决。</w:t>
      </w:r>
    </w:p>
    <w:p>
      <w:pPr>
        <w:ind w:firstLine="422" w:firstLineChars="200"/>
        <w:rPr>
          <w:rFonts w:ascii="宋体" w:hAnsi="宋体"/>
          <w:b/>
          <w:bCs/>
          <w:szCs w:val="21"/>
        </w:rPr>
      </w:pPr>
      <w:r>
        <w:rPr>
          <w:rFonts w:hint="eastAsia" w:ascii="宋体" w:hAnsi="宋体"/>
          <w:b/>
          <w:bCs/>
          <w:szCs w:val="21"/>
        </w:rPr>
        <w:t>第十八条  风险责任</w:t>
      </w:r>
    </w:p>
    <w:p>
      <w:pPr>
        <w:ind w:firstLine="420" w:firstLineChars="200"/>
        <w:rPr>
          <w:rFonts w:ascii="宋体" w:hAnsi="宋体"/>
          <w:szCs w:val="21"/>
        </w:rPr>
      </w:pPr>
      <w:r>
        <w:rPr>
          <w:rFonts w:hint="eastAsia" w:ascii="宋体" w:hAnsi="宋体"/>
          <w:szCs w:val="21"/>
        </w:rPr>
        <w:t>１、乙方应完全地按照招标文件的要求和乙方投标文件的承诺完成本项目，出于自身财务、技术、人力等原因导致项目失败的，应承担全部责任。</w:t>
      </w:r>
    </w:p>
    <w:p>
      <w:pPr>
        <w:ind w:firstLine="420" w:firstLineChars="200"/>
        <w:rPr>
          <w:rFonts w:ascii="宋体" w:hAnsi="宋体"/>
          <w:szCs w:val="21"/>
        </w:rPr>
      </w:pPr>
      <w:r>
        <w:rPr>
          <w:rFonts w:hint="eastAsia" w:ascii="宋体" w:hAnsi="宋体"/>
          <w:szCs w:val="21"/>
        </w:rPr>
        <w:t>2、乙方在实施荷载试验过程中应对自身的安全生产负责，若非因甲方原因发生的各种事故甲方不承担任何责任。</w:t>
      </w:r>
    </w:p>
    <w:p>
      <w:pPr>
        <w:ind w:firstLine="422" w:firstLineChars="200"/>
        <w:rPr>
          <w:rFonts w:ascii="宋体" w:hAnsi="宋体"/>
          <w:b/>
          <w:bCs/>
          <w:szCs w:val="21"/>
        </w:rPr>
      </w:pPr>
      <w:r>
        <w:rPr>
          <w:rFonts w:hint="eastAsia" w:ascii="宋体" w:hAnsi="宋体"/>
          <w:b/>
          <w:bCs/>
          <w:szCs w:val="21"/>
        </w:rPr>
        <w:t>第十九条  违约责任</w:t>
      </w:r>
    </w:p>
    <w:p>
      <w:pPr>
        <w:pStyle w:val="19"/>
        <w:spacing w:line="240" w:lineRule="auto"/>
        <w:rPr>
          <w:rFonts w:ascii="宋体" w:hAnsi="宋体"/>
          <w:szCs w:val="21"/>
        </w:rPr>
      </w:pPr>
      <w:r>
        <w:rPr>
          <w:rFonts w:hint="eastAsia" w:ascii="宋体" w:hAnsi="宋体"/>
          <w:szCs w:val="21"/>
        </w:rPr>
        <w:t>１、因乙方原因，未能按规定时间完成有关工作的，每延误一天，甲方可在支付合同余款中扣除合同价款千分之一。</w:t>
      </w:r>
    </w:p>
    <w:p>
      <w:pPr>
        <w:ind w:firstLine="420" w:firstLineChars="200"/>
        <w:rPr>
          <w:rFonts w:ascii="宋体" w:hAnsi="宋体"/>
          <w:szCs w:val="21"/>
        </w:rPr>
      </w:pPr>
      <w:r>
        <w:rPr>
          <w:rFonts w:hint="eastAsia" w:ascii="宋体" w:hAnsi="宋体"/>
          <w:szCs w:val="21"/>
        </w:rPr>
        <w:t>2、由于乙方原因造成试验成果质量低劣，不能满足大纲要求时，应继续完善试验工作，其费用由乙方承担。</w:t>
      </w:r>
    </w:p>
    <w:p>
      <w:pPr>
        <w:ind w:firstLine="420" w:firstLineChars="200"/>
        <w:rPr>
          <w:rFonts w:ascii="宋体" w:hAnsi="宋体"/>
          <w:szCs w:val="21"/>
        </w:rPr>
      </w:pPr>
      <w:r>
        <w:rPr>
          <w:rFonts w:hint="eastAsia" w:ascii="宋体" w:hAnsi="宋体"/>
          <w:szCs w:val="21"/>
        </w:rPr>
        <w:t>3、乙方交付的成果经验收不合格，应于7日内无条件修改，费用由乙方自行承担，在甲方要求整改后再次验收不合格的，甲方有权解除合同、要求乙方返还甲方已支付的合同款项，并有权要求乙方按合同总额   %支付违约金。。</w:t>
      </w:r>
    </w:p>
    <w:p>
      <w:pPr>
        <w:ind w:firstLine="420" w:firstLineChars="200"/>
        <w:rPr>
          <w:rFonts w:ascii="宋体" w:hAnsi="宋体"/>
          <w:szCs w:val="21"/>
        </w:rPr>
      </w:pPr>
      <w:r>
        <w:rPr>
          <w:rFonts w:hint="eastAsia" w:ascii="宋体" w:hAnsi="宋体"/>
          <w:szCs w:val="21"/>
        </w:rPr>
        <w:t>4、若甲方发现乙方派出的试验服务人员或提供的试验仪器设备不符合合同要求，乙方应在3天之内按要求派出人员或提供满足投标文件承诺的仪器设备，否则甲方有权终止合同，并保留追究乙方责任及要求赔偿损失的权利。</w:t>
      </w:r>
    </w:p>
    <w:p>
      <w:pPr>
        <w:ind w:firstLine="420" w:firstLineChars="200"/>
        <w:rPr>
          <w:rFonts w:ascii="宋体" w:hAnsi="宋体"/>
          <w:szCs w:val="21"/>
        </w:rPr>
      </w:pPr>
      <w:r>
        <w:rPr>
          <w:rFonts w:hint="eastAsia" w:ascii="宋体" w:hAnsi="宋体"/>
          <w:szCs w:val="21"/>
        </w:rPr>
        <w:t>5、乙方或其工作人员违反本合同约定的保密义务，甲方有权要求乙方按合同总额   %支付违约金；造成不良影响或对甲方造成损失的，甲方有权要求乙方消除影响，承担赔偿责任，并有权解除合同。</w:t>
      </w:r>
    </w:p>
    <w:p>
      <w:pPr>
        <w:ind w:firstLine="420" w:firstLineChars="200"/>
        <w:rPr>
          <w:rFonts w:ascii="宋体" w:hAnsi="宋体"/>
          <w:szCs w:val="21"/>
        </w:rPr>
      </w:pPr>
      <w:r>
        <w:rPr>
          <w:rFonts w:hint="eastAsia" w:ascii="宋体" w:hAnsi="宋体"/>
          <w:szCs w:val="21"/>
        </w:rPr>
        <w:t>6、因乙方提供的服务成果受到侵权指控或者引发法律纠纷，影响甲方使用服务成果或者导致合同目的不能实现的，甲方有权要求乙方按合同总额   %支付违约金，并有权解除合同。</w:t>
      </w:r>
    </w:p>
    <w:p>
      <w:pPr>
        <w:ind w:firstLine="422" w:firstLineChars="200"/>
        <w:rPr>
          <w:rFonts w:ascii="宋体" w:hAnsi="宋体"/>
          <w:b/>
          <w:bCs/>
          <w:szCs w:val="21"/>
        </w:rPr>
      </w:pPr>
      <w:r>
        <w:rPr>
          <w:rFonts w:hint="eastAsia" w:ascii="宋体" w:hAnsi="宋体"/>
          <w:b/>
          <w:bCs/>
          <w:szCs w:val="21"/>
        </w:rPr>
        <w:t>第二十条  其他</w:t>
      </w:r>
    </w:p>
    <w:p>
      <w:pPr>
        <w:ind w:firstLine="420" w:firstLineChars="200"/>
        <w:rPr>
          <w:rFonts w:ascii="宋体" w:hAnsi="宋体"/>
          <w:szCs w:val="21"/>
        </w:rPr>
      </w:pPr>
      <w:r>
        <w:rPr>
          <w:rFonts w:hint="eastAsia" w:ascii="宋体" w:hAnsi="宋体"/>
          <w:szCs w:val="21"/>
        </w:rPr>
        <w:t>1、本合同与招标文件、乙方投标文件如有抵触之处，以本合同条款为准。</w:t>
      </w:r>
    </w:p>
    <w:p>
      <w:pPr>
        <w:ind w:firstLine="420" w:firstLineChars="200"/>
        <w:rPr>
          <w:rFonts w:ascii="宋体" w:hAnsi="宋体"/>
          <w:szCs w:val="21"/>
        </w:rPr>
      </w:pPr>
      <w:r>
        <w:rPr>
          <w:rFonts w:hint="eastAsia" w:ascii="宋体" w:hAnsi="宋体"/>
          <w:szCs w:val="21"/>
        </w:rPr>
        <w:t>2、下列文件均为本合同的组成部分：</w:t>
      </w:r>
    </w:p>
    <w:p>
      <w:pPr>
        <w:ind w:firstLine="420" w:firstLineChars="200"/>
        <w:rPr>
          <w:rFonts w:ascii="宋体" w:hAnsi="宋体"/>
          <w:szCs w:val="21"/>
        </w:rPr>
      </w:pPr>
      <w:r>
        <w:rPr>
          <w:rFonts w:hint="eastAsia" w:ascii="宋体" w:hAnsi="宋体"/>
          <w:szCs w:val="21"/>
        </w:rPr>
        <w:t>（1）号招标文件、答疑及补充通知；</w:t>
      </w:r>
    </w:p>
    <w:p>
      <w:pPr>
        <w:ind w:firstLine="420" w:firstLineChars="200"/>
        <w:rPr>
          <w:rFonts w:ascii="宋体" w:hAnsi="宋体"/>
          <w:szCs w:val="21"/>
        </w:rPr>
      </w:pPr>
      <w:r>
        <w:rPr>
          <w:rFonts w:hint="eastAsia" w:ascii="宋体" w:hAnsi="宋体"/>
          <w:szCs w:val="21"/>
        </w:rPr>
        <w:t>（2）投标文件；</w:t>
      </w:r>
    </w:p>
    <w:p>
      <w:pPr>
        <w:ind w:firstLine="420" w:firstLineChars="200"/>
        <w:rPr>
          <w:rFonts w:ascii="宋体" w:hAnsi="宋体"/>
          <w:szCs w:val="21"/>
        </w:rPr>
      </w:pPr>
      <w:r>
        <w:rPr>
          <w:rFonts w:hint="eastAsia" w:ascii="宋体" w:hAnsi="宋体"/>
          <w:szCs w:val="21"/>
        </w:rPr>
        <w:t>（3）本合同执行中共同签署的补充与修正文件。</w:t>
      </w:r>
    </w:p>
    <w:p>
      <w:pPr>
        <w:ind w:firstLine="420" w:firstLineChars="200"/>
        <w:rPr>
          <w:rFonts w:ascii="宋体" w:hAnsi="宋体"/>
          <w:szCs w:val="21"/>
        </w:rPr>
      </w:pPr>
      <w:r>
        <w:rPr>
          <w:rFonts w:hint="eastAsia" w:ascii="宋体" w:hAnsi="宋体"/>
          <w:szCs w:val="21"/>
        </w:rPr>
        <w:t>本合同一式份，甲、乙方双方各执份，具有同等法律效力。本合同自双方法人代表签字（盖章）认可之日起生效。</w:t>
      </w:r>
    </w:p>
    <w:p>
      <w:pPr>
        <w:ind w:firstLine="420" w:firstLineChars="200"/>
        <w:rPr>
          <w:rFonts w:ascii="宋体" w:hAnsi="宋体"/>
          <w:szCs w:val="21"/>
        </w:rPr>
      </w:pPr>
      <w:r>
        <w:rPr>
          <w:rFonts w:hint="eastAsia" w:ascii="宋体" w:hAnsi="宋体"/>
          <w:szCs w:val="21"/>
        </w:rPr>
        <w:t>本合同未尽事宜，双方友好协商，达成解决方案，经双方签字后，可作为本合同的有效附件。</w:t>
      </w:r>
    </w:p>
    <w:p>
      <w:pPr>
        <w:ind w:firstLine="420" w:firstLineChars="200"/>
        <w:rPr>
          <w:rFonts w:ascii="宋体" w:hAnsi="宋体"/>
          <w:szCs w:val="21"/>
        </w:rPr>
      </w:pPr>
    </w:p>
    <w:p>
      <w:pPr>
        <w:ind w:firstLine="420" w:firstLineChars="200"/>
        <w:rPr>
          <w:rFonts w:ascii="宋体" w:hAnsi="宋体"/>
          <w:szCs w:val="21"/>
        </w:rPr>
      </w:pPr>
    </w:p>
    <w:p>
      <w:pPr>
        <w:spacing w:line="360" w:lineRule="auto"/>
        <w:ind w:firstLine="560"/>
        <w:jc w:val="left"/>
        <w:rPr>
          <w:rFonts w:ascii="宋体" w:hAnsi="宋体"/>
          <w:szCs w:val="21"/>
        </w:rPr>
      </w:pPr>
      <w:r>
        <w:rPr>
          <w:rFonts w:hint="eastAsia" w:ascii="宋体" w:hAnsi="宋体"/>
          <w:szCs w:val="21"/>
        </w:rPr>
        <w:t>甲方（采购人）：   （盖章）       乙方（供应商）：    （盖章）</w:t>
      </w:r>
    </w:p>
    <w:p>
      <w:pPr>
        <w:spacing w:line="360" w:lineRule="auto"/>
        <w:ind w:firstLine="560"/>
        <w:jc w:val="left"/>
        <w:rPr>
          <w:rFonts w:ascii="宋体" w:hAnsi="宋体"/>
          <w:szCs w:val="21"/>
        </w:rPr>
      </w:pPr>
      <w:r>
        <w:rPr>
          <w:rFonts w:hint="eastAsia" w:ascii="宋体" w:hAnsi="宋体"/>
          <w:szCs w:val="21"/>
        </w:rPr>
        <w:t xml:space="preserve">法定代表人：                     法定代表人： </w:t>
      </w:r>
    </w:p>
    <w:p>
      <w:pPr>
        <w:spacing w:line="360" w:lineRule="auto"/>
        <w:ind w:firstLine="560"/>
        <w:jc w:val="left"/>
        <w:rPr>
          <w:rFonts w:ascii="宋体" w:hAnsi="宋体"/>
          <w:szCs w:val="21"/>
        </w:rPr>
      </w:pPr>
      <w:r>
        <w:rPr>
          <w:rFonts w:hint="eastAsia" w:ascii="宋体" w:hAnsi="宋体"/>
          <w:szCs w:val="21"/>
        </w:rPr>
        <w:t>委托代理人：                     委托代理人：</w:t>
      </w:r>
    </w:p>
    <w:p>
      <w:pPr>
        <w:ind w:firstLine="420" w:firstLineChars="200"/>
        <w:rPr>
          <w:rFonts w:ascii="宋体" w:hAnsi="宋体"/>
          <w:szCs w:val="21"/>
        </w:rPr>
      </w:pPr>
      <w:r>
        <w:rPr>
          <w:rFonts w:hint="eastAsia" w:ascii="宋体" w:hAnsi="宋体"/>
          <w:szCs w:val="21"/>
        </w:rPr>
        <w:t>日期：   年     月    日         日期：   年     月    日</w:t>
      </w:r>
    </w:p>
    <w:p>
      <w:pPr>
        <w:ind w:firstLine="420" w:firstLineChars="200"/>
        <w:rPr>
          <w:rFonts w:ascii="宋体" w:hAnsi="宋体"/>
          <w:szCs w:val="21"/>
        </w:rPr>
      </w:pPr>
    </w:p>
    <w:p>
      <w:pPr>
        <w:widowControl/>
        <w:jc w:val="left"/>
        <w:rPr>
          <w:rFonts w:ascii="宋体" w:hAnsi="宋体"/>
          <w:szCs w:val="21"/>
        </w:rPr>
      </w:pPr>
      <w:r>
        <w:rPr>
          <w:rFonts w:ascii="宋体" w:hAnsi="宋体"/>
          <w:szCs w:val="21"/>
        </w:rPr>
        <w:br w:type="page"/>
      </w:r>
    </w:p>
    <w:p>
      <w:pPr>
        <w:pStyle w:val="5"/>
        <w:spacing w:beforeLines="50" w:afterLines="50"/>
        <w:ind w:left="562"/>
        <w:rPr>
          <w:sz w:val="28"/>
          <w:szCs w:val="28"/>
        </w:rPr>
      </w:pPr>
      <w:r>
        <w:rPr>
          <w:rFonts w:hint="eastAsia"/>
          <w:sz w:val="28"/>
          <w:szCs w:val="28"/>
        </w:rPr>
        <w:t>第二册  通用条款（公开招标）</w:t>
      </w:r>
    </w:p>
    <w:p>
      <w:pPr>
        <w:pStyle w:val="5"/>
        <w:numPr>
          <w:ilvl w:val="0"/>
          <w:numId w:val="17"/>
        </w:numPr>
        <w:spacing w:beforeLines="50" w:afterLines="50"/>
        <w:ind w:left="562" w:hanging="562"/>
        <w:rPr>
          <w:sz w:val="28"/>
          <w:szCs w:val="28"/>
        </w:rPr>
      </w:pPr>
      <w:bookmarkStart w:id="51" w:name="_Hlk72399513"/>
      <w:r>
        <w:rPr>
          <w:rFonts w:hint="eastAsia"/>
          <w:sz w:val="28"/>
          <w:szCs w:val="28"/>
        </w:rPr>
        <w:t>总则</w:t>
      </w:r>
    </w:p>
    <w:bookmarkEnd w:id="51"/>
    <w:p>
      <w:pPr>
        <w:rPr>
          <w:rFonts w:ascii="黑体" w:hAnsi="宋体" w:eastAsia="黑体"/>
          <w:sz w:val="24"/>
        </w:rPr>
      </w:pPr>
      <w:r>
        <w:rPr>
          <w:rFonts w:hint="eastAsia" w:ascii="黑体" w:hAnsi="宋体" w:eastAsia="黑体"/>
          <w:sz w:val="24"/>
        </w:rPr>
        <w:t>1. 通用条款说明</w:t>
      </w:r>
    </w:p>
    <w:p>
      <w:pPr>
        <w:ind w:firstLine="411" w:firstLineChars="196"/>
        <w:rPr>
          <w:rFonts w:ascii="宋体" w:hAnsi="宋体"/>
          <w:szCs w:val="21"/>
        </w:rPr>
      </w:pPr>
      <w:r>
        <w:rPr>
          <w:rFonts w:hint="eastAsia" w:ascii="宋体" w:hAnsi="宋体"/>
          <w:szCs w:val="21"/>
        </w:rPr>
        <w:t>1.1政府集中采购机构发出招标文件通用条款版本，列出深圳市政府采购项目进行招标采购所适用的通用条款内容。</w:t>
      </w:r>
      <w:bookmarkStart w:id="52" w:name="_Hlk72399729"/>
      <w:r>
        <w:rPr>
          <w:rFonts w:hint="eastAsia" w:ascii="宋体" w:hAnsi="宋体"/>
          <w:szCs w:val="21"/>
        </w:rPr>
        <w:t>如有需要，政府集中采购机构可以对通用条款的内容进行补充。</w:t>
      </w:r>
      <w:bookmarkEnd w:id="52"/>
    </w:p>
    <w:p>
      <w:pPr>
        <w:ind w:firstLine="411" w:firstLineChars="196"/>
        <w:rPr>
          <w:rFonts w:ascii="宋体" w:hAnsi="宋体"/>
          <w:szCs w:val="21"/>
        </w:rPr>
      </w:pPr>
      <w:r>
        <w:rPr>
          <w:rFonts w:hint="eastAsia" w:ascii="宋体" w:hAnsi="宋体"/>
          <w:szCs w:val="21"/>
        </w:rPr>
        <w:t>1.2招标文件分为第一册“专用条款”和第二册“通用条款”。</w:t>
      </w:r>
    </w:p>
    <w:p>
      <w:pPr>
        <w:ind w:firstLine="411" w:firstLineChars="196"/>
        <w:rPr>
          <w:rFonts w:ascii="宋体" w:hAnsi="宋体"/>
          <w:szCs w:val="21"/>
        </w:rPr>
      </w:pPr>
      <w:r>
        <w:rPr>
          <w:rFonts w:hint="eastAsia" w:ascii="宋体" w:hAnsi="宋体"/>
          <w:szCs w:val="21"/>
        </w:rPr>
        <w:t>1.3“专用条款”是对本次采购项目的具体要求，包含招标公告、对通用条款的补充内容及其他关键信息、用户需求书、投标文件格式及附件、合同条款及格式等内容。</w:t>
      </w:r>
    </w:p>
    <w:p>
      <w:pPr>
        <w:ind w:firstLine="411" w:firstLineChars="196"/>
        <w:rPr>
          <w:rFonts w:ascii="宋体" w:hAnsi="宋体"/>
          <w:szCs w:val="21"/>
        </w:rPr>
      </w:pPr>
      <w:r>
        <w:rPr>
          <w:rFonts w:hint="eastAsia" w:ascii="宋体" w:hAnsi="宋体"/>
          <w:szCs w:val="21"/>
        </w:rPr>
        <w:t>1.4“通用条款”是适用于政府采购公开招标项目的基础性条款，具有普遍性和通用性。</w:t>
      </w:r>
    </w:p>
    <w:p>
      <w:pPr>
        <w:ind w:firstLine="411" w:firstLineChars="196"/>
        <w:rPr>
          <w:rFonts w:ascii="宋体" w:hAnsi="宋体"/>
          <w:szCs w:val="21"/>
        </w:rPr>
      </w:pPr>
      <w:r>
        <w:rPr>
          <w:rFonts w:hint="eastAsia" w:ascii="宋体" w:hAnsi="宋体"/>
          <w:szCs w:val="21"/>
        </w:rPr>
        <w:t>1.5 “专用条款”和“通用条款”表述不一致或有冲突时，以“专用条款”为准。</w:t>
      </w:r>
    </w:p>
    <w:p>
      <w:pPr>
        <w:rPr>
          <w:rFonts w:ascii="黑体" w:hAnsi="宋体" w:eastAsia="黑体"/>
          <w:sz w:val="24"/>
        </w:rPr>
      </w:pPr>
      <w:r>
        <w:rPr>
          <w:rFonts w:hint="eastAsia" w:ascii="黑体" w:hAnsi="宋体" w:eastAsia="黑体"/>
          <w:sz w:val="24"/>
        </w:rPr>
        <w:t>2</w:t>
      </w:r>
      <w:r>
        <w:rPr>
          <w:rFonts w:ascii="黑体" w:hAnsi="宋体" w:eastAsia="黑体"/>
          <w:sz w:val="24"/>
        </w:rPr>
        <w:t>．</w:t>
      </w:r>
      <w:r>
        <w:rPr>
          <w:rFonts w:hint="eastAsia" w:ascii="黑体" w:hAnsi="宋体" w:eastAsia="黑体"/>
          <w:sz w:val="24"/>
        </w:rPr>
        <w:t>招标说明</w:t>
      </w:r>
    </w:p>
    <w:p>
      <w:pPr>
        <w:ind w:firstLine="411" w:firstLineChars="196"/>
        <w:rPr>
          <w:rFonts w:ascii="宋体" w:hAnsi="宋体"/>
          <w:szCs w:val="21"/>
        </w:rPr>
      </w:pPr>
      <w:r>
        <w:rPr>
          <w:rFonts w:hint="eastAsia" w:ascii="宋体" w:hAnsi="宋体"/>
          <w:szCs w:val="21"/>
        </w:rPr>
        <w:t>本项目按照《深圳经济特区政府采购条例》、《深圳经济特区政府采购条例实施细则》及政府采购其他法律法规，通过公开招标方式确定中标供应商。</w:t>
      </w:r>
    </w:p>
    <w:p>
      <w:pPr>
        <w:rPr>
          <w:rFonts w:ascii="黑体" w:hAnsi="宋体" w:eastAsia="黑体"/>
          <w:sz w:val="24"/>
        </w:rPr>
      </w:pPr>
      <w:r>
        <w:rPr>
          <w:rFonts w:hint="eastAsia" w:ascii="黑体" w:hAnsi="宋体" w:eastAsia="黑体"/>
          <w:sz w:val="24"/>
        </w:rPr>
        <w:t>3．定义</w:t>
      </w:r>
    </w:p>
    <w:p>
      <w:pPr>
        <w:ind w:firstLine="420" w:firstLineChars="200"/>
        <w:rPr>
          <w:rFonts w:ascii="宋体" w:hAnsi="宋体"/>
          <w:szCs w:val="21"/>
        </w:rPr>
      </w:pPr>
      <w:r>
        <w:rPr>
          <w:rFonts w:ascii="宋体" w:hAnsi="宋体"/>
          <w:szCs w:val="21"/>
        </w:rPr>
        <w:t>招标文件中下列术语应解释为：</w:t>
      </w:r>
    </w:p>
    <w:p>
      <w:pPr>
        <w:ind w:firstLine="411" w:firstLineChars="196"/>
        <w:rPr>
          <w:rFonts w:ascii="宋体" w:hAnsi="宋体"/>
          <w:szCs w:val="21"/>
        </w:rPr>
      </w:pPr>
      <w:r>
        <w:rPr>
          <w:rFonts w:hint="eastAsia" w:ascii="宋体" w:hAnsi="宋体"/>
          <w:szCs w:val="21"/>
        </w:rPr>
        <w:t>3.</w:t>
      </w:r>
      <w:r>
        <w:rPr>
          <w:rFonts w:ascii="宋体" w:hAnsi="宋体"/>
          <w:szCs w:val="21"/>
        </w:rPr>
        <w:t>1</w:t>
      </w:r>
      <w:r>
        <w:rPr>
          <w:rFonts w:hint="eastAsia" w:ascii="宋体" w:hAnsi="宋体"/>
          <w:szCs w:val="21"/>
        </w:rPr>
        <w:t>“采购人”：指利用财政性资金依法进行政府采购的国家机关、事业单位、团体组织；</w:t>
      </w:r>
      <w:r>
        <w:rPr>
          <w:rFonts w:ascii="宋体" w:hAnsi="宋体"/>
          <w:szCs w:val="21"/>
        </w:rPr>
        <w:t xml:space="preserve"> </w:t>
      </w:r>
    </w:p>
    <w:p>
      <w:pPr>
        <w:ind w:firstLine="411" w:firstLineChars="196"/>
        <w:rPr>
          <w:rFonts w:ascii="宋体" w:hAnsi="宋体"/>
          <w:szCs w:val="21"/>
        </w:rPr>
      </w:pPr>
      <w:r>
        <w:rPr>
          <w:rFonts w:hint="eastAsia" w:ascii="宋体" w:hAnsi="宋体"/>
          <w:szCs w:val="21"/>
        </w:rPr>
        <w:t>3.2 “政府集中采购机构”</w:t>
      </w:r>
      <w:r>
        <w:rPr>
          <w:rFonts w:hint="eastAsia" w:ascii="Arial" w:hAnsi="Arial" w:cs="Arial"/>
          <w:szCs w:val="21"/>
          <w:shd w:val="clear" w:color="auto" w:fill="FFFFFF"/>
        </w:rPr>
        <w:t>是指市政府设立的，组织实施政府采购项目，并对政府采购活动提供服务的专门机构；</w:t>
      </w:r>
      <w:r>
        <w:rPr>
          <w:rFonts w:hint="eastAsia" w:ascii="宋体" w:hAnsi="宋体"/>
          <w:szCs w:val="21"/>
        </w:rPr>
        <w:t>本文件所述的“政府集中采购机构”</w:t>
      </w:r>
      <w:r>
        <w:rPr>
          <w:rFonts w:ascii="宋体" w:hAnsi="宋体"/>
          <w:szCs w:val="21"/>
        </w:rPr>
        <w:t>指</w:t>
      </w:r>
      <w:r>
        <w:rPr>
          <w:rFonts w:hint="eastAsia" w:ascii="宋体" w:hAnsi="宋体"/>
          <w:b/>
          <w:bCs/>
          <w:szCs w:val="21"/>
        </w:rPr>
        <w:t>深圳公共资源交易中心</w:t>
      </w:r>
      <w:r>
        <w:rPr>
          <w:rFonts w:hint="eastAsia" w:ascii="宋体" w:hAnsi="宋体"/>
          <w:szCs w:val="21"/>
        </w:rPr>
        <w:t>；</w:t>
      </w:r>
    </w:p>
    <w:p>
      <w:pPr>
        <w:ind w:firstLine="411" w:firstLineChars="196"/>
        <w:rPr>
          <w:rFonts w:ascii="宋体" w:hAnsi="宋体"/>
          <w:szCs w:val="21"/>
        </w:rPr>
      </w:pPr>
      <w:r>
        <w:rPr>
          <w:rFonts w:hint="eastAsia" w:ascii="宋体" w:hAnsi="宋体"/>
          <w:szCs w:val="21"/>
        </w:rPr>
        <w:t>3.3“投标人”，即供应商，指参加投标竞争并愿意按照招标文件要求向采购人提供货物、工程或者服务的依法成立的法人、其他组织或者自然人；</w:t>
      </w:r>
    </w:p>
    <w:p>
      <w:pPr>
        <w:ind w:firstLine="411" w:firstLineChars="196"/>
        <w:rPr>
          <w:rFonts w:ascii="宋体" w:hAnsi="宋体"/>
          <w:szCs w:val="21"/>
        </w:rPr>
      </w:pPr>
      <w:r>
        <w:rPr>
          <w:rFonts w:hint="eastAsia" w:ascii="宋体" w:hAnsi="宋体"/>
          <w:szCs w:val="21"/>
        </w:rPr>
        <w:t>3.4“评审委员会”是依据《深圳经济特区政府采购条例》、《深圳经济特区政府采购条例实施细则》等有关规定组建的专门负责本次招标其评审工作的临时性机构；</w:t>
      </w:r>
    </w:p>
    <w:p>
      <w:pPr>
        <w:ind w:firstLine="411" w:firstLineChars="196"/>
        <w:rPr>
          <w:rFonts w:ascii="宋体" w:hAnsi="宋体"/>
          <w:szCs w:val="21"/>
        </w:rPr>
      </w:pPr>
      <w:r>
        <w:rPr>
          <w:rFonts w:hint="eastAsia" w:ascii="宋体" w:hAnsi="宋体"/>
          <w:szCs w:val="21"/>
        </w:rPr>
        <w:t>3.5“日期”</w:t>
      </w:r>
      <w:r>
        <w:rPr>
          <w:rFonts w:ascii="宋体" w:hAnsi="宋体"/>
          <w:szCs w:val="21"/>
        </w:rPr>
        <w:t>指</w:t>
      </w:r>
      <w:r>
        <w:rPr>
          <w:rFonts w:hint="eastAsia" w:ascii="宋体" w:hAnsi="宋体"/>
          <w:szCs w:val="21"/>
        </w:rPr>
        <w:t>公历日；</w:t>
      </w:r>
    </w:p>
    <w:p>
      <w:pPr>
        <w:ind w:firstLine="411" w:firstLineChars="196"/>
        <w:rPr>
          <w:rFonts w:ascii="宋体" w:hAnsi="宋体"/>
          <w:szCs w:val="21"/>
        </w:rPr>
      </w:pPr>
      <w:r>
        <w:rPr>
          <w:rFonts w:hint="eastAsia" w:ascii="宋体" w:hAnsi="宋体"/>
          <w:szCs w:val="21"/>
        </w:rPr>
        <w:t>3.6“合同”指由本次招标所产生的合同或合约文件；</w:t>
      </w:r>
    </w:p>
    <w:p>
      <w:pPr>
        <w:ind w:firstLine="411" w:firstLineChars="196"/>
        <w:rPr>
          <w:rFonts w:ascii="宋体" w:hAnsi="宋体"/>
          <w:szCs w:val="21"/>
        </w:rPr>
      </w:pPr>
      <w:r>
        <w:rPr>
          <w:rFonts w:hint="eastAsia" w:ascii="宋体" w:hAnsi="宋体"/>
          <w:szCs w:val="21"/>
        </w:rPr>
        <w:t>3.7“电子投标文件”指利用</w:t>
      </w:r>
      <w:r>
        <w:rPr>
          <w:rFonts w:hint="eastAsia" w:ascii="宋体" w:hAnsi="宋体"/>
          <w:b/>
          <w:bCs/>
          <w:szCs w:val="21"/>
        </w:rPr>
        <w:t>深圳公共资源交易中心（深圳交易集团有限公司政府采购业务分公司）</w:t>
      </w:r>
      <w:r>
        <w:rPr>
          <w:rFonts w:hint="eastAsia" w:ascii="宋体" w:hAnsi="宋体"/>
          <w:szCs w:val="21"/>
        </w:rPr>
        <w:t>网站提供的投标书加密软件加密的投标文件,适用于网上投标</w:t>
      </w:r>
      <w:bookmarkStart w:id="53" w:name="_Hlk72398581"/>
      <w:r>
        <w:rPr>
          <w:rFonts w:hint="eastAsia" w:ascii="宋体" w:hAnsi="宋体"/>
          <w:szCs w:val="21"/>
        </w:rPr>
        <w:t>（此投标书加密软件可从</w:t>
      </w:r>
      <w:r>
        <w:t>www.szggzy.com</w:t>
      </w:r>
      <w:r>
        <w:rPr>
          <w:rFonts w:hint="eastAsia" w:ascii="宋体" w:hAnsi="宋体"/>
          <w:szCs w:val="21"/>
        </w:rPr>
        <w:t>网站“服务导航-政府采购-资料下载”栏目中下载）；</w:t>
      </w:r>
      <w:bookmarkEnd w:id="53"/>
    </w:p>
    <w:p>
      <w:pPr>
        <w:ind w:firstLine="411" w:firstLineChars="196"/>
        <w:rPr>
          <w:rFonts w:ascii="宋体" w:hAnsi="宋体"/>
          <w:szCs w:val="21"/>
        </w:rPr>
      </w:pPr>
      <w:r>
        <w:rPr>
          <w:rFonts w:hint="eastAsia" w:ascii="宋体" w:hAnsi="宋体"/>
          <w:szCs w:val="21"/>
        </w:rPr>
        <w:t>3.8“网上投标”指通过</w:t>
      </w:r>
      <w:r>
        <w:rPr>
          <w:rFonts w:hint="eastAsia" w:ascii="宋体" w:hAnsi="宋体"/>
          <w:b/>
          <w:bCs/>
          <w:szCs w:val="21"/>
        </w:rPr>
        <w:t>深圳公共资源交易中心（深圳交易集团有限公司政府采购业务分公司）</w:t>
      </w:r>
      <w:r>
        <w:rPr>
          <w:rFonts w:hint="eastAsia" w:ascii="宋体" w:hAnsi="宋体"/>
          <w:szCs w:val="21"/>
        </w:rPr>
        <w:t>网站上传电子投标文件；</w:t>
      </w:r>
    </w:p>
    <w:p>
      <w:pPr>
        <w:ind w:firstLine="411" w:firstLineChars="196"/>
        <w:rPr>
          <w:rFonts w:ascii="宋体" w:hAnsi="宋体"/>
          <w:szCs w:val="21"/>
        </w:rPr>
      </w:pPr>
      <w:r>
        <w:rPr>
          <w:rFonts w:hint="eastAsia" w:ascii="宋体" w:hAnsi="宋体"/>
          <w:szCs w:val="21"/>
        </w:rPr>
        <w:t>3.9招标文件中的标题或题名仅起引导作用，而不应视为对招标文件内容的理解和解释。</w:t>
      </w:r>
    </w:p>
    <w:p>
      <w:pPr>
        <w:rPr>
          <w:rFonts w:ascii="黑体" w:hAnsi="宋体" w:eastAsia="黑体"/>
          <w:sz w:val="24"/>
        </w:rPr>
      </w:pPr>
      <w:r>
        <w:rPr>
          <w:rFonts w:hint="eastAsia" w:ascii="黑体" w:hAnsi="宋体" w:eastAsia="黑体"/>
          <w:sz w:val="24"/>
        </w:rPr>
        <w:t xml:space="preserve">4. </w:t>
      </w:r>
      <w:bookmarkStart w:id="54" w:name="_Hlk72398643"/>
      <w:r>
        <w:rPr>
          <w:rFonts w:hint="eastAsia" w:ascii="黑体" w:hAnsi="宋体" w:eastAsia="黑体"/>
          <w:sz w:val="24"/>
        </w:rPr>
        <w:t>政府采购供应商责任</w:t>
      </w:r>
    </w:p>
    <w:p>
      <w:pPr>
        <w:ind w:firstLine="411" w:firstLineChars="196"/>
        <w:rPr>
          <w:rFonts w:ascii="宋体" w:hAnsi="宋体"/>
          <w:szCs w:val="21"/>
        </w:rPr>
      </w:pPr>
      <w:r>
        <w:rPr>
          <w:rFonts w:hint="eastAsia" w:ascii="宋体" w:hAnsi="宋体"/>
          <w:szCs w:val="21"/>
        </w:rPr>
        <w:t>4.1欢迎诚信、有实力和有社会责任心的供应商参与政府采购事业。</w:t>
      </w:r>
    </w:p>
    <w:p>
      <w:pPr>
        <w:ind w:firstLine="411" w:firstLineChars="196"/>
        <w:rPr>
          <w:rFonts w:ascii="宋体" w:hAnsi="宋体"/>
          <w:szCs w:val="21"/>
        </w:rPr>
      </w:pPr>
      <w:r>
        <w:rPr>
          <w:rFonts w:hint="eastAsia" w:ascii="宋体" w:hAnsi="宋体"/>
          <w:szCs w:val="21"/>
        </w:rPr>
        <w:t>4.2投标人应当遵循公平竞争的原则，不得恶意串通，不得妨碍其他投标人的竞争行为，不得损害采购人或者其他投标人的合法权益。如违反上述要求，经核实后，供应商的投标无效。</w:t>
      </w:r>
    </w:p>
    <w:p>
      <w:pPr>
        <w:rPr>
          <w:rFonts w:ascii="黑体" w:hAnsi="宋体" w:eastAsia="黑体"/>
          <w:sz w:val="24"/>
        </w:rPr>
      </w:pPr>
      <w:r>
        <w:rPr>
          <w:rFonts w:hint="eastAsia" w:ascii="黑体" w:hAnsi="宋体" w:eastAsia="黑体"/>
          <w:sz w:val="24"/>
        </w:rPr>
        <w:t>5．投标人参加政府采购的条件</w:t>
      </w:r>
    </w:p>
    <w:p>
      <w:pPr>
        <w:ind w:firstLine="411" w:firstLineChars="196"/>
        <w:rPr>
          <w:rFonts w:ascii="宋体" w:hAnsi="宋体"/>
          <w:szCs w:val="21"/>
        </w:rPr>
      </w:pPr>
      <w:r>
        <w:rPr>
          <w:rFonts w:hint="eastAsia" w:ascii="宋体" w:hAnsi="宋体"/>
          <w:szCs w:val="21"/>
        </w:rPr>
        <w:t>5.1投标人应在投标前到</w:t>
      </w:r>
      <w:r>
        <w:rPr>
          <w:rFonts w:hint="eastAsia" w:ascii="宋体" w:hAnsi="宋体"/>
          <w:b/>
          <w:bCs/>
          <w:szCs w:val="21"/>
        </w:rPr>
        <w:t>深圳公共资源交易中心（具体在深圳交易集团有限公司政府采购业务分公司进行办理）</w:t>
      </w:r>
      <w:r>
        <w:rPr>
          <w:rFonts w:hint="eastAsia" w:ascii="宋体" w:hAnsi="宋体"/>
          <w:szCs w:val="21"/>
        </w:rPr>
        <w:t>进行注册并办理电子密钥。《</w:t>
      </w:r>
      <w:r>
        <w:fldChar w:fldCharType="begin"/>
      </w:r>
      <w:r>
        <w:instrText xml:space="preserve"> HYPERLINK "http://www.szzfcg.cn/viewer.do?id=2455258" \t "documentViewer2455258" </w:instrText>
      </w:r>
      <w:r>
        <w:fldChar w:fldCharType="separate"/>
      </w:r>
      <w:r>
        <w:rPr>
          <w:rFonts w:ascii="宋体" w:hAnsi="宋体"/>
          <w:szCs w:val="21"/>
        </w:rPr>
        <w:t>供应商注册及电子密钥新申请指引</w:t>
      </w:r>
      <w:r>
        <w:rPr>
          <w:rFonts w:ascii="宋体" w:hAnsi="宋体"/>
          <w:szCs w:val="21"/>
        </w:rPr>
        <w:fldChar w:fldCharType="end"/>
      </w:r>
      <w:r>
        <w:rPr>
          <w:rFonts w:hint="eastAsia" w:ascii="宋体" w:hAnsi="宋体"/>
          <w:szCs w:val="21"/>
        </w:rPr>
        <w:t>》详见</w:t>
      </w:r>
      <w:r>
        <w:t>www.szggzy.com</w:t>
      </w:r>
      <w:r>
        <w:rPr>
          <w:rFonts w:hint="eastAsia" w:ascii="宋体" w:hAnsi="宋体"/>
          <w:szCs w:val="21"/>
        </w:rPr>
        <w:t>网站“服务导航-政府采购-办事指南”。</w:t>
      </w:r>
    </w:p>
    <w:p>
      <w:pPr>
        <w:ind w:firstLine="411" w:firstLineChars="196"/>
        <w:rPr>
          <w:rFonts w:ascii="宋体" w:hAnsi="宋体"/>
          <w:szCs w:val="21"/>
        </w:rPr>
      </w:pPr>
      <w:r>
        <w:rPr>
          <w:rFonts w:hint="eastAsia" w:ascii="宋体" w:hAnsi="宋体"/>
          <w:szCs w:val="21"/>
        </w:rPr>
        <w:t>5.2投标人资格要求</w:t>
      </w:r>
    </w:p>
    <w:p>
      <w:pPr>
        <w:ind w:firstLine="411" w:firstLineChars="196"/>
        <w:rPr>
          <w:rFonts w:ascii="宋体" w:hAnsi="宋体"/>
          <w:szCs w:val="21"/>
        </w:rPr>
      </w:pPr>
      <w:r>
        <w:rPr>
          <w:rFonts w:hint="eastAsia" w:ascii="宋体" w:hAnsi="宋体"/>
          <w:szCs w:val="21"/>
        </w:rPr>
        <w:t>参加本项目的投标人应具备的资格条件详见本项目招标公告中 “投标人资格要求”（即申请人的资格要求）的内容。</w:t>
      </w:r>
    </w:p>
    <w:p>
      <w:pPr>
        <w:ind w:firstLine="411" w:firstLineChars="196"/>
        <w:rPr>
          <w:rFonts w:ascii="宋体" w:hAnsi="宋体"/>
          <w:szCs w:val="21"/>
        </w:rPr>
      </w:pPr>
      <w:r>
        <w:rPr>
          <w:rFonts w:hint="eastAsia" w:ascii="宋体" w:hAnsi="宋体"/>
          <w:szCs w:val="21"/>
        </w:rPr>
        <w:t>5.3联合体投标</w:t>
      </w:r>
    </w:p>
    <w:p>
      <w:pPr>
        <w:ind w:firstLine="411" w:firstLineChars="196"/>
        <w:rPr>
          <w:rFonts w:ascii="宋体" w:hAnsi="宋体"/>
          <w:szCs w:val="21"/>
        </w:rPr>
      </w:pPr>
      <w:r>
        <w:rPr>
          <w:rFonts w:hint="eastAsia" w:ascii="宋体" w:hAnsi="宋体"/>
          <w:szCs w:val="21"/>
        </w:rPr>
        <w:t>5.3.1　以下有关联合体投标的条款仅适用于允许投标人组成联合体投标的项目。</w:t>
      </w:r>
    </w:p>
    <w:p>
      <w:pPr>
        <w:ind w:firstLine="411" w:firstLineChars="196"/>
        <w:rPr>
          <w:rFonts w:ascii="宋体" w:hAnsi="宋体"/>
          <w:szCs w:val="21"/>
        </w:rPr>
      </w:pPr>
      <w:r>
        <w:rPr>
          <w:rFonts w:hint="eastAsia" w:ascii="宋体" w:hAnsi="宋体"/>
          <w:szCs w:val="21"/>
        </w:rPr>
        <w:t>5.3.2  由两个或两个以上的自然人、法人或者其他组织可以组成一个联合体，以一个供应商的身份共同投标时，应符合以下原则：</w:t>
      </w:r>
    </w:p>
    <w:p>
      <w:pPr>
        <w:ind w:firstLine="411" w:firstLineChars="196"/>
        <w:rPr>
          <w:rFonts w:ascii="宋体" w:hAnsi="宋体"/>
        </w:rPr>
      </w:pPr>
      <w:r>
        <w:rPr>
          <w:rFonts w:hint="eastAsia" w:ascii="宋体" w:hAnsi="宋体"/>
        </w:rPr>
        <w:t>（1）投标联合体各方参加政府采购活动应当具备下列条件：</w:t>
      </w:r>
      <w:r>
        <w:rPr>
          <w:rFonts w:ascii="宋体" w:hAnsi="宋体"/>
        </w:rPr>
        <w:t xml:space="preserve"> </w:t>
      </w:r>
    </w:p>
    <w:p>
      <w:pPr>
        <w:ind w:left="420" w:leftChars="200" w:firstLine="411" w:firstLineChars="196"/>
        <w:rPr>
          <w:rFonts w:ascii="宋体" w:hAnsi="宋体"/>
        </w:rPr>
      </w:pPr>
      <w:r>
        <w:rPr>
          <w:rFonts w:hint="eastAsia" w:ascii="宋体" w:hAnsi="宋体"/>
        </w:rPr>
        <w:t>1、具有独立承担民事责任的能力；</w:t>
      </w:r>
      <w:r>
        <w:rPr>
          <w:rFonts w:ascii="宋体" w:hAnsi="宋体"/>
        </w:rPr>
        <w:t xml:space="preserve"> </w:t>
      </w:r>
    </w:p>
    <w:p>
      <w:pPr>
        <w:ind w:left="420" w:firstLine="411" w:firstLineChars="196"/>
        <w:rPr>
          <w:rFonts w:ascii="宋体" w:hAnsi="宋体"/>
        </w:rPr>
      </w:pPr>
      <w:r>
        <w:rPr>
          <w:rFonts w:hint="eastAsia" w:ascii="宋体" w:hAnsi="宋体"/>
        </w:rPr>
        <w:t>2、有良好的商业信誉和健全的财务会计制度；</w:t>
      </w:r>
      <w:r>
        <w:rPr>
          <w:rFonts w:ascii="宋体" w:hAnsi="宋体"/>
        </w:rPr>
        <w:t xml:space="preserve"> </w:t>
      </w:r>
    </w:p>
    <w:p>
      <w:pPr>
        <w:ind w:left="420" w:leftChars="200" w:firstLine="411" w:firstLineChars="196"/>
        <w:rPr>
          <w:rFonts w:ascii="宋体" w:hAnsi="宋体"/>
        </w:rPr>
      </w:pPr>
      <w:r>
        <w:rPr>
          <w:rFonts w:hint="eastAsia" w:ascii="宋体" w:hAnsi="宋体"/>
        </w:rPr>
        <w:t>3、具有履行合同所必需的设备和专业技术能力；</w:t>
      </w:r>
      <w:r>
        <w:rPr>
          <w:rFonts w:ascii="宋体" w:hAnsi="宋体"/>
        </w:rPr>
        <w:t xml:space="preserve"> </w:t>
      </w:r>
    </w:p>
    <w:p>
      <w:pPr>
        <w:ind w:left="420" w:leftChars="200" w:firstLine="411" w:firstLineChars="196"/>
        <w:rPr>
          <w:rFonts w:ascii="宋体" w:hAnsi="宋体"/>
        </w:rPr>
      </w:pPr>
      <w:r>
        <w:rPr>
          <w:rFonts w:hint="eastAsia" w:ascii="宋体" w:hAnsi="宋体"/>
        </w:rPr>
        <w:t>4、有依法缴纳税收和社会保障资金的良好记录；</w:t>
      </w:r>
      <w:r>
        <w:rPr>
          <w:rFonts w:ascii="宋体" w:hAnsi="宋体"/>
        </w:rPr>
        <w:t xml:space="preserve"> </w:t>
      </w:r>
    </w:p>
    <w:p>
      <w:pPr>
        <w:ind w:left="420" w:leftChars="200" w:firstLine="411" w:firstLineChars="196"/>
        <w:rPr>
          <w:rFonts w:ascii="宋体" w:hAnsi="宋体"/>
        </w:rPr>
      </w:pPr>
      <w:r>
        <w:rPr>
          <w:rFonts w:hint="eastAsia" w:ascii="宋体" w:hAnsi="宋体"/>
        </w:rPr>
        <w:t>5、参加政府采购活动前三年内，在经营活动中没有重大违法记录；</w:t>
      </w:r>
      <w:r>
        <w:rPr>
          <w:rFonts w:ascii="宋体" w:hAnsi="宋体"/>
        </w:rPr>
        <w:t xml:space="preserve"> </w:t>
      </w:r>
    </w:p>
    <w:p>
      <w:pPr>
        <w:ind w:left="420" w:leftChars="200" w:firstLine="411" w:firstLineChars="196"/>
        <w:rPr>
          <w:rFonts w:ascii="宋体" w:hAnsi="宋体"/>
        </w:rPr>
      </w:pPr>
      <w:r>
        <w:rPr>
          <w:rFonts w:hint="eastAsia" w:ascii="宋体" w:hAnsi="宋体"/>
        </w:rPr>
        <w:t>6、法律、行政法规规定的其他条件。</w:t>
      </w:r>
      <w:r>
        <w:rPr>
          <w:rFonts w:ascii="宋体" w:hAnsi="宋体"/>
        </w:rPr>
        <w:t xml:space="preserve"> </w:t>
      </w:r>
    </w:p>
    <w:p>
      <w:pPr>
        <w:ind w:firstLine="411" w:firstLineChars="196"/>
        <w:rPr>
          <w:rFonts w:ascii="宋体" w:hAnsi="宋体"/>
        </w:rPr>
      </w:pPr>
      <w:r>
        <w:rPr>
          <w:rFonts w:hint="eastAsia" w:ascii="宋体" w:hAnsi="宋体"/>
        </w:rPr>
        <w:t>（2）在投标截止前，投标联合体各方均应注册成政府集中采购机构供应商；</w:t>
      </w:r>
    </w:p>
    <w:p>
      <w:pPr>
        <w:ind w:firstLine="411" w:firstLineChars="196"/>
        <w:rPr>
          <w:rFonts w:ascii="宋体" w:hAnsi="宋体"/>
        </w:rPr>
      </w:pPr>
      <w:r>
        <w:rPr>
          <w:rFonts w:hint="eastAsia" w:ascii="宋体" w:hAnsi="宋体"/>
        </w:rPr>
        <w:t>（3）联合体中有同类资质的供应商按照联合体分工承担相同工作的，应当按照资质等级较低的供应商确定资质等级；</w:t>
      </w:r>
    </w:p>
    <w:p>
      <w:pPr>
        <w:ind w:firstLine="411" w:firstLineChars="196"/>
      </w:pPr>
      <w:r>
        <w:rPr>
          <w:rFonts w:hint="eastAsia"/>
        </w:rPr>
        <w:t>（4）是否允许联合体参加投标，应当由采购人和采购代理机构根据项目的实际情况和潜在供应商的数量自主决定，如果决定接受联合体投标则应当在招标公告中明示；</w:t>
      </w:r>
    </w:p>
    <w:p>
      <w:pPr>
        <w:ind w:firstLine="411" w:firstLineChars="196"/>
        <w:rPr>
          <w:rFonts w:ascii="宋体" w:hAnsi="宋体"/>
        </w:rPr>
      </w:pPr>
      <w:r>
        <w:rPr>
          <w:rFonts w:hint="eastAsia" w:ascii="宋体" w:hAnsi="宋体"/>
        </w:rPr>
        <w:t>（5）投标人的投标文件及中标后签署的合同协议对联合体各方均具法律约束力；</w:t>
      </w:r>
    </w:p>
    <w:p>
      <w:pPr>
        <w:ind w:firstLine="411" w:firstLineChars="196"/>
        <w:rPr>
          <w:rFonts w:ascii="宋体" w:hAnsi="宋体"/>
        </w:rPr>
      </w:pPr>
      <w:r>
        <w:rPr>
          <w:rFonts w:hint="eastAsia" w:ascii="宋体" w:hAnsi="宋体"/>
        </w:rPr>
        <w:t>（6）联合体各方应当签订联合体投标协议，明确约定各方拟承担的工作和责任，并将该协议随投标文件一并递交给政府集中采购机构；</w:t>
      </w:r>
    </w:p>
    <w:p>
      <w:pPr>
        <w:ind w:firstLine="411" w:firstLineChars="196"/>
        <w:rPr>
          <w:rFonts w:ascii="宋体" w:hAnsi="宋体"/>
        </w:rPr>
      </w:pPr>
      <w:r>
        <w:rPr>
          <w:rFonts w:hint="eastAsia" w:ascii="宋体" w:hAnsi="宋体"/>
        </w:rPr>
        <w:t>（7）联合体中标后，联合体各方应当共同与采购人签订合同，就中标项目向采购人承担连带责任；</w:t>
      </w:r>
    </w:p>
    <w:p>
      <w:pPr>
        <w:ind w:firstLine="411" w:firstLineChars="196"/>
        <w:rPr>
          <w:rFonts w:ascii="宋体" w:hAnsi="宋体"/>
        </w:rPr>
      </w:pPr>
      <w:r>
        <w:rPr>
          <w:rFonts w:hint="eastAsia" w:ascii="宋体" w:hAnsi="宋体"/>
        </w:rPr>
        <w:t>（8）以联合体形式参加政府采购活动的，联合体各方不得再单独参加或者与其他供应商另外组成联合体参加同一合同项下的政府采购活动，出现上述情况者，其投标和与此有关联合体、总包单位的投标将被拒绝；</w:t>
      </w:r>
    </w:p>
    <w:p>
      <w:pPr>
        <w:ind w:firstLine="411" w:firstLineChars="196"/>
        <w:rPr>
          <w:rFonts w:ascii="宋体" w:hAnsi="宋体"/>
          <w:szCs w:val="21"/>
        </w:rPr>
      </w:pPr>
      <w:r>
        <w:rPr>
          <w:rFonts w:hint="eastAsia" w:ascii="宋体" w:hAnsi="宋体"/>
        </w:rPr>
        <w:t>（9）本通用条款中“投标人”一词亦指联合体各方，专用条款另有规定或说明的除外。</w:t>
      </w:r>
    </w:p>
    <w:p>
      <w:pPr>
        <w:rPr>
          <w:rFonts w:ascii="黑体" w:hAnsi="宋体" w:eastAsia="黑体"/>
          <w:sz w:val="24"/>
        </w:rPr>
      </w:pPr>
      <w:r>
        <w:rPr>
          <w:rFonts w:hint="eastAsia" w:ascii="黑体" w:hAnsi="宋体" w:eastAsia="黑体"/>
          <w:sz w:val="24"/>
        </w:rPr>
        <w:t>6．政策导向</w:t>
      </w:r>
    </w:p>
    <w:p>
      <w:pPr>
        <w:ind w:firstLine="411" w:firstLineChars="196"/>
        <w:rPr>
          <w:rFonts w:ascii="宋体" w:hAnsi="宋体"/>
        </w:rPr>
      </w:pPr>
      <w:r>
        <w:rPr>
          <w:rFonts w:hint="eastAsia" w:ascii="宋体" w:hAnsi="宋体"/>
        </w:rPr>
        <w:t>6.1</w:t>
      </w:r>
      <w:r>
        <w:rPr>
          <w:rFonts w:ascii="宋体" w:hAnsi="宋体"/>
        </w:rPr>
        <w:t xml:space="preserve">  </w:t>
      </w:r>
      <w:r>
        <w:rPr>
          <w:rFonts w:hint="eastAsia" w:ascii="宋体" w:hAnsi="宋体"/>
        </w:rPr>
        <w:t>政府采购扶持贫困地区、中小企业、监狱企业和残疾人福利性单位发展，支持节能减排、环境保护。</w:t>
      </w:r>
    </w:p>
    <w:p>
      <w:pPr>
        <w:ind w:firstLine="405"/>
        <w:rPr>
          <w:shd w:val="clear" w:color="auto" w:fill="FFFFFF"/>
        </w:rPr>
      </w:pPr>
      <w:r>
        <w:rPr>
          <w:rFonts w:hint="eastAsia" w:ascii="宋体" w:hAnsi="宋体"/>
        </w:rPr>
        <w:t>6.2</w:t>
      </w:r>
      <w:r>
        <w:rPr>
          <w:rFonts w:ascii="宋体" w:hAnsi="宋体"/>
        </w:rPr>
        <w:t xml:space="preserve">  </w:t>
      </w:r>
      <w:r>
        <w:rPr>
          <w:rFonts w:hint="eastAsia" w:ascii="宋体" w:hAnsi="宋体"/>
        </w:rPr>
        <w:t>本项目落实深圳市政府采购供应商诚信管理政策要求。</w:t>
      </w:r>
    </w:p>
    <w:p>
      <w:pPr>
        <w:rPr>
          <w:rFonts w:ascii="黑体" w:hAnsi="宋体" w:eastAsia="黑体"/>
          <w:sz w:val="24"/>
        </w:rPr>
      </w:pPr>
      <w:r>
        <w:rPr>
          <w:rFonts w:hint="eastAsia" w:ascii="黑体" w:hAnsi="宋体" w:eastAsia="黑体"/>
          <w:sz w:val="24"/>
        </w:rPr>
        <w:t>7. 本项目若涉及采购货物，则合格的货物及相应服务应满足以下要求：</w:t>
      </w:r>
    </w:p>
    <w:p>
      <w:pPr>
        <w:ind w:firstLine="411" w:firstLineChars="196"/>
        <w:rPr>
          <w:rFonts w:ascii="宋体" w:hAnsi="宋体"/>
        </w:rPr>
      </w:pPr>
      <w:r>
        <w:rPr>
          <w:rFonts w:hint="eastAsia" w:ascii="宋体" w:hAnsi="宋体"/>
        </w:rPr>
        <w:t>7</w:t>
      </w:r>
      <w:r>
        <w:rPr>
          <w:rFonts w:ascii="宋体" w:hAnsi="宋体"/>
        </w:rPr>
        <w:t xml:space="preserve">.1  </w:t>
      </w:r>
      <w:r>
        <w:rPr>
          <w:rFonts w:hint="eastAsia" w:ascii="宋体" w:hAnsi="宋体"/>
        </w:rPr>
        <w:t>必须是全新、未使用过的原装合格正品（包括零部件），如安装或配置了软件的，须为正版软件。</w:t>
      </w:r>
    </w:p>
    <w:p>
      <w:pPr>
        <w:ind w:firstLine="411" w:firstLineChars="196"/>
        <w:rPr>
          <w:rFonts w:ascii="宋体" w:hAnsi="宋体"/>
        </w:rPr>
      </w:pPr>
      <w:r>
        <w:rPr>
          <w:rFonts w:hint="eastAsia" w:ascii="宋体" w:hAnsi="宋体"/>
        </w:rPr>
        <w:t>7.2  国产的货物及其有关服务必须符合中华人民共和国的设计、制造生产标准及行业标准。招标公告有其他要求的，亦应符合其要求。</w:t>
      </w:r>
    </w:p>
    <w:p>
      <w:pPr>
        <w:ind w:firstLine="411" w:firstLineChars="196"/>
        <w:rPr>
          <w:rFonts w:ascii="宋体" w:hAnsi="宋体"/>
        </w:rPr>
      </w:pPr>
      <w:r>
        <w:rPr>
          <w:rFonts w:hint="eastAsia" w:ascii="宋体" w:hAnsi="宋体"/>
        </w:rPr>
        <w:t>7</w:t>
      </w:r>
      <w:r>
        <w:rPr>
          <w:rFonts w:ascii="宋体" w:hAnsi="宋体"/>
        </w:rPr>
        <w:t>.</w:t>
      </w:r>
      <w:r>
        <w:rPr>
          <w:rFonts w:hint="eastAsia" w:ascii="宋体" w:hAnsi="宋体"/>
        </w:rPr>
        <w:t>3</w:t>
      </w:r>
      <w:r>
        <w:rPr>
          <w:rFonts w:ascii="宋体" w:hAnsi="宋体"/>
        </w:rPr>
        <w:t xml:space="preserve">  </w:t>
      </w:r>
      <w:r>
        <w:rPr>
          <w:rFonts w:hint="eastAsia" w:ascii="宋体" w:hAnsi="宋体"/>
        </w:rPr>
        <w:t>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pPr>
        <w:ind w:firstLine="411" w:firstLineChars="196"/>
        <w:rPr>
          <w:rFonts w:ascii="宋体" w:hAnsi="宋体"/>
        </w:rPr>
      </w:pPr>
      <w:r>
        <w:rPr>
          <w:rFonts w:hint="eastAsia" w:ascii="宋体" w:hAnsi="宋体"/>
        </w:rPr>
        <w:t>7</w:t>
      </w:r>
      <w:r>
        <w:rPr>
          <w:rFonts w:ascii="宋体" w:hAnsi="宋体"/>
        </w:rPr>
        <w:t>.</w:t>
      </w:r>
      <w:r>
        <w:rPr>
          <w:rFonts w:hint="eastAsia" w:ascii="宋体" w:hAnsi="宋体"/>
        </w:rPr>
        <w:t>4</w:t>
      </w:r>
      <w:r>
        <w:rPr>
          <w:rFonts w:ascii="宋体" w:hAnsi="宋体"/>
        </w:rPr>
        <w:t xml:space="preserve">  </w:t>
      </w:r>
      <w:r>
        <w:rPr>
          <w:rFonts w:hint="eastAsia" w:ascii="宋体" w:hAnsi="宋体"/>
        </w:rPr>
        <w:t>投标人</w:t>
      </w:r>
      <w:bookmarkStart w:id="55" w:name="_Hlk72152753"/>
      <w:r>
        <w:rPr>
          <w:rFonts w:hint="eastAsia" w:ascii="宋体" w:hAnsi="宋体"/>
        </w:rPr>
        <w:t>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bookmarkEnd w:id="55"/>
    </w:p>
    <w:p>
      <w:pPr>
        <w:ind w:firstLine="411" w:firstLineChars="196"/>
        <w:rPr>
          <w:rFonts w:ascii="宋体" w:hAnsi="宋体"/>
        </w:rPr>
      </w:pPr>
      <w:r>
        <w:rPr>
          <w:rFonts w:hint="eastAsia" w:ascii="宋体" w:hAnsi="宋体"/>
        </w:rPr>
        <w:t>7.5  投标人应保证，其所提供的货物符合国家强制性标准要求；符合相关行业标准（如具备行政主管部门颁发的资质证书或国家质量监督部门的产品《检验报告》等）。设备到货验收时，还必须提供设备的产品合格证、质量保证文件。若中标后，除非另有约定，投标人必须按合同规定完成设备的安装，并达到验收标准。</w:t>
      </w:r>
    </w:p>
    <w:p>
      <w:pPr>
        <w:ind w:firstLine="411" w:firstLineChars="196"/>
        <w:rPr>
          <w:rFonts w:ascii="宋体" w:hAnsi="宋体"/>
        </w:rPr>
      </w:pPr>
      <w:r>
        <w:rPr>
          <w:rFonts w:hint="eastAsia" w:ascii="宋体" w:hAnsi="宋体"/>
        </w:rPr>
        <w:t>7.6  工期要求：投标人在投标时对其所投项目应提交交货进度、交货计划等，在合同规定的时间内完成项目实施工作。</w:t>
      </w:r>
    </w:p>
    <w:p>
      <w:pPr>
        <w:ind w:firstLine="411" w:firstLineChars="196"/>
        <w:rPr>
          <w:rFonts w:ascii="宋体" w:hAnsi="宋体"/>
        </w:rPr>
      </w:pPr>
      <w:r>
        <w:rPr>
          <w:rFonts w:hint="eastAsia" w:ascii="宋体" w:hAnsi="宋体"/>
        </w:rPr>
        <w:t>7.7  投标人必须承担的设备运输、安装调试、验收检测和提供设备操作说明书、图纸等其他相关及类似的义务。</w:t>
      </w:r>
    </w:p>
    <w:p>
      <w:pPr>
        <w:rPr>
          <w:rFonts w:ascii="黑体" w:hAnsi="宋体" w:eastAsia="黑体"/>
          <w:sz w:val="24"/>
        </w:rPr>
      </w:pPr>
      <w:r>
        <w:rPr>
          <w:rFonts w:hint="eastAsia" w:ascii="黑体" w:hAnsi="宋体" w:eastAsia="黑体"/>
          <w:sz w:val="24"/>
        </w:rPr>
        <w:t>8．投标费用</w:t>
      </w:r>
    </w:p>
    <w:p>
      <w:pPr>
        <w:ind w:firstLine="411" w:firstLineChars="196"/>
        <w:rPr>
          <w:rFonts w:ascii="宋体" w:hAnsi="宋体"/>
          <w:szCs w:val="21"/>
        </w:rPr>
      </w:pPr>
      <w:r>
        <w:rPr>
          <w:rFonts w:hint="eastAsia" w:ascii="宋体" w:hAnsi="宋体"/>
          <w:szCs w:val="21"/>
        </w:rPr>
        <w:t>不论投标结果如何，投标人应承担其编制投标文件与递交投标文件所涉及的一切费用。</w:t>
      </w:r>
    </w:p>
    <w:p>
      <w:pPr>
        <w:rPr>
          <w:rFonts w:ascii="黑体" w:hAnsi="宋体" w:eastAsia="黑体"/>
          <w:sz w:val="24"/>
        </w:rPr>
      </w:pPr>
      <w:r>
        <w:rPr>
          <w:rFonts w:hint="eastAsia" w:ascii="黑体" w:hAnsi="宋体" w:eastAsia="黑体"/>
          <w:sz w:val="24"/>
        </w:rPr>
        <w:t>9．踏勘现场</w:t>
      </w:r>
    </w:p>
    <w:p>
      <w:pPr>
        <w:ind w:firstLine="411" w:firstLineChars="196"/>
        <w:rPr>
          <w:rFonts w:ascii="宋体" w:hAnsi="宋体"/>
          <w:szCs w:val="21"/>
        </w:rPr>
      </w:pPr>
      <w:r>
        <w:rPr>
          <w:rFonts w:hint="eastAsia" w:ascii="宋体" w:hAnsi="宋体"/>
          <w:szCs w:val="21"/>
        </w:rPr>
        <w:t>9.1如有需要（详见专用条款），采购人或政府集中采购机构将组织投标人对项目现场及周围环境进行踏勘，以便投标人获取有关编制投标文件和签署合同所需的资料。踏勘现场所发生的费用由投标人自行承担。投标人应按招标文件所约定的时间、地点踏勘现场。</w:t>
      </w:r>
    </w:p>
    <w:p>
      <w:pPr>
        <w:ind w:firstLine="411" w:firstLineChars="196"/>
        <w:rPr>
          <w:rFonts w:ascii="宋体" w:hAnsi="宋体"/>
        </w:rPr>
      </w:pPr>
      <w:r>
        <w:rPr>
          <w:rFonts w:hint="eastAsia" w:ascii="宋体" w:hAnsi="宋体"/>
        </w:rPr>
        <w:t>9.2投标人及其人员经过采购人的允许，可以进入采购人的项目现场踏勘。若招标文件要求投标人于统一时间地点踏勘现场的，投标人应当按时前往。</w:t>
      </w:r>
    </w:p>
    <w:p>
      <w:pPr>
        <w:ind w:firstLine="411" w:firstLineChars="196"/>
        <w:rPr>
          <w:rFonts w:ascii="宋体" w:hAnsi="宋体"/>
        </w:rPr>
      </w:pPr>
      <w:r>
        <w:rPr>
          <w:rFonts w:hint="eastAsia" w:ascii="宋体" w:hAnsi="宋体"/>
        </w:rPr>
        <w:t>9.3采购人应当通过政府集中采购机构向投标人提供有关现场的书面资料和数据。</w:t>
      </w:r>
    </w:p>
    <w:p>
      <w:pPr>
        <w:ind w:firstLine="411" w:firstLineChars="196"/>
        <w:rPr>
          <w:rFonts w:ascii="宋体" w:hAnsi="宋体"/>
        </w:rPr>
      </w:pPr>
      <w:r>
        <w:rPr>
          <w:rFonts w:hint="eastAsia" w:ascii="宋体" w:hAnsi="宋体"/>
        </w:rPr>
        <w:t>9.4任何人或任何组织在踏勘现场时向投标人提供的任何书面资料或口头承诺，未经政府集中采购机构在网上发布或书面通知，均作无效处理。</w:t>
      </w:r>
    </w:p>
    <w:p>
      <w:pPr>
        <w:ind w:firstLine="411" w:firstLineChars="196"/>
        <w:rPr>
          <w:rFonts w:ascii="宋体" w:hAnsi="宋体"/>
        </w:rPr>
      </w:pPr>
      <w:r>
        <w:rPr>
          <w:rFonts w:ascii="宋体" w:hAnsi="宋体"/>
          <w:szCs w:val="21"/>
        </w:rPr>
        <w:t>9</w:t>
      </w:r>
      <w:r>
        <w:rPr>
          <w:rFonts w:hint="eastAsia" w:ascii="宋体" w:hAnsi="宋体"/>
          <w:szCs w:val="21"/>
        </w:rPr>
        <w:t>.</w:t>
      </w:r>
      <w:r>
        <w:rPr>
          <w:rFonts w:ascii="宋体" w:hAnsi="宋体"/>
          <w:szCs w:val="21"/>
        </w:rPr>
        <w:t>5</w:t>
      </w:r>
      <w:r>
        <w:rPr>
          <w:rFonts w:hint="eastAsia" w:ascii="宋体" w:hAnsi="宋体"/>
          <w:szCs w:val="21"/>
        </w:rPr>
        <w:t>未参与踏勘现场不作为否定投标人资格的理由。</w:t>
      </w:r>
    </w:p>
    <w:p>
      <w:pPr>
        <w:rPr>
          <w:rFonts w:ascii="宋体" w:hAnsi="宋体"/>
          <w:szCs w:val="21"/>
        </w:rPr>
      </w:pPr>
      <w:r>
        <w:rPr>
          <w:rFonts w:hint="eastAsia" w:ascii="黑体" w:hAnsi="宋体" w:eastAsia="黑体"/>
          <w:sz w:val="24"/>
        </w:rPr>
        <w:t>1</w:t>
      </w:r>
      <w:r>
        <w:rPr>
          <w:rFonts w:ascii="黑体" w:hAnsi="宋体" w:eastAsia="黑体"/>
          <w:sz w:val="24"/>
        </w:rPr>
        <w:t>0</w:t>
      </w:r>
      <w:r>
        <w:rPr>
          <w:rFonts w:hint="eastAsia" w:ascii="黑体" w:hAnsi="宋体" w:eastAsia="黑体"/>
          <w:sz w:val="24"/>
        </w:rPr>
        <w:t>．标前会议</w:t>
      </w:r>
    </w:p>
    <w:p>
      <w:pPr>
        <w:ind w:firstLine="411" w:firstLineChars="196"/>
        <w:rPr>
          <w:rFonts w:ascii="宋体" w:hAnsi="宋体"/>
          <w:szCs w:val="21"/>
        </w:rPr>
      </w:pPr>
      <w:r>
        <w:rPr>
          <w:rFonts w:hint="eastAsia" w:ascii="宋体" w:hAnsi="宋体"/>
          <w:szCs w:val="21"/>
        </w:rPr>
        <w:t>1</w:t>
      </w:r>
      <w:r>
        <w:rPr>
          <w:rFonts w:ascii="宋体" w:hAnsi="宋体"/>
          <w:szCs w:val="21"/>
        </w:rPr>
        <w:t>0</w:t>
      </w:r>
      <w:r>
        <w:rPr>
          <w:rFonts w:hint="eastAsia" w:ascii="宋体" w:hAnsi="宋体"/>
          <w:szCs w:val="21"/>
        </w:rPr>
        <w:t>.</w:t>
      </w:r>
      <w:r>
        <w:rPr>
          <w:rFonts w:ascii="宋体" w:hAnsi="宋体"/>
          <w:szCs w:val="21"/>
        </w:rPr>
        <w:t>1</w:t>
      </w:r>
      <w:r>
        <w:rPr>
          <w:rFonts w:hint="eastAsia" w:ascii="宋体" w:hAnsi="宋体"/>
          <w:szCs w:val="21"/>
        </w:rPr>
        <w:t>如采购人或政府集中采购机构认为有必要组织标前会议，投标人应按照招标文件规定的时间或政府集中采购机构另行书面通知（包括政府集中采购机构网站发布方式，如更正公告等）的时间和地点，参与标前会议。</w:t>
      </w:r>
    </w:p>
    <w:p>
      <w:pPr>
        <w:ind w:firstLine="411" w:firstLineChars="196"/>
        <w:rPr>
          <w:rFonts w:ascii="宋体" w:hAnsi="宋体"/>
          <w:szCs w:val="21"/>
        </w:rPr>
      </w:pPr>
      <w:r>
        <w:rPr>
          <w:rFonts w:ascii="宋体" w:hAnsi="宋体"/>
        </w:rPr>
        <w:t>10</w:t>
      </w:r>
      <w:r>
        <w:rPr>
          <w:rFonts w:hint="eastAsia" w:ascii="宋体" w:hAnsi="宋体"/>
        </w:rPr>
        <w:t>.</w:t>
      </w:r>
      <w:r>
        <w:rPr>
          <w:rFonts w:ascii="宋体" w:hAnsi="宋体"/>
        </w:rPr>
        <w:t>2</w:t>
      </w:r>
      <w:r>
        <w:rPr>
          <w:rFonts w:hint="eastAsia" w:ascii="宋体" w:hAnsi="宋体"/>
        </w:rPr>
        <w:t>任何人或任何组织在标前会议时向投标人提供的任何书面资料或口头承诺，未经政府集中采购机构在网上发布或书面通知，均作无效处理。</w:t>
      </w:r>
    </w:p>
    <w:p>
      <w:pPr>
        <w:ind w:firstLine="411" w:firstLineChars="196"/>
        <w:rPr>
          <w:rFonts w:ascii="宋体" w:hAnsi="宋体"/>
          <w:szCs w:val="21"/>
        </w:rPr>
      </w:pPr>
      <w:r>
        <w:rPr>
          <w:rFonts w:hint="eastAsia" w:ascii="宋体" w:hAnsi="宋体"/>
          <w:szCs w:val="21"/>
        </w:rPr>
        <w:t>1</w:t>
      </w:r>
      <w:r>
        <w:rPr>
          <w:rFonts w:ascii="宋体" w:hAnsi="宋体"/>
          <w:szCs w:val="21"/>
        </w:rPr>
        <w:t>0</w:t>
      </w:r>
      <w:r>
        <w:rPr>
          <w:rFonts w:hint="eastAsia" w:ascii="宋体" w:hAnsi="宋体"/>
          <w:szCs w:val="21"/>
        </w:rPr>
        <w:t>.</w:t>
      </w:r>
      <w:r>
        <w:rPr>
          <w:rFonts w:ascii="宋体" w:hAnsi="宋体"/>
          <w:szCs w:val="21"/>
        </w:rPr>
        <w:t>3</w:t>
      </w:r>
      <w:r>
        <w:rPr>
          <w:rFonts w:hint="eastAsia" w:ascii="宋体" w:hAnsi="宋体"/>
          <w:szCs w:val="21"/>
        </w:rPr>
        <w:t>未参与标前会议不作为否定投标人资格的理由。</w:t>
      </w:r>
    </w:p>
    <w:bookmarkEnd w:id="54"/>
    <w:p>
      <w:pPr>
        <w:ind w:firstLine="411" w:firstLineChars="196"/>
        <w:rPr>
          <w:rFonts w:ascii="宋体" w:hAnsi="宋体"/>
        </w:rPr>
      </w:pPr>
    </w:p>
    <w:p>
      <w:pPr>
        <w:pStyle w:val="5"/>
        <w:numPr>
          <w:ilvl w:val="0"/>
          <w:numId w:val="17"/>
        </w:numPr>
        <w:spacing w:beforeLines="50" w:afterLines="50"/>
        <w:ind w:left="562" w:hanging="562"/>
        <w:rPr>
          <w:sz w:val="28"/>
          <w:szCs w:val="28"/>
        </w:rPr>
      </w:pPr>
      <w:r>
        <w:rPr>
          <w:rFonts w:hint="eastAsia"/>
          <w:sz w:val="28"/>
          <w:szCs w:val="28"/>
        </w:rPr>
        <w:t>招标文件</w:t>
      </w:r>
    </w:p>
    <w:p>
      <w:pPr>
        <w:rPr>
          <w:rFonts w:ascii="黑体" w:hAnsi="宋体" w:eastAsia="黑体"/>
          <w:sz w:val="24"/>
        </w:rPr>
      </w:pPr>
      <w:r>
        <w:rPr>
          <w:rFonts w:hint="eastAsia" w:ascii="黑体" w:hAnsi="宋体" w:eastAsia="黑体"/>
          <w:sz w:val="24"/>
        </w:rPr>
        <w:t>1</w:t>
      </w:r>
      <w:r>
        <w:rPr>
          <w:rFonts w:ascii="黑体" w:hAnsi="宋体" w:eastAsia="黑体"/>
          <w:sz w:val="24"/>
        </w:rPr>
        <w:t>1</w:t>
      </w:r>
      <w:r>
        <w:rPr>
          <w:rFonts w:hint="eastAsia" w:ascii="黑体" w:hAnsi="宋体" w:eastAsia="黑体"/>
          <w:sz w:val="24"/>
        </w:rPr>
        <w:t>．</w:t>
      </w:r>
      <w:bookmarkStart w:id="56" w:name="_Hlk72399819"/>
      <w:r>
        <w:rPr>
          <w:rFonts w:hint="eastAsia" w:ascii="黑体" w:hAnsi="宋体" w:eastAsia="黑体"/>
          <w:sz w:val="24"/>
        </w:rPr>
        <w:t>招标文件的编制与组成</w:t>
      </w:r>
    </w:p>
    <w:p>
      <w:pPr>
        <w:snapToGrid w:val="0"/>
        <w:ind w:firstLine="420" w:firstLineChars="200"/>
        <w:rPr>
          <w:rFonts w:ascii="宋体" w:hAnsi="宋体"/>
          <w:szCs w:val="21"/>
        </w:rPr>
      </w:pPr>
      <w:r>
        <w:rPr>
          <w:rFonts w:hint="eastAsia" w:ascii="宋体" w:hAnsi="宋体"/>
          <w:szCs w:val="21"/>
        </w:rPr>
        <w:t>1</w:t>
      </w:r>
      <w:r>
        <w:rPr>
          <w:rFonts w:ascii="宋体" w:hAnsi="宋体"/>
          <w:szCs w:val="21"/>
        </w:rPr>
        <w:t>1</w:t>
      </w:r>
      <w:r>
        <w:rPr>
          <w:rFonts w:hint="eastAsia" w:ascii="宋体" w:hAnsi="宋体"/>
          <w:szCs w:val="21"/>
        </w:rPr>
        <w:t>.1招标文件除以下内容外，政府集中采购机构在招标期间发出的澄清或修改等相关公告或通知内容，均是招标文件的组成部分，对投标人起约束作用；</w:t>
      </w:r>
    </w:p>
    <w:p>
      <w:pPr>
        <w:ind w:firstLine="411" w:firstLineChars="196"/>
        <w:rPr>
          <w:rFonts w:ascii="宋体" w:hAnsi="宋体"/>
          <w:szCs w:val="21"/>
        </w:rPr>
      </w:pPr>
      <w:r>
        <w:rPr>
          <w:rFonts w:hint="eastAsia" w:ascii="宋体" w:hAnsi="宋体"/>
          <w:szCs w:val="21"/>
        </w:rPr>
        <w:t>招标文件包括下列内容：</w:t>
      </w:r>
    </w:p>
    <w:p>
      <w:pPr>
        <w:ind w:left="420" w:leftChars="200" w:firstLine="413" w:firstLineChars="196"/>
        <w:rPr>
          <w:rFonts w:ascii="宋体" w:hAnsi="宋体"/>
          <w:b/>
          <w:szCs w:val="21"/>
        </w:rPr>
      </w:pPr>
      <w:r>
        <w:rPr>
          <w:rFonts w:hint="eastAsia" w:ascii="宋体" w:hAnsi="宋体"/>
          <w:b/>
          <w:szCs w:val="21"/>
        </w:rPr>
        <w:t>第一册  专用条款</w:t>
      </w:r>
    </w:p>
    <w:p>
      <w:pPr>
        <w:ind w:left="1079" w:leftChars="514"/>
        <w:rPr>
          <w:rFonts w:ascii="宋体" w:hAnsi="宋体"/>
          <w:b/>
          <w:szCs w:val="21"/>
        </w:rPr>
      </w:pPr>
      <w:r>
        <w:rPr>
          <w:rFonts w:hint="eastAsia" w:ascii="宋体" w:hAnsi="宋体"/>
          <w:b/>
          <w:szCs w:val="21"/>
        </w:rPr>
        <w:t>关键信息</w:t>
      </w:r>
    </w:p>
    <w:p>
      <w:pPr>
        <w:ind w:left="630" w:leftChars="300" w:firstLine="411" w:firstLineChars="196"/>
        <w:rPr>
          <w:rFonts w:ascii="宋体" w:hAnsi="宋体"/>
          <w:szCs w:val="21"/>
        </w:rPr>
      </w:pPr>
      <w:r>
        <w:rPr>
          <w:rFonts w:hint="eastAsia" w:ascii="宋体" w:hAnsi="宋体"/>
          <w:szCs w:val="21"/>
        </w:rPr>
        <w:t>第一章  招标公告</w:t>
      </w:r>
    </w:p>
    <w:p>
      <w:pPr>
        <w:ind w:left="630" w:leftChars="300" w:firstLine="411" w:firstLineChars="196"/>
        <w:rPr>
          <w:rFonts w:ascii="宋体" w:hAnsi="宋体"/>
          <w:szCs w:val="21"/>
        </w:rPr>
      </w:pPr>
      <w:r>
        <w:rPr>
          <w:rFonts w:hint="eastAsia" w:ascii="宋体" w:hAnsi="宋体"/>
          <w:szCs w:val="21"/>
        </w:rPr>
        <w:t>第二章  对通用条款的补充内容及其他关键信息</w:t>
      </w:r>
    </w:p>
    <w:p>
      <w:pPr>
        <w:ind w:left="630" w:leftChars="300" w:firstLine="411" w:firstLineChars="196"/>
        <w:rPr>
          <w:rFonts w:ascii="宋体" w:hAnsi="宋体"/>
          <w:szCs w:val="21"/>
        </w:rPr>
      </w:pPr>
      <w:r>
        <w:rPr>
          <w:rFonts w:hint="eastAsia" w:ascii="宋体" w:hAnsi="宋体"/>
          <w:szCs w:val="21"/>
        </w:rPr>
        <w:t>第三章  用户需求书</w:t>
      </w:r>
    </w:p>
    <w:p>
      <w:pPr>
        <w:ind w:left="630" w:leftChars="300" w:firstLine="411" w:firstLineChars="196"/>
        <w:rPr>
          <w:rFonts w:ascii="宋体" w:hAnsi="宋体"/>
          <w:szCs w:val="21"/>
        </w:rPr>
      </w:pPr>
      <w:r>
        <w:rPr>
          <w:rFonts w:hint="eastAsia"/>
        </w:rPr>
        <w:t xml:space="preserve">第四章 </w:t>
      </w:r>
      <w:r>
        <w:t xml:space="preserve"> </w:t>
      </w:r>
      <w:r>
        <w:rPr>
          <w:rFonts w:hint="eastAsia"/>
        </w:rPr>
        <w:t>投标文件格式及附件</w:t>
      </w:r>
    </w:p>
    <w:p>
      <w:pPr>
        <w:ind w:left="630" w:leftChars="300" w:firstLine="411" w:firstLineChars="196"/>
        <w:rPr>
          <w:rFonts w:ascii="宋体" w:hAnsi="宋体"/>
          <w:szCs w:val="21"/>
        </w:rPr>
      </w:pPr>
      <w:r>
        <w:rPr>
          <w:rFonts w:hint="eastAsia" w:ascii="宋体" w:hAnsi="宋体"/>
          <w:szCs w:val="21"/>
        </w:rPr>
        <w:t>第五章  合同条款及格式</w:t>
      </w:r>
    </w:p>
    <w:p>
      <w:pPr>
        <w:ind w:left="420" w:leftChars="200" w:firstLine="413" w:firstLineChars="196"/>
        <w:rPr>
          <w:rFonts w:ascii="宋体" w:hAnsi="宋体"/>
          <w:b/>
          <w:szCs w:val="21"/>
        </w:rPr>
      </w:pPr>
      <w:r>
        <w:rPr>
          <w:rFonts w:hint="eastAsia" w:ascii="宋体" w:hAnsi="宋体"/>
          <w:b/>
          <w:szCs w:val="21"/>
        </w:rPr>
        <w:t>第二册  通用条款</w:t>
      </w:r>
    </w:p>
    <w:p>
      <w:pPr>
        <w:ind w:left="630" w:leftChars="300" w:firstLine="411" w:firstLineChars="196"/>
        <w:rPr>
          <w:rFonts w:ascii="宋体" w:hAnsi="宋体"/>
          <w:szCs w:val="21"/>
        </w:rPr>
      </w:pPr>
      <w:r>
        <w:rPr>
          <w:rFonts w:hint="eastAsia" w:ascii="宋体" w:hAnsi="宋体"/>
          <w:szCs w:val="21"/>
        </w:rPr>
        <w:t>第一章  总则</w:t>
      </w:r>
    </w:p>
    <w:p>
      <w:pPr>
        <w:ind w:left="630" w:leftChars="300" w:firstLine="411" w:firstLineChars="196"/>
        <w:rPr>
          <w:rFonts w:ascii="宋体" w:hAnsi="宋体"/>
          <w:szCs w:val="21"/>
        </w:rPr>
      </w:pPr>
      <w:r>
        <w:rPr>
          <w:rFonts w:hint="eastAsia" w:ascii="宋体" w:hAnsi="宋体"/>
          <w:szCs w:val="21"/>
        </w:rPr>
        <w:t>第二章  招标文件</w:t>
      </w:r>
    </w:p>
    <w:p>
      <w:pPr>
        <w:ind w:left="630" w:leftChars="300" w:firstLine="411" w:firstLineChars="196"/>
        <w:rPr>
          <w:rFonts w:ascii="宋体" w:hAnsi="宋体"/>
          <w:szCs w:val="21"/>
        </w:rPr>
      </w:pPr>
      <w:r>
        <w:rPr>
          <w:rFonts w:hint="eastAsia" w:ascii="宋体" w:hAnsi="宋体"/>
          <w:szCs w:val="21"/>
        </w:rPr>
        <w:t>第三章  投标文件的编制</w:t>
      </w:r>
    </w:p>
    <w:p>
      <w:pPr>
        <w:ind w:left="630" w:leftChars="300" w:firstLine="411" w:firstLineChars="196"/>
        <w:rPr>
          <w:rFonts w:ascii="宋体" w:hAnsi="宋体"/>
          <w:szCs w:val="21"/>
        </w:rPr>
      </w:pPr>
      <w:r>
        <w:rPr>
          <w:rFonts w:hint="eastAsia" w:ascii="宋体" w:hAnsi="宋体"/>
          <w:szCs w:val="21"/>
        </w:rPr>
        <w:t>第四章  投标文件的递交</w:t>
      </w:r>
    </w:p>
    <w:p>
      <w:pPr>
        <w:ind w:left="630" w:leftChars="300" w:firstLine="411" w:firstLineChars="196"/>
        <w:rPr>
          <w:rFonts w:ascii="宋体" w:hAnsi="宋体"/>
          <w:szCs w:val="21"/>
        </w:rPr>
      </w:pPr>
      <w:r>
        <w:rPr>
          <w:rFonts w:hint="eastAsia" w:ascii="宋体" w:hAnsi="宋体"/>
          <w:szCs w:val="21"/>
        </w:rPr>
        <w:t>第五章  开标</w:t>
      </w:r>
    </w:p>
    <w:p>
      <w:pPr>
        <w:ind w:left="630" w:leftChars="300" w:firstLine="411" w:firstLineChars="196"/>
        <w:rPr>
          <w:rFonts w:ascii="宋体" w:hAnsi="宋体"/>
          <w:szCs w:val="21"/>
        </w:rPr>
      </w:pPr>
      <w:r>
        <w:rPr>
          <w:rFonts w:hint="eastAsia" w:ascii="宋体" w:hAnsi="宋体"/>
          <w:szCs w:val="21"/>
        </w:rPr>
        <w:t>第六章  评审要求</w:t>
      </w:r>
    </w:p>
    <w:p>
      <w:pPr>
        <w:ind w:left="630" w:leftChars="300" w:firstLine="411" w:firstLineChars="196"/>
        <w:rPr>
          <w:rFonts w:ascii="宋体" w:hAnsi="宋体"/>
          <w:szCs w:val="21"/>
        </w:rPr>
      </w:pPr>
      <w:r>
        <w:rPr>
          <w:rFonts w:hint="eastAsia" w:ascii="宋体" w:hAnsi="宋体"/>
          <w:szCs w:val="21"/>
        </w:rPr>
        <w:t>第七章  评审程序及评审方法</w:t>
      </w:r>
    </w:p>
    <w:p>
      <w:pPr>
        <w:ind w:left="630" w:leftChars="300" w:firstLine="411" w:firstLineChars="196"/>
        <w:rPr>
          <w:rFonts w:ascii="宋体" w:hAnsi="宋体"/>
          <w:szCs w:val="21"/>
        </w:rPr>
      </w:pPr>
      <w:r>
        <w:rPr>
          <w:rFonts w:hint="eastAsia" w:ascii="宋体" w:hAnsi="宋体"/>
          <w:szCs w:val="21"/>
        </w:rPr>
        <w:t>第八章  定标及公示</w:t>
      </w:r>
    </w:p>
    <w:p>
      <w:pPr>
        <w:ind w:left="630" w:leftChars="300" w:firstLine="411" w:firstLineChars="196"/>
        <w:rPr>
          <w:rFonts w:ascii="宋体" w:hAnsi="宋体"/>
          <w:szCs w:val="21"/>
        </w:rPr>
      </w:pPr>
      <w:r>
        <w:rPr>
          <w:rFonts w:hint="eastAsia" w:ascii="宋体" w:hAnsi="宋体"/>
          <w:szCs w:val="21"/>
        </w:rPr>
        <w:t>第九章  公开招标失败的后续处理</w:t>
      </w:r>
    </w:p>
    <w:p>
      <w:pPr>
        <w:ind w:left="630" w:leftChars="300" w:firstLine="411" w:firstLineChars="196"/>
        <w:rPr>
          <w:rFonts w:ascii="宋体" w:hAnsi="宋体"/>
          <w:szCs w:val="21"/>
        </w:rPr>
      </w:pPr>
      <w:r>
        <w:rPr>
          <w:rFonts w:hint="eastAsia" w:ascii="宋体" w:hAnsi="宋体"/>
          <w:szCs w:val="21"/>
        </w:rPr>
        <w:t>第十章  合同的授予与备案</w:t>
      </w:r>
    </w:p>
    <w:p>
      <w:pPr>
        <w:ind w:left="630" w:leftChars="300" w:firstLine="411" w:firstLineChars="196"/>
        <w:rPr>
          <w:rFonts w:ascii="宋体" w:hAnsi="宋体"/>
          <w:szCs w:val="21"/>
        </w:rPr>
      </w:pPr>
      <w:r>
        <w:rPr>
          <w:rFonts w:hint="eastAsia" w:ascii="宋体" w:hAnsi="宋体"/>
          <w:szCs w:val="21"/>
        </w:rPr>
        <w:t>第十一章  质疑处理</w:t>
      </w:r>
    </w:p>
    <w:p>
      <w:pPr>
        <w:ind w:firstLine="411" w:firstLineChars="196"/>
        <w:rPr>
          <w:rFonts w:ascii="宋体" w:hAnsi="宋体"/>
          <w:szCs w:val="21"/>
        </w:rPr>
      </w:pPr>
      <w:r>
        <w:rPr>
          <w:rFonts w:hint="eastAsia" w:ascii="宋体" w:hAnsi="宋体"/>
          <w:szCs w:val="21"/>
        </w:rPr>
        <w:t>1</w:t>
      </w:r>
      <w:r>
        <w:rPr>
          <w:rFonts w:ascii="宋体" w:hAnsi="宋体"/>
          <w:szCs w:val="21"/>
        </w:rPr>
        <w:t>1</w:t>
      </w:r>
      <w:r>
        <w:rPr>
          <w:rFonts w:hint="eastAsia" w:ascii="宋体" w:hAnsi="宋体"/>
          <w:szCs w:val="21"/>
        </w:rPr>
        <w:t>.2 投标人下载招标文件后，应仔细检查招标文件的所有内容，如有疑问应在答疑截止时间之前向政府集中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pPr>
        <w:ind w:firstLine="411" w:firstLineChars="196"/>
        <w:rPr>
          <w:rFonts w:ascii="宋体" w:hAnsi="宋体"/>
          <w:szCs w:val="21"/>
        </w:rPr>
      </w:pPr>
      <w:r>
        <w:rPr>
          <w:rFonts w:hint="eastAsia" w:ascii="宋体" w:hAnsi="宋体"/>
          <w:szCs w:val="21"/>
        </w:rPr>
        <w:t>1</w:t>
      </w:r>
      <w:r>
        <w:rPr>
          <w:rFonts w:ascii="宋体" w:hAnsi="宋体"/>
          <w:szCs w:val="21"/>
        </w:rPr>
        <w:t>1</w:t>
      </w:r>
      <w:r>
        <w:rPr>
          <w:rFonts w:hint="eastAsia" w:ascii="宋体" w:hAnsi="宋体"/>
          <w:szCs w:val="21"/>
        </w:rPr>
        <w:t>.3</w:t>
      </w:r>
      <w:r>
        <w:rPr>
          <w:rFonts w:hint="eastAsia" w:ascii="宋体" w:hAnsi="宋体"/>
        </w:rPr>
        <w:t>任何人或任何组织向投标人提交的任何书面或口头资料，未经政府集中采购机构在网上发布或书面通知，均作无效处理，不得作为招标文件的组成部分。政府集中采购机构对投标人由此而做出的推论、理解和结论概不负责。</w:t>
      </w:r>
    </w:p>
    <w:p>
      <w:pPr>
        <w:rPr>
          <w:rFonts w:ascii="黑体" w:hAnsi="宋体" w:eastAsia="黑体"/>
          <w:sz w:val="24"/>
        </w:rPr>
      </w:pPr>
      <w:r>
        <w:rPr>
          <w:rFonts w:hint="eastAsia" w:ascii="黑体" w:hAnsi="宋体" w:eastAsia="黑体"/>
          <w:sz w:val="24"/>
        </w:rPr>
        <w:t>1</w:t>
      </w:r>
      <w:r>
        <w:rPr>
          <w:rFonts w:ascii="黑体" w:hAnsi="宋体" w:eastAsia="黑体"/>
          <w:sz w:val="24"/>
        </w:rPr>
        <w:t>2</w:t>
      </w:r>
      <w:r>
        <w:rPr>
          <w:rFonts w:hint="eastAsia" w:ascii="黑体" w:hAnsi="宋体" w:eastAsia="黑体"/>
          <w:sz w:val="24"/>
        </w:rPr>
        <w:t>．招标文件的澄清</w:t>
      </w:r>
    </w:p>
    <w:p>
      <w:pPr>
        <w:ind w:firstLine="411" w:firstLineChars="196"/>
        <w:rPr>
          <w:rFonts w:ascii="宋体" w:hAnsi="宋体"/>
          <w:szCs w:val="21"/>
        </w:rPr>
      </w:pPr>
      <w:r>
        <w:rPr>
          <w:rFonts w:hint="eastAsia" w:ascii="宋体" w:hAnsi="宋体"/>
          <w:szCs w:val="21"/>
        </w:rPr>
        <w:t>1</w:t>
      </w:r>
      <w:r>
        <w:rPr>
          <w:rFonts w:ascii="宋体" w:hAnsi="宋体"/>
          <w:szCs w:val="21"/>
        </w:rPr>
        <w:t>2</w:t>
      </w:r>
      <w:r>
        <w:rPr>
          <w:rFonts w:hint="eastAsia" w:ascii="宋体" w:hAnsi="宋体"/>
          <w:szCs w:val="21"/>
        </w:rPr>
        <w:t>.1招标文件澄清的目的是澄清、解答投标人在查阅招标文件后或现场踏勘中可能提出的与投标有关的疑问或询问。</w:t>
      </w:r>
    </w:p>
    <w:p>
      <w:pPr>
        <w:ind w:firstLine="411" w:firstLineChars="196"/>
        <w:rPr>
          <w:rFonts w:ascii="宋体" w:hAnsi="宋体"/>
          <w:szCs w:val="21"/>
        </w:rPr>
      </w:pPr>
      <w:r>
        <w:rPr>
          <w:rFonts w:hint="eastAsia" w:ascii="宋体" w:hAnsi="宋体"/>
          <w:szCs w:val="21"/>
        </w:rPr>
        <w:t>1</w:t>
      </w:r>
      <w:r>
        <w:rPr>
          <w:rFonts w:ascii="宋体" w:hAnsi="宋体"/>
          <w:szCs w:val="21"/>
        </w:rPr>
        <w:t>2</w:t>
      </w:r>
      <w:r>
        <w:rPr>
          <w:rFonts w:hint="eastAsia" w:ascii="宋体" w:hAnsi="宋体"/>
          <w:szCs w:val="21"/>
        </w:rPr>
        <w:t>.2投标人如对招标文件内容有疑问，应当在招标公告规定的澄清（提问）截止时间前以网上提问的形式通过网上政府采购系统提交政府集中采购机构。</w:t>
      </w:r>
    </w:p>
    <w:p>
      <w:pPr>
        <w:ind w:firstLine="411" w:firstLineChars="196"/>
        <w:rPr>
          <w:rFonts w:ascii="宋体" w:hAnsi="宋体"/>
          <w:szCs w:val="21"/>
        </w:rPr>
      </w:pPr>
      <w:r>
        <w:rPr>
          <w:rFonts w:hint="eastAsia" w:ascii="宋体" w:hAnsi="宋体"/>
          <w:szCs w:val="21"/>
        </w:rPr>
        <w:t>1</w:t>
      </w:r>
      <w:r>
        <w:rPr>
          <w:rFonts w:ascii="宋体" w:hAnsi="宋体"/>
          <w:szCs w:val="21"/>
        </w:rPr>
        <w:t>2</w:t>
      </w:r>
      <w:r>
        <w:rPr>
          <w:rFonts w:hint="eastAsia" w:ascii="宋体" w:hAnsi="宋体"/>
          <w:szCs w:val="21"/>
        </w:rPr>
        <w:t>.3不论是政府集中采购机构根据需要主动对招标文件进行必要的澄清或是根据投标人的要求对招标文件做出澄清，政府集中采购机构都将在投标截止日期前以书面形式（包括政府集中采购机构网站发布方式）答复或发送给所有投标人。答复内容是招标文件的组成部分，对投标人起约束作用，其有效性按照本通用条款第1</w:t>
      </w:r>
      <w:r>
        <w:rPr>
          <w:rFonts w:ascii="宋体" w:hAnsi="宋体"/>
          <w:szCs w:val="21"/>
        </w:rPr>
        <w:t>3.3</w:t>
      </w:r>
      <w:r>
        <w:rPr>
          <w:rFonts w:hint="eastAsia" w:ascii="宋体" w:hAnsi="宋体"/>
          <w:szCs w:val="21"/>
        </w:rPr>
        <w:t>、1</w:t>
      </w:r>
      <w:r>
        <w:rPr>
          <w:rFonts w:ascii="宋体" w:hAnsi="宋体"/>
          <w:szCs w:val="21"/>
        </w:rPr>
        <w:t>3.4</w:t>
      </w:r>
      <w:r>
        <w:rPr>
          <w:rFonts w:hint="eastAsia" w:ascii="宋体" w:hAnsi="宋体"/>
          <w:szCs w:val="21"/>
        </w:rPr>
        <w:t>款规定执行。</w:t>
      </w:r>
    </w:p>
    <w:p>
      <w:pPr>
        <w:rPr>
          <w:rFonts w:ascii="黑体" w:hAnsi="宋体" w:eastAsia="黑体"/>
          <w:sz w:val="24"/>
        </w:rPr>
      </w:pPr>
      <w:r>
        <w:rPr>
          <w:rFonts w:ascii="黑体" w:hAnsi="宋体" w:eastAsia="黑体"/>
          <w:sz w:val="24"/>
        </w:rPr>
        <w:t>1</w:t>
      </w:r>
      <w:r>
        <w:rPr>
          <w:rFonts w:hint="eastAsia" w:ascii="黑体" w:hAnsi="宋体" w:eastAsia="黑体"/>
          <w:sz w:val="24"/>
        </w:rPr>
        <w:t>3．招标文件的修改</w:t>
      </w:r>
    </w:p>
    <w:p>
      <w:pPr>
        <w:ind w:firstLine="411" w:firstLineChars="196"/>
        <w:rPr>
          <w:rFonts w:ascii="宋体" w:hAnsi="宋体"/>
          <w:szCs w:val="21"/>
        </w:rPr>
      </w:pPr>
      <w:r>
        <w:rPr>
          <w:rFonts w:ascii="宋体" w:hAnsi="宋体"/>
          <w:szCs w:val="21"/>
        </w:rPr>
        <w:t>1</w:t>
      </w:r>
      <w:r>
        <w:rPr>
          <w:rFonts w:hint="eastAsia" w:ascii="宋体" w:hAnsi="宋体"/>
          <w:szCs w:val="21"/>
        </w:rPr>
        <w:t>3.1招标文件发出后，在投标截止日期前任何时候，确需要变更招标文件内容的，政府集中采购机构可主动或在解答投标人提出的澄清问题时对招标文件进行修改。</w:t>
      </w:r>
    </w:p>
    <w:p>
      <w:pPr>
        <w:ind w:firstLine="411" w:firstLineChars="196"/>
        <w:rPr>
          <w:rFonts w:ascii="宋体" w:hAnsi="宋体"/>
          <w:szCs w:val="21"/>
        </w:rPr>
      </w:pPr>
      <w:r>
        <w:rPr>
          <w:rFonts w:ascii="宋体" w:hAnsi="宋体"/>
          <w:szCs w:val="21"/>
        </w:rPr>
        <w:t>1</w:t>
      </w:r>
      <w:r>
        <w:rPr>
          <w:rFonts w:hint="eastAsia" w:ascii="宋体" w:hAnsi="宋体"/>
          <w:szCs w:val="21"/>
        </w:rPr>
        <w:t>3.2招标文件的修改以书面形式（包括政府集中采购机构网站发布方式，如更正公告等）发送给所有投标人，招标文件的修改内容作为招标文件的组成部分，并具有约束力。</w:t>
      </w:r>
    </w:p>
    <w:p>
      <w:pPr>
        <w:ind w:firstLine="411" w:firstLineChars="196"/>
        <w:rPr>
          <w:rFonts w:ascii="宋体" w:hAnsi="宋体"/>
          <w:szCs w:val="21"/>
        </w:rPr>
      </w:pPr>
      <w:r>
        <w:rPr>
          <w:rFonts w:ascii="宋体" w:hAnsi="宋体"/>
          <w:szCs w:val="21"/>
        </w:rPr>
        <w:t>1</w:t>
      </w:r>
      <w:r>
        <w:rPr>
          <w:rFonts w:hint="eastAsia" w:ascii="宋体" w:hAnsi="宋体"/>
          <w:szCs w:val="21"/>
        </w:rPr>
        <w:t>3.3招标文件、招标文件澄清答复内容、招标文件修改补充内容均以书面形式（包括政府集中采购机构网站公开发布方式，如更正公告等）明确的内容为准。当招标文件、修改补充通知、招标文件澄清答复内容相互矛盾时，以最后发出的内容为准。</w:t>
      </w:r>
    </w:p>
    <w:p>
      <w:pPr>
        <w:ind w:firstLine="411" w:firstLineChars="196"/>
        <w:rPr>
          <w:rFonts w:ascii="宋体" w:hAnsi="宋体"/>
          <w:szCs w:val="21"/>
        </w:rPr>
      </w:pPr>
      <w:r>
        <w:rPr>
          <w:rFonts w:ascii="宋体" w:hAnsi="宋体"/>
          <w:szCs w:val="21"/>
        </w:rPr>
        <w:t>1</w:t>
      </w:r>
      <w:r>
        <w:rPr>
          <w:rFonts w:hint="eastAsia" w:ascii="宋体" w:hAnsi="宋体"/>
          <w:szCs w:val="21"/>
        </w:rPr>
        <w:t>3.4政府集中采购机构保证招标文件澄清答复内容和招标文件修改补充内容在投标截止时间前以书面形式（包括政府集中采购机构网站发布方式，如更正公告等）发送给所有投标人。为使投标人在编制投标文件时有充分时间对招标文件的修改部分进行研究，政府集中采购机构可以酌情延长递交投标文件的截止日期。</w:t>
      </w:r>
      <w:bookmarkEnd w:id="56"/>
    </w:p>
    <w:p>
      <w:pPr>
        <w:rPr>
          <w:rFonts w:ascii="宋体" w:hAnsi="宋体"/>
          <w:szCs w:val="21"/>
        </w:rPr>
      </w:pPr>
    </w:p>
    <w:p>
      <w:pPr>
        <w:pStyle w:val="5"/>
        <w:numPr>
          <w:ilvl w:val="0"/>
          <w:numId w:val="17"/>
        </w:numPr>
        <w:spacing w:beforeLines="50" w:afterLines="50"/>
        <w:ind w:left="562" w:hanging="562"/>
        <w:rPr>
          <w:sz w:val="28"/>
          <w:szCs w:val="28"/>
        </w:rPr>
      </w:pPr>
      <w:r>
        <w:rPr>
          <w:rFonts w:hint="eastAsia"/>
          <w:sz w:val="28"/>
          <w:szCs w:val="28"/>
        </w:rPr>
        <w:t>投标文件的编制</w:t>
      </w:r>
    </w:p>
    <w:p>
      <w:pPr>
        <w:rPr>
          <w:rFonts w:ascii="黑体" w:hAnsi="宋体" w:eastAsia="黑体"/>
          <w:sz w:val="24"/>
        </w:rPr>
      </w:pPr>
      <w:r>
        <w:rPr>
          <w:rFonts w:hint="eastAsia" w:ascii="黑体" w:hAnsi="宋体" w:eastAsia="黑体"/>
          <w:sz w:val="24"/>
        </w:rPr>
        <w:t>14．</w:t>
      </w:r>
      <w:bookmarkStart w:id="57" w:name="_Hlk72400236"/>
      <w:r>
        <w:rPr>
          <w:rFonts w:hint="eastAsia" w:ascii="黑体" w:hAnsi="宋体" w:eastAsia="黑体"/>
          <w:sz w:val="24"/>
        </w:rPr>
        <w:t>投标文件的语言及度量单位</w:t>
      </w:r>
    </w:p>
    <w:p>
      <w:pPr>
        <w:ind w:firstLine="411" w:firstLineChars="196"/>
        <w:rPr>
          <w:rFonts w:ascii="宋体" w:hAnsi="宋体"/>
          <w:szCs w:val="21"/>
        </w:rPr>
      </w:pPr>
      <w:r>
        <w:rPr>
          <w:rFonts w:hint="eastAsia" w:ascii="宋体" w:hAnsi="宋体"/>
          <w:szCs w:val="21"/>
        </w:rPr>
        <w:t>14.1 投标人与政府集中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pPr>
        <w:ind w:firstLine="411" w:firstLineChars="196"/>
        <w:rPr>
          <w:rFonts w:ascii="宋体" w:hAnsi="宋体"/>
          <w:szCs w:val="21"/>
        </w:rPr>
      </w:pPr>
      <w:r>
        <w:rPr>
          <w:rFonts w:hint="eastAsia" w:ascii="宋体" w:hAnsi="宋体"/>
          <w:szCs w:val="21"/>
        </w:rPr>
        <w:t>14.2 除技术规范另有规定外，投标文件使用的度量单位，均采用中华人民共和国法定计量单位。</w:t>
      </w:r>
    </w:p>
    <w:bookmarkEnd w:id="57"/>
    <w:p>
      <w:pPr>
        <w:rPr>
          <w:rFonts w:ascii="黑体" w:hAnsi="宋体" w:eastAsia="黑体"/>
          <w:sz w:val="24"/>
        </w:rPr>
      </w:pPr>
      <w:r>
        <w:rPr>
          <w:rFonts w:hint="eastAsia" w:ascii="黑体" w:hAnsi="宋体" w:eastAsia="黑体"/>
          <w:sz w:val="24"/>
        </w:rPr>
        <w:t>15．</w:t>
      </w:r>
      <w:bookmarkStart w:id="58" w:name="_Hlk72401567"/>
      <w:r>
        <w:rPr>
          <w:rFonts w:hint="eastAsia" w:ascii="黑体" w:hAnsi="宋体" w:eastAsia="黑体"/>
          <w:sz w:val="24"/>
        </w:rPr>
        <w:t>投标文件的组成</w:t>
      </w:r>
    </w:p>
    <w:p>
      <w:pPr>
        <w:ind w:firstLine="411" w:firstLineChars="196"/>
        <w:rPr>
          <w:rFonts w:ascii="宋体" w:hAnsi="宋体"/>
          <w:szCs w:val="21"/>
        </w:rPr>
      </w:pPr>
      <w:r>
        <w:rPr>
          <w:rFonts w:hint="eastAsia" w:ascii="宋体" w:hAnsi="宋体"/>
          <w:szCs w:val="21"/>
        </w:rPr>
        <w:t>具体内容在招标文件专用条款中进行规定。</w:t>
      </w:r>
    </w:p>
    <w:p>
      <w:pPr>
        <w:rPr>
          <w:rFonts w:ascii="黑体" w:hAnsi="宋体" w:eastAsia="黑体"/>
          <w:sz w:val="24"/>
        </w:rPr>
      </w:pPr>
      <w:r>
        <w:rPr>
          <w:rFonts w:ascii="黑体" w:hAnsi="宋体" w:eastAsia="黑体"/>
          <w:sz w:val="24"/>
        </w:rPr>
        <w:t>16．投标文件格式</w:t>
      </w:r>
    </w:p>
    <w:p>
      <w:pPr>
        <w:ind w:firstLine="411" w:firstLineChars="196"/>
        <w:rPr>
          <w:rFonts w:ascii="宋体" w:hAnsi="宋体"/>
          <w:szCs w:val="21"/>
        </w:rPr>
      </w:pPr>
      <w:r>
        <w:rPr>
          <w:rFonts w:hint="eastAsia" w:ascii="宋体" w:hAnsi="宋体"/>
          <w:szCs w:val="21"/>
        </w:rPr>
        <w:t>投标文件包括本通用条款第</w:t>
      </w:r>
      <w:r>
        <w:rPr>
          <w:rFonts w:ascii="宋体" w:hAnsi="宋体"/>
          <w:szCs w:val="21"/>
        </w:rPr>
        <w:t>15条中规定的内容。如招标文件提供了投标文件格式，则</w:t>
      </w:r>
      <w:r>
        <w:rPr>
          <w:rFonts w:hint="eastAsia" w:ascii="宋体" w:hAnsi="宋体"/>
          <w:b/>
          <w:bCs/>
          <w:szCs w:val="21"/>
        </w:rPr>
        <w:t>投标人提交的投标文件应毫无例外地使用招标文件所提供的相应格式</w:t>
      </w:r>
      <w:r>
        <w:rPr>
          <w:rFonts w:hint="eastAsia" w:ascii="宋体" w:hAnsi="宋体"/>
          <w:szCs w:val="21"/>
        </w:rPr>
        <w:t>（表格均可按同样格式扩展）。</w:t>
      </w:r>
    </w:p>
    <w:p>
      <w:pPr>
        <w:rPr>
          <w:rFonts w:ascii="黑体" w:hAnsi="宋体" w:eastAsia="黑体"/>
          <w:sz w:val="24"/>
        </w:rPr>
      </w:pPr>
      <w:r>
        <w:rPr>
          <w:rFonts w:hint="eastAsia" w:ascii="黑体" w:hAnsi="宋体" w:eastAsia="黑体"/>
          <w:sz w:val="24"/>
        </w:rPr>
        <w:t>17．投标货币</w:t>
      </w:r>
    </w:p>
    <w:p>
      <w:pPr>
        <w:ind w:firstLine="411" w:firstLineChars="196"/>
        <w:rPr>
          <w:rFonts w:ascii="宋体" w:hAnsi="宋体"/>
          <w:szCs w:val="21"/>
        </w:rPr>
      </w:pPr>
      <w:r>
        <w:rPr>
          <w:rFonts w:hint="eastAsia" w:ascii="宋体" w:hAnsi="宋体"/>
          <w:szCs w:val="21"/>
        </w:rPr>
        <w:t>本项目的投标报价应以人民币计。</w:t>
      </w:r>
    </w:p>
    <w:bookmarkEnd w:id="58"/>
    <w:p>
      <w:pPr>
        <w:rPr>
          <w:rFonts w:ascii="黑体" w:hAnsi="宋体" w:eastAsia="黑体"/>
          <w:sz w:val="24"/>
        </w:rPr>
      </w:pPr>
      <w:r>
        <w:rPr>
          <w:rFonts w:hint="eastAsia" w:ascii="黑体" w:hAnsi="宋体" w:eastAsia="黑体"/>
          <w:sz w:val="24"/>
        </w:rPr>
        <w:t>18．</w:t>
      </w:r>
      <w:bookmarkStart w:id="59" w:name="_Hlk72401735"/>
      <w:r>
        <w:rPr>
          <w:rFonts w:hint="eastAsia" w:ascii="黑体" w:hAnsi="宋体" w:eastAsia="黑体"/>
          <w:sz w:val="24"/>
        </w:rPr>
        <w:t>证明投标文件投标技术方案的合格性和符合招标文件规定的文件要求</w:t>
      </w:r>
    </w:p>
    <w:p>
      <w:pPr>
        <w:ind w:firstLine="411" w:firstLineChars="196"/>
        <w:rPr>
          <w:rFonts w:ascii="宋体" w:hAnsi="宋体"/>
          <w:szCs w:val="21"/>
        </w:rPr>
      </w:pPr>
      <w:r>
        <w:rPr>
          <w:rFonts w:hint="eastAsia" w:ascii="宋体" w:hAnsi="宋体"/>
          <w:szCs w:val="21"/>
        </w:rPr>
        <w:t>18</w:t>
      </w:r>
      <w:r>
        <w:rPr>
          <w:rFonts w:ascii="宋体" w:hAnsi="宋体"/>
          <w:szCs w:val="21"/>
        </w:rPr>
        <w:t xml:space="preserve">.1 </w:t>
      </w:r>
      <w:r>
        <w:rPr>
          <w:rFonts w:hint="eastAsia" w:ascii="宋体" w:hAnsi="宋体"/>
          <w:szCs w:val="21"/>
        </w:rPr>
        <w:t>投标人应提交证明文件，证明其投标技术方案项下的货物和服务的合格性符合招标文件规定。该投标技术方案及其证明文件均作为投标文件组成部分。</w:t>
      </w:r>
    </w:p>
    <w:p>
      <w:pPr>
        <w:ind w:firstLine="411" w:firstLineChars="196"/>
        <w:rPr>
          <w:rFonts w:ascii="宋体" w:hAnsi="宋体"/>
          <w:szCs w:val="21"/>
        </w:rPr>
      </w:pPr>
      <w:r>
        <w:rPr>
          <w:rFonts w:ascii="宋体" w:hAnsi="宋体"/>
          <w:szCs w:val="21"/>
        </w:rPr>
        <w:t>1</w:t>
      </w:r>
      <w:r>
        <w:rPr>
          <w:rFonts w:hint="eastAsia" w:ascii="宋体" w:hAnsi="宋体"/>
          <w:szCs w:val="21"/>
        </w:rPr>
        <w:t>8</w:t>
      </w:r>
      <w:r>
        <w:rPr>
          <w:rFonts w:ascii="宋体" w:hAnsi="宋体"/>
          <w:szCs w:val="21"/>
        </w:rPr>
        <w:t xml:space="preserve">.2 </w:t>
      </w:r>
      <w:r>
        <w:rPr>
          <w:rFonts w:hint="eastAsia" w:ascii="宋体" w:hAnsi="宋体"/>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pPr>
        <w:ind w:firstLine="411" w:firstLineChars="196"/>
        <w:rPr>
          <w:rFonts w:ascii="宋体" w:hAnsi="宋体"/>
          <w:szCs w:val="21"/>
        </w:rPr>
      </w:pPr>
      <w:r>
        <w:rPr>
          <w:rFonts w:hint="eastAsia" w:ascii="宋体" w:hAnsi="宋体"/>
          <w:szCs w:val="21"/>
        </w:rPr>
        <w:t>18.2.1主要技术指标和性能的详细说明。</w:t>
      </w:r>
    </w:p>
    <w:p>
      <w:pPr>
        <w:ind w:firstLine="411" w:firstLineChars="196"/>
        <w:rPr>
          <w:rFonts w:ascii="宋体" w:hAnsi="宋体"/>
          <w:szCs w:val="21"/>
        </w:rPr>
      </w:pPr>
      <w:r>
        <w:rPr>
          <w:rFonts w:hint="eastAsia" w:ascii="宋体" w:hAnsi="宋体"/>
          <w:szCs w:val="21"/>
        </w:rPr>
        <w:t>18.2.</w:t>
      </w:r>
      <w:r>
        <w:rPr>
          <w:rFonts w:ascii="宋体" w:hAnsi="宋体"/>
          <w:szCs w:val="21"/>
        </w:rPr>
        <w:t>2</w:t>
      </w:r>
      <w:r>
        <w:rPr>
          <w:rFonts w:hint="eastAsia" w:ascii="宋体" w:hAnsi="宋体"/>
          <w:szCs w:val="21"/>
        </w:rPr>
        <w:t>投标产品从采购人开始使用至招标文件中规定的周期内正常、连续地使用所必须的备件和专用工具清单，包括备件和专用工具的货源及现行价格。</w:t>
      </w:r>
    </w:p>
    <w:p>
      <w:pPr>
        <w:ind w:firstLine="411" w:firstLineChars="196"/>
        <w:rPr>
          <w:rFonts w:ascii="宋体" w:hAnsi="宋体"/>
          <w:szCs w:val="21"/>
        </w:rPr>
      </w:pPr>
      <w:r>
        <w:rPr>
          <w:rFonts w:hint="eastAsia" w:ascii="宋体" w:hAnsi="宋体"/>
          <w:szCs w:val="21"/>
        </w:rPr>
        <w:t>18.2.</w:t>
      </w:r>
      <w:r>
        <w:rPr>
          <w:rFonts w:ascii="宋体" w:hAnsi="宋体"/>
          <w:szCs w:val="21"/>
        </w:rPr>
        <w:t>3</w:t>
      </w:r>
      <w:r>
        <w:rPr>
          <w:rFonts w:hint="eastAsia" w:ascii="宋体" w:hAnsi="宋体"/>
          <w:szCs w:val="21"/>
        </w:rPr>
        <w:t>对照招标文件技术规格，逐条说明投标技术方案已对采购人的技术规格做出了实质性的响应，或申明与技术规格条文的偏差和例外。投标人应详细说明投标技术方案中产品的具体参数，不得不合理照搬照抄招标文件的技术要求。</w:t>
      </w:r>
    </w:p>
    <w:p>
      <w:pPr>
        <w:ind w:firstLine="411" w:firstLineChars="196"/>
        <w:rPr>
          <w:rFonts w:ascii="宋体" w:hAnsi="宋体"/>
          <w:szCs w:val="21"/>
        </w:rPr>
      </w:pPr>
      <w:r>
        <w:rPr>
          <w:rFonts w:hint="eastAsia" w:ascii="宋体" w:hAnsi="宋体"/>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hint="eastAsia" w:ascii="宋体" w:hAnsi="宋体"/>
          <w:szCs w:val="21"/>
        </w:rPr>
        <w:t>；</w:t>
      </w:r>
    </w:p>
    <w:p>
      <w:pPr>
        <w:ind w:firstLine="411" w:firstLineChars="196"/>
        <w:rPr>
          <w:rFonts w:ascii="宋体" w:hAnsi="宋体"/>
          <w:szCs w:val="21"/>
        </w:rPr>
      </w:pPr>
      <w:r>
        <w:rPr>
          <w:rFonts w:hint="eastAsia" w:ascii="宋体" w:hAnsi="宋体"/>
          <w:szCs w:val="21"/>
        </w:rPr>
        <w:t>18.2.5我国政府机构出具的产品检验和核准证件应为证件正面、背面和附件标注的全部具体内容；产品检验和核准证件的尺寸和清晰度应该能够在电脑上被阅读、识别和判断，提供原件扫描件。</w:t>
      </w:r>
    </w:p>
    <w:p>
      <w:pPr>
        <w:ind w:firstLine="411" w:firstLineChars="196"/>
        <w:rPr>
          <w:rFonts w:ascii="宋体" w:hAnsi="宋体"/>
          <w:szCs w:val="21"/>
        </w:rPr>
      </w:pPr>
      <w:r>
        <w:rPr>
          <w:rFonts w:hint="eastAsia" w:ascii="宋体" w:hAnsi="宋体"/>
          <w:szCs w:val="21"/>
        </w:rPr>
        <w:t>18.3相关资料不符合18.2款要求的，评审委员会有权认定为投标技术方案不合格响应，其相关分数予以扣减或作投标无效处理。</w:t>
      </w:r>
    </w:p>
    <w:p>
      <w:pPr>
        <w:ind w:firstLine="411" w:firstLineChars="196"/>
        <w:rPr>
          <w:rFonts w:ascii="宋体" w:hAnsi="宋体"/>
          <w:szCs w:val="21"/>
        </w:rPr>
      </w:pPr>
      <w:r>
        <w:rPr>
          <w:rFonts w:ascii="宋体" w:hAnsi="宋体"/>
          <w:szCs w:val="21"/>
        </w:rPr>
        <w:t>1</w:t>
      </w:r>
      <w:r>
        <w:rPr>
          <w:rFonts w:hint="eastAsia" w:ascii="宋体" w:hAnsi="宋体"/>
          <w:szCs w:val="21"/>
        </w:rPr>
        <w:t>8</w:t>
      </w:r>
      <w:r>
        <w:rPr>
          <w:rFonts w:ascii="宋体" w:hAnsi="宋体"/>
          <w:szCs w:val="21"/>
        </w:rPr>
        <w:t>.</w:t>
      </w:r>
      <w:r>
        <w:rPr>
          <w:rFonts w:hint="eastAsia" w:ascii="宋体" w:hAnsi="宋体"/>
          <w:szCs w:val="21"/>
        </w:rPr>
        <w:t>4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hint="eastAsia" w:ascii="宋体" w:hAnsi="宋体"/>
          <w:szCs w:val="21"/>
        </w:rPr>
        <w:t>，由评审委员会来评判。</w:t>
      </w:r>
    </w:p>
    <w:p>
      <w:pPr>
        <w:ind w:firstLine="411" w:firstLineChars="196"/>
        <w:rPr>
          <w:rFonts w:ascii="宋体" w:hAnsi="宋体"/>
          <w:szCs w:val="21"/>
        </w:rPr>
      </w:pPr>
      <w:r>
        <w:rPr>
          <w:rFonts w:hint="eastAsia" w:ascii="宋体" w:hAnsi="宋体"/>
          <w:szCs w:val="21"/>
        </w:rPr>
        <w:t>18.5除非另有规定或说明，投标人对同一项目投标时，不得同时提供两套或两套以上的投标方案。</w:t>
      </w:r>
    </w:p>
    <w:bookmarkEnd w:id="59"/>
    <w:p>
      <w:pPr>
        <w:rPr>
          <w:rFonts w:ascii="黑体" w:hAnsi="宋体" w:eastAsia="黑体"/>
          <w:sz w:val="24"/>
        </w:rPr>
      </w:pPr>
      <w:r>
        <w:rPr>
          <w:rFonts w:hint="eastAsia" w:ascii="黑体" w:hAnsi="宋体" w:eastAsia="黑体"/>
          <w:sz w:val="24"/>
        </w:rPr>
        <w:t>19．</w:t>
      </w:r>
      <w:bookmarkStart w:id="60" w:name="_Hlk72402034"/>
      <w:r>
        <w:rPr>
          <w:rFonts w:hint="eastAsia" w:ascii="黑体" w:hAnsi="宋体" w:eastAsia="黑体"/>
          <w:sz w:val="24"/>
        </w:rPr>
        <w:t>投标文件其他证明文件的要求</w:t>
      </w:r>
    </w:p>
    <w:p>
      <w:pPr>
        <w:rPr>
          <w:rFonts w:ascii="宋体" w:hAnsi="宋体"/>
          <w:color w:val="FF0000"/>
          <w:szCs w:val="21"/>
        </w:rPr>
      </w:pPr>
      <w:r>
        <w:rPr>
          <w:rFonts w:hint="eastAsia" w:ascii="黑体" w:hAnsi="宋体" w:eastAsia="黑体"/>
          <w:sz w:val="24"/>
        </w:rPr>
        <w:t xml:space="preserve">    </w:t>
      </w:r>
      <w:r>
        <w:rPr>
          <w:rFonts w:hint="eastAsia" w:ascii="宋体" w:hAnsi="宋体"/>
          <w:szCs w:val="21"/>
        </w:rPr>
        <w:t>19.1采用综合评分法的项目，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评审委员会对供应商投标资料是否异常、是否有效问题进行核查和判定，如认为供应商投标资料有异常或无效的，若涉及资格性审查或符合性审查条款的，则应作投标无效处理；若涉及评分的，则作不得分处理。</w:t>
      </w:r>
      <w:bookmarkStart w:id="61" w:name="_Hlk71407299"/>
    </w:p>
    <w:bookmarkEnd w:id="61"/>
    <w:p>
      <w:pPr>
        <w:ind w:firstLine="411" w:firstLineChars="196"/>
        <w:rPr>
          <w:rFonts w:ascii="宋体" w:hAnsi="宋体"/>
          <w:szCs w:val="21"/>
        </w:rPr>
      </w:pPr>
      <w:r>
        <w:rPr>
          <w:rFonts w:hint="eastAsia" w:ascii="宋体" w:hAnsi="宋体"/>
          <w:szCs w:val="21"/>
        </w:rPr>
        <w:t>19.2本项目涉及提供的有关资质（资格）证书，若原有资质（资格）证书处于年审期间，须提供证书颁发部门提供的回执，并且回执须证明该证书依然有效（若在法规范围不需提供的，供应商应做书面说明并提供证明文件，否则该证书无效），则该投标人提供年审证明的可按原资质（资格）投标；若投标人正在申报上一级别资质（资格），在未获批准之前，仍按原级别资质（资格）投标。</w:t>
      </w:r>
    </w:p>
    <w:p>
      <w:pPr>
        <w:rPr>
          <w:rFonts w:ascii="黑体" w:hAnsi="宋体" w:eastAsia="黑体"/>
          <w:sz w:val="24"/>
        </w:rPr>
      </w:pPr>
      <w:r>
        <w:rPr>
          <w:rFonts w:hint="eastAsia" w:ascii="黑体" w:hAnsi="宋体" w:eastAsia="黑体"/>
          <w:sz w:val="24"/>
        </w:rPr>
        <w:t>20．投标有效期</w:t>
      </w:r>
    </w:p>
    <w:bookmarkEnd w:id="60"/>
    <w:p>
      <w:pPr>
        <w:ind w:firstLine="411" w:firstLineChars="196"/>
        <w:rPr>
          <w:rFonts w:ascii="宋体" w:hAnsi="宋体"/>
          <w:szCs w:val="21"/>
        </w:rPr>
      </w:pPr>
      <w:bookmarkStart w:id="62" w:name="_Hlk72402214"/>
      <w:r>
        <w:rPr>
          <w:rFonts w:hint="eastAsia" w:ascii="宋体" w:hAnsi="宋体"/>
          <w:szCs w:val="21"/>
        </w:rPr>
        <w:t>20.1 投标有效期为</w:t>
      </w:r>
      <w:r>
        <w:rPr>
          <w:rFonts w:hint="eastAsia" w:ascii="Arial" w:hAnsi="Arial" w:cs="Arial"/>
          <w:szCs w:val="21"/>
        </w:rPr>
        <w:t>从投标截止之日算起的日历天数。</w:t>
      </w:r>
      <w:r>
        <w:rPr>
          <w:rFonts w:hint="eastAsia" w:ascii="宋体" w:hAnsi="宋体"/>
          <w:szCs w:val="21"/>
        </w:rPr>
        <w:t>在此期限内，所有投标文件均保持有效。</w:t>
      </w:r>
    </w:p>
    <w:p>
      <w:pPr>
        <w:ind w:firstLine="411" w:firstLineChars="196"/>
        <w:rPr>
          <w:rFonts w:ascii="宋体" w:hAnsi="宋体"/>
          <w:szCs w:val="21"/>
        </w:rPr>
      </w:pPr>
      <w:r>
        <w:rPr>
          <w:rFonts w:hint="eastAsia" w:ascii="宋体" w:hAnsi="宋体"/>
          <w:szCs w:val="21"/>
        </w:rPr>
        <w:t>20.2 在特殊情况下，政府集中采购机构在原定的投标有效期满之前，政府集中采购机构可以根据需要以书面形式（包括政府集中采购机构网站公开发布方式）向投标人提出延长投标有效期的要求，对此要求投标人须以书面形式予以答复，投标人可以拒绝政府集中采购机构此项要求，其投标在原投标有效期满后不再有效。同意延长投标有效期的投标人不能要求也不允许修改其投标文件。</w:t>
      </w:r>
    </w:p>
    <w:p>
      <w:pPr>
        <w:ind w:firstLine="411" w:firstLineChars="196"/>
        <w:rPr>
          <w:rFonts w:ascii="宋体" w:hAnsi="宋体"/>
          <w:szCs w:val="21"/>
        </w:rPr>
      </w:pPr>
      <w:r>
        <w:rPr>
          <w:rFonts w:hint="eastAsia" w:ascii="宋体" w:hAnsi="宋体"/>
          <w:szCs w:val="21"/>
        </w:rPr>
        <w:t>20</w:t>
      </w:r>
      <w:r>
        <w:rPr>
          <w:rFonts w:ascii="宋体" w:hAnsi="宋体"/>
          <w:szCs w:val="21"/>
        </w:rPr>
        <w:t>.3</w:t>
      </w:r>
      <w:r>
        <w:rPr>
          <w:rFonts w:hint="eastAsia" w:ascii="宋体" w:hAnsi="宋体"/>
          <w:szCs w:val="21"/>
        </w:rPr>
        <w:t xml:space="preserve"> 中标供应商的投标文件有效期，截止于完成本招标文件规定的全部项目内容，并通过竣工验收及保修期结束。</w:t>
      </w:r>
    </w:p>
    <w:bookmarkEnd w:id="62"/>
    <w:p>
      <w:pPr>
        <w:rPr>
          <w:rFonts w:ascii="黑体" w:hAnsi="宋体" w:eastAsia="黑体"/>
          <w:sz w:val="24"/>
        </w:rPr>
      </w:pPr>
      <w:r>
        <w:rPr>
          <w:rFonts w:hint="eastAsia" w:ascii="黑体" w:hAnsi="宋体" w:eastAsia="黑体"/>
          <w:sz w:val="24"/>
        </w:rPr>
        <w:t>21．</w:t>
      </w:r>
      <w:bookmarkStart w:id="63" w:name="_Hlk72402325"/>
      <w:r>
        <w:rPr>
          <w:rFonts w:hint="eastAsia" w:ascii="黑体" w:hAnsi="宋体" w:eastAsia="黑体"/>
          <w:sz w:val="24"/>
        </w:rPr>
        <w:t xml:space="preserve">关于投标保证金 </w:t>
      </w:r>
    </w:p>
    <w:p>
      <w:pPr>
        <w:rPr>
          <w:rFonts w:ascii="宋体" w:hAnsi="宋体"/>
          <w:szCs w:val="21"/>
        </w:rPr>
      </w:pPr>
      <w:r>
        <w:rPr>
          <w:rFonts w:hint="eastAsia" w:ascii="宋体" w:hAnsi="宋体"/>
          <w:szCs w:val="21"/>
        </w:rPr>
        <w:t xml:space="preserve">    21.1 </w:t>
      </w:r>
      <w:r>
        <w:rPr>
          <w:rFonts w:hint="eastAsia"/>
        </w:rPr>
        <w:t>根据《</w:t>
      </w:r>
      <w:r>
        <w:t>深圳市财政局关于明确政府采购保证金管理工作的通知</w:t>
      </w:r>
      <w:r>
        <w:rPr>
          <w:rFonts w:hint="eastAsia"/>
        </w:rPr>
        <w:t>》（深财购[</w:t>
      </w:r>
      <w:r>
        <w:t>2019]42</w:t>
      </w:r>
      <w:r>
        <w:rPr>
          <w:rFonts w:hint="eastAsia"/>
        </w:rPr>
        <w:t>号）文的规定，本项目不收取投标保证金。</w:t>
      </w:r>
    </w:p>
    <w:p>
      <w:pPr>
        <w:rPr>
          <w:rFonts w:ascii="黑体" w:hAnsi="宋体" w:eastAsia="黑体"/>
          <w:sz w:val="24"/>
        </w:rPr>
      </w:pPr>
      <w:r>
        <w:rPr>
          <w:rFonts w:hint="eastAsia" w:ascii="黑体" w:hAnsi="宋体" w:eastAsia="黑体"/>
          <w:sz w:val="24"/>
        </w:rPr>
        <w:t>22．投标人的替代方案</w:t>
      </w:r>
    </w:p>
    <w:p>
      <w:pPr>
        <w:ind w:firstLine="411" w:firstLineChars="196"/>
        <w:rPr>
          <w:rFonts w:ascii="宋体" w:hAnsi="宋体"/>
          <w:szCs w:val="21"/>
        </w:rPr>
      </w:pPr>
      <w:r>
        <w:rPr>
          <w:rFonts w:hint="eastAsia" w:ascii="宋体" w:hAnsi="宋体"/>
          <w:szCs w:val="21"/>
        </w:rPr>
        <w:t>22.1投标人所提交的投标文件应完全满足招标文件（包括图纸和技术规范所示的基本技术设计）的要求。除非项目明确允许投标人提交替代方案，否则投标人有关替代方案的条款将初审不通过，作投标无效处理。</w:t>
      </w:r>
    </w:p>
    <w:p>
      <w:pPr>
        <w:ind w:firstLine="411" w:firstLineChars="196"/>
        <w:rPr>
          <w:rFonts w:ascii="宋体" w:hAnsi="宋体"/>
          <w:szCs w:val="21"/>
        </w:rPr>
      </w:pPr>
      <w:r>
        <w:rPr>
          <w:rFonts w:hint="eastAsia" w:ascii="宋体" w:hAnsi="宋体"/>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bookmarkEnd w:id="63"/>
    <w:p>
      <w:pPr>
        <w:rPr>
          <w:rFonts w:ascii="黑体" w:hAnsi="宋体" w:eastAsia="黑体"/>
          <w:sz w:val="24"/>
        </w:rPr>
      </w:pPr>
      <w:r>
        <w:rPr>
          <w:rFonts w:hint="eastAsia" w:ascii="黑体" w:hAnsi="宋体" w:eastAsia="黑体"/>
          <w:sz w:val="24"/>
        </w:rPr>
        <w:t>23．</w:t>
      </w:r>
      <w:bookmarkStart w:id="64" w:name="_Hlk72402860"/>
      <w:r>
        <w:rPr>
          <w:rFonts w:ascii="黑体" w:hAnsi="宋体" w:eastAsia="黑体"/>
          <w:sz w:val="24"/>
        </w:rPr>
        <w:t>投标文件的</w:t>
      </w:r>
      <w:r>
        <w:rPr>
          <w:rFonts w:hint="eastAsia" w:ascii="黑体" w:hAnsi="宋体" w:eastAsia="黑体"/>
          <w:sz w:val="24"/>
        </w:rPr>
        <w:t>制作</w:t>
      </w:r>
      <w:r>
        <w:rPr>
          <w:rFonts w:ascii="黑体" w:hAnsi="宋体" w:eastAsia="黑体"/>
          <w:sz w:val="24"/>
        </w:rPr>
        <w:t>要求</w:t>
      </w:r>
    </w:p>
    <w:p>
      <w:pPr>
        <w:ind w:firstLine="411" w:firstLineChars="196"/>
        <w:rPr>
          <w:rFonts w:ascii="宋体" w:hAnsi="宋体"/>
        </w:rPr>
      </w:pPr>
      <w:r>
        <w:rPr>
          <w:rFonts w:hint="eastAsia" w:ascii="宋体" w:hAnsi="宋体"/>
        </w:rPr>
        <w:t>23.1投标人应准备所投项目的电子投标文件一份。此电子投标文件须由投标人根据政府集中采购机构提供的后缀名为.zbs的电子招标文件、《投标书编制软件》编制【要求下载安装《投标书编制软件》及其配套软件，使用电子密钥登录</w:t>
      </w:r>
      <w:r>
        <w:rPr>
          <w:rFonts w:hint="eastAsia" w:ascii="宋体" w:hAnsi="宋体"/>
          <w:szCs w:val="21"/>
        </w:rPr>
        <w:t>深圳交易集团有限公司政府采购业务分公司网站（</w:t>
      </w:r>
      <w:r>
        <w:rPr>
          <w:rFonts w:ascii="宋体" w:hAnsi="宋体"/>
          <w:szCs w:val="21"/>
        </w:rPr>
        <w:t>http://www.szggzy.com/</w:t>
      </w:r>
      <w:r>
        <w:rPr>
          <w:rFonts w:hint="eastAsia" w:ascii="宋体" w:hAnsi="宋体"/>
          <w:szCs w:val="21"/>
        </w:rPr>
        <w:t>），然后在右侧的“</w:t>
      </w:r>
      <w:r>
        <w:rPr>
          <w:rFonts w:hint="eastAsia"/>
        </w:rPr>
        <w:t>相关链接”栏目中</w:t>
      </w:r>
      <w:r>
        <w:rPr>
          <w:rFonts w:hint="eastAsia" w:ascii="宋体" w:hAnsi="宋体"/>
        </w:rPr>
        <w:t>下载。在安装此软件之前，须先安装</w:t>
      </w:r>
      <w:r>
        <w:rPr>
          <w:rFonts w:ascii="宋体" w:hAnsi="宋体"/>
        </w:rPr>
        <w:t>Adobe Reader 7.0</w:t>
      </w:r>
      <w:r>
        <w:rPr>
          <w:rFonts w:hint="eastAsia" w:ascii="宋体" w:hAnsi="宋体"/>
        </w:rPr>
        <w:t>以上版本】。</w:t>
      </w:r>
    </w:p>
    <w:p>
      <w:pPr>
        <w:ind w:firstLine="411" w:firstLineChars="196"/>
        <w:rPr>
          <w:rFonts w:ascii="宋体" w:hAnsi="宋体"/>
        </w:rPr>
      </w:pPr>
      <w:r>
        <w:rPr>
          <w:rFonts w:hint="eastAsia" w:ascii="宋体" w:hAnsi="宋体"/>
        </w:rPr>
        <w:t>23.2投标人在使用《投标书编制软件》编制投标书时须注意：</w:t>
      </w:r>
    </w:p>
    <w:p>
      <w:pPr>
        <w:ind w:firstLine="411" w:firstLineChars="196"/>
        <w:rPr>
          <w:rFonts w:ascii="宋体" w:hAnsi="宋体"/>
        </w:rPr>
      </w:pPr>
      <w:r>
        <w:rPr>
          <w:rFonts w:hint="eastAsia" w:ascii="宋体" w:hAnsi="宋体"/>
        </w:rPr>
        <w:t>23.2.1导入《投标书编制软件》的招标文件项目编号、包号应与以此制作的投标文件项目编号、包号一致。例如，不能将甲项目A包的招标书导入《投标书编制软件》，制作乙项目B包的投标书。</w:t>
      </w:r>
    </w:p>
    <w:p>
      <w:pPr>
        <w:ind w:firstLine="411" w:firstLineChars="196"/>
        <w:rPr>
          <w:rFonts w:ascii="宋体" w:hAnsi="宋体"/>
        </w:rPr>
      </w:pPr>
      <w:r>
        <w:rPr>
          <w:rFonts w:hint="eastAsia" w:ascii="宋体" w:hAnsi="宋体"/>
        </w:rPr>
        <w:t>23.2.2不能用非本公司的电子密钥加密本公司的投标文件，或者用其它公司的登录用户上传本公司的投标文件。</w:t>
      </w:r>
    </w:p>
    <w:p>
      <w:pPr>
        <w:ind w:firstLine="411" w:firstLineChars="196"/>
        <w:rPr>
          <w:rFonts w:ascii="宋体" w:hAnsi="宋体"/>
        </w:rPr>
      </w:pPr>
      <w:r>
        <w:rPr>
          <w:rFonts w:hint="eastAsia" w:ascii="宋体" w:hAnsi="宋体"/>
        </w:rPr>
        <w:t>23.2.3要求用《投标书编制软件》编制投标书的包，不能用其它方式编制投标书。编制投标文件时，电脑须连通互联网。</w:t>
      </w:r>
    </w:p>
    <w:p>
      <w:pPr>
        <w:ind w:firstLine="411" w:firstLineChars="196"/>
        <w:rPr>
          <w:rFonts w:ascii="宋体" w:hAnsi="宋体"/>
        </w:rPr>
      </w:pPr>
      <w:r>
        <w:rPr>
          <w:rFonts w:hint="eastAsia" w:ascii="宋体" w:hAnsi="宋体"/>
        </w:rPr>
        <w:t>23.2.4投标文件不能带病毒。政府集中采购机构将用专业杀毒软件对投标文件进行病毒检测，如果这两种软件均报告发现病毒，则政府集中采购机构认为该投标文件带病毒。</w:t>
      </w:r>
    </w:p>
    <w:p>
      <w:pPr>
        <w:ind w:firstLine="411" w:firstLineChars="196"/>
        <w:rPr>
          <w:rFonts w:ascii="宋体" w:hAnsi="宋体"/>
        </w:rPr>
      </w:pPr>
      <w:r>
        <w:rPr>
          <w:rFonts w:hint="eastAsia" w:ascii="宋体" w:hAnsi="宋体"/>
        </w:rPr>
        <w:t>23.2.5完整填写“投标关键信息”，如下图所示：</w:t>
      </w:r>
    </w:p>
    <w:p>
      <w:pPr>
        <w:ind w:firstLine="411" w:firstLineChars="196"/>
        <w:rPr>
          <w:rFonts w:ascii="宋体" w:hAnsi="宋体"/>
        </w:rPr>
      </w:pPr>
      <w:r>
        <w:rPr>
          <w:rFonts w:hint="eastAsia" w:ascii="宋体" w:hAnsi="宋体"/>
        </w:rPr>
        <w:t>（1）货物类</w:t>
      </w:r>
    </w:p>
    <w:p>
      <w:pPr>
        <w:ind w:firstLine="411" w:firstLineChars="196"/>
        <w:rPr>
          <w:rFonts w:ascii="宋体" w:hAnsi="宋体"/>
        </w:rPr>
      </w:pPr>
      <w:r>
        <w:rPr>
          <w:rFonts w:ascii="宋体" w:hAnsi="宋体"/>
        </w:rPr>
        <w:drawing>
          <wp:inline distT="0" distB="0" distL="0" distR="0">
            <wp:extent cx="5276215" cy="3524250"/>
            <wp:effectExtent l="19050" t="0" r="2" b="0"/>
            <wp:docPr id="1" name="图片 4" descr="C:\Users\weixun\Documents\Tencent Files\175277410\Image\C2C\Image1\T_D}XAT_OUE)6}FU%{YJA`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C:\Users\weixun\Documents\Tencent Files\175277410\Image\C2C\Image1\T_D}XAT_OUE)6}FU%{YJA`W.jpg"/>
                    <pic:cNvPicPr>
                      <a:picLocks noChangeAspect="1" noChangeArrowheads="1"/>
                    </pic:cNvPicPr>
                  </pic:nvPicPr>
                  <pic:blipFill>
                    <a:blip r:embed="rId8" cstate="print"/>
                    <a:srcRect/>
                    <a:stretch>
                      <a:fillRect/>
                    </a:stretch>
                  </pic:blipFill>
                  <pic:spPr>
                    <a:xfrm>
                      <a:off x="0" y="0"/>
                      <a:ext cx="5278755" cy="3525523"/>
                    </a:xfrm>
                    <a:prstGeom prst="rect">
                      <a:avLst/>
                    </a:prstGeom>
                    <a:noFill/>
                    <a:ln w="9525">
                      <a:noFill/>
                      <a:miter lim="800000"/>
                      <a:headEnd/>
                      <a:tailEnd/>
                    </a:ln>
                  </pic:spPr>
                </pic:pic>
              </a:graphicData>
            </a:graphic>
          </wp:inline>
        </w:drawing>
      </w:r>
    </w:p>
    <w:p>
      <w:pPr>
        <w:ind w:firstLine="413" w:firstLineChars="196"/>
        <w:rPr>
          <w:rFonts w:ascii="宋体" w:hAnsi="宋体"/>
          <w:b/>
        </w:rPr>
      </w:pPr>
      <w:r>
        <w:rPr>
          <w:rFonts w:hint="eastAsia" w:ascii="宋体" w:hAnsi="宋体"/>
          <w:b/>
        </w:rPr>
        <w:t>备注：上述“开标一览表”中的“投标总价”将作为价格分计算依据；其它信息仅是对投标文件相关内容的概括性表述，不作为评审依据。</w:t>
      </w:r>
    </w:p>
    <w:p>
      <w:pPr>
        <w:ind w:firstLine="413" w:firstLineChars="196"/>
        <w:rPr>
          <w:rFonts w:ascii="宋体" w:hAnsi="宋体"/>
          <w:b/>
        </w:rPr>
      </w:pPr>
    </w:p>
    <w:p>
      <w:pPr>
        <w:ind w:firstLine="411" w:firstLineChars="196"/>
        <w:rPr>
          <w:rFonts w:ascii="宋体" w:hAnsi="宋体"/>
        </w:rPr>
      </w:pPr>
    </w:p>
    <w:p>
      <w:pPr>
        <w:rPr>
          <w:rFonts w:ascii="宋体" w:hAnsi="宋体"/>
        </w:rPr>
      </w:pPr>
    </w:p>
    <w:p>
      <w:pPr>
        <w:ind w:firstLine="411" w:firstLineChars="196"/>
        <w:rPr>
          <w:rFonts w:ascii="宋体" w:hAnsi="宋体"/>
        </w:rPr>
      </w:pPr>
      <w:r>
        <w:rPr>
          <w:rFonts w:hint="eastAsia" w:ascii="宋体" w:hAnsi="宋体"/>
        </w:rPr>
        <w:t>（2）服务类</w:t>
      </w:r>
    </w:p>
    <w:p>
      <w:pPr>
        <w:widowControl/>
        <w:jc w:val="left"/>
        <w:rPr>
          <w:rFonts w:ascii="宋体" w:hAnsi="宋体" w:cs="宋体"/>
          <w:kern w:val="0"/>
          <w:sz w:val="24"/>
        </w:rPr>
      </w:pPr>
      <w:r>
        <w:rPr>
          <w:rFonts w:ascii="宋体" w:hAnsi="宋体" w:cs="宋体"/>
          <w:kern w:val="0"/>
          <w:sz w:val="24"/>
        </w:rPr>
        <w:drawing>
          <wp:inline distT="0" distB="0" distL="0" distR="0">
            <wp:extent cx="5273675" cy="3667125"/>
            <wp:effectExtent l="19050" t="0" r="2966" b="0"/>
            <wp:docPr id="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pic:cNvPicPr>
                      <a:picLocks noChangeAspect="1" noChangeArrowheads="1"/>
                    </pic:cNvPicPr>
                  </pic:nvPicPr>
                  <pic:blipFill>
                    <a:blip r:embed="rId9" cstate="print"/>
                    <a:srcRect/>
                    <a:stretch>
                      <a:fillRect/>
                    </a:stretch>
                  </pic:blipFill>
                  <pic:spPr>
                    <a:xfrm>
                      <a:off x="0" y="0"/>
                      <a:ext cx="5278754" cy="3670511"/>
                    </a:xfrm>
                    <a:prstGeom prst="rect">
                      <a:avLst/>
                    </a:prstGeom>
                    <a:noFill/>
                    <a:ln w="9525">
                      <a:noFill/>
                      <a:miter lim="800000"/>
                      <a:headEnd/>
                      <a:tailEnd/>
                    </a:ln>
                  </pic:spPr>
                </pic:pic>
              </a:graphicData>
            </a:graphic>
          </wp:inline>
        </w:drawing>
      </w:r>
    </w:p>
    <w:p>
      <w:pPr>
        <w:ind w:firstLine="413" w:firstLineChars="196"/>
        <w:rPr>
          <w:rFonts w:ascii="宋体" w:hAnsi="宋体"/>
          <w:b/>
        </w:rPr>
      </w:pPr>
      <w:r>
        <w:rPr>
          <w:rFonts w:hint="eastAsia" w:ascii="宋体" w:hAnsi="宋体"/>
          <w:b/>
        </w:rPr>
        <w:t>备注：上述“开标一览表”中的“投标总价”将作为价格分计算依据；其它信息仅是对投标文件相关内容的概括性表述，不作为评审依据。</w:t>
      </w:r>
    </w:p>
    <w:p>
      <w:pPr>
        <w:ind w:firstLine="411" w:firstLineChars="196"/>
        <w:rPr>
          <w:rFonts w:ascii="宋体" w:hAnsi="宋体"/>
        </w:rPr>
      </w:pPr>
      <w:r>
        <w:rPr>
          <w:rFonts w:hint="eastAsia" w:ascii="宋体" w:hAnsi="宋体"/>
        </w:rPr>
        <w:t>23.2.6投标人在编辑投标文件时，</w:t>
      </w:r>
      <w:r>
        <w:rPr>
          <w:rFonts w:hint="eastAsia" w:ascii="宋体" w:hAnsi="宋体"/>
          <w:b/>
        </w:rPr>
        <w:t>在投标文件目录中属于本节点内容的必须在本节点中填写，填写到其他节点或附件，</w:t>
      </w:r>
      <w:r>
        <w:rPr>
          <w:rFonts w:hint="eastAsia" w:ascii="宋体" w:hAnsi="宋体"/>
        </w:rPr>
        <w:t>一切后果由供应商自行承担。</w:t>
      </w:r>
    </w:p>
    <w:p>
      <w:pPr>
        <w:ind w:firstLine="411" w:firstLineChars="196"/>
        <w:rPr>
          <w:rFonts w:ascii="宋体" w:hAnsi="宋体"/>
        </w:rPr>
      </w:pPr>
      <w:r>
        <w:rPr>
          <w:rFonts w:hint="eastAsia" w:ascii="宋体" w:hAnsi="宋体"/>
        </w:rPr>
        <w:t>23.2.7投标文件编写完成后，</w:t>
      </w:r>
      <w:r>
        <w:rPr>
          <w:rFonts w:hint="eastAsia" w:ascii="宋体" w:hAnsi="宋体"/>
          <w:b/>
        </w:rPr>
        <w:t>必须用属于投标人的电子密钥进行加密，否则视同未盖公章，将导致投标文件无效。</w:t>
      </w:r>
    </w:p>
    <w:p>
      <w:pPr>
        <w:ind w:firstLine="411" w:firstLineChars="196"/>
        <w:rPr>
          <w:rFonts w:ascii="宋体" w:hAnsi="宋体"/>
        </w:rPr>
      </w:pPr>
      <w:r>
        <w:rPr>
          <w:rFonts w:hint="eastAsia" w:ascii="宋体" w:hAnsi="宋体"/>
        </w:rPr>
        <w:t>23.2.8政府集中采购机构不接受投标截止时间后递交的纸质、电子、传真等所有形式的投标文件。由于对网上政府采购系统操作不熟悉或自身电脑、网络等原因导致不能在投标截止时间之前上传投标文件，政府集中采购机构概不负责。建议于开标前一个工作日完成投标文件的制作与上传，如上传确有困难，请及时咨询。</w:t>
      </w:r>
    </w:p>
    <w:p>
      <w:pPr>
        <w:ind w:firstLine="411" w:firstLineChars="196"/>
        <w:rPr>
          <w:rFonts w:ascii="宋体" w:hAnsi="宋体"/>
        </w:rPr>
      </w:pPr>
      <w:r>
        <w:rPr>
          <w:rFonts w:hint="eastAsia" w:ascii="宋体" w:hAnsi="宋体"/>
        </w:rPr>
        <w:t>23.2.9如果开标时出现网络故障、技术故障，影响了政府采购活动，政府集中采购机构有权采取措施如延期、接受无法从网上上传的投标书等，以保障政府采购活动的公开、公平和公正。</w:t>
      </w:r>
    </w:p>
    <w:p>
      <w:pPr>
        <w:ind w:firstLine="411" w:firstLineChars="196"/>
        <w:rPr>
          <w:rFonts w:ascii="宋体" w:hAnsi="宋体"/>
        </w:rPr>
      </w:pPr>
      <w:r>
        <w:rPr>
          <w:rFonts w:hint="eastAsia" w:ascii="宋体" w:hAnsi="宋体"/>
        </w:rPr>
        <w:t>23.3电报、电话、传真形式的投标概不接受。</w:t>
      </w:r>
    </w:p>
    <w:p>
      <w:pPr>
        <w:ind w:firstLine="413" w:firstLineChars="196"/>
        <w:rPr>
          <w:rFonts w:ascii="宋体" w:hAnsi="宋体"/>
          <w:b/>
        </w:rPr>
      </w:pPr>
      <w:r>
        <w:rPr>
          <w:rFonts w:hint="eastAsia" w:ascii="宋体" w:hAnsi="宋体"/>
          <w:b/>
        </w:rPr>
        <w:t>23.4经投标人电子密钥加密的投标文件无须盖章或签字，</w:t>
      </w:r>
      <w:r>
        <w:rPr>
          <w:rFonts w:hint="eastAsia" w:ascii="宋体" w:hAnsi="宋体"/>
        </w:rPr>
        <w:t>专用条款另有要求的除外。</w:t>
      </w:r>
    </w:p>
    <w:p>
      <w:pPr>
        <w:ind w:firstLine="413" w:firstLineChars="196"/>
        <w:rPr>
          <w:rFonts w:ascii="宋体" w:hAnsi="宋体"/>
        </w:rPr>
      </w:pPr>
      <w:r>
        <w:rPr>
          <w:rFonts w:hint="eastAsia" w:ascii="宋体" w:hAnsi="宋体"/>
          <w:b/>
        </w:rPr>
        <w:t>23.5</w:t>
      </w:r>
      <w:r>
        <w:rPr>
          <w:rFonts w:hint="eastAsia" w:ascii="宋体" w:hAnsi="宋体"/>
        </w:rPr>
        <w:t xml:space="preserve"> 各类资格（资质）文件提供扫描件，专用条款另有要求的除外。</w:t>
      </w:r>
      <w:bookmarkEnd w:id="64"/>
    </w:p>
    <w:p>
      <w:pPr>
        <w:ind w:firstLine="411" w:firstLineChars="196"/>
        <w:rPr>
          <w:rFonts w:ascii="宋体" w:hAnsi="宋体"/>
          <w:szCs w:val="21"/>
        </w:rPr>
      </w:pPr>
    </w:p>
    <w:p>
      <w:pPr>
        <w:pStyle w:val="5"/>
        <w:numPr>
          <w:ilvl w:val="0"/>
          <w:numId w:val="17"/>
        </w:numPr>
        <w:spacing w:beforeLines="50" w:afterLines="50"/>
        <w:ind w:left="562" w:hanging="562"/>
        <w:rPr>
          <w:sz w:val="28"/>
          <w:szCs w:val="28"/>
        </w:rPr>
      </w:pPr>
      <w:r>
        <w:rPr>
          <w:rFonts w:hint="eastAsia"/>
          <w:sz w:val="28"/>
          <w:szCs w:val="28"/>
        </w:rPr>
        <w:t>投标文件的递交</w:t>
      </w:r>
    </w:p>
    <w:p>
      <w:pPr>
        <w:rPr>
          <w:rFonts w:ascii="黑体" w:hAnsi="宋体" w:eastAsia="黑体"/>
          <w:sz w:val="24"/>
        </w:rPr>
      </w:pPr>
      <w:bookmarkStart w:id="65" w:name="_Hlk72405459"/>
      <w:r>
        <w:rPr>
          <w:rFonts w:hint="eastAsia" w:ascii="黑体" w:hAnsi="宋体" w:eastAsia="黑体"/>
          <w:sz w:val="24"/>
        </w:rPr>
        <w:t>24．投标文件的保密</w:t>
      </w:r>
    </w:p>
    <w:p>
      <w:pPr>
        <w:ind w:firstLine="411" w:firstLineChars="196"/>
        <w:rPr>
          <w:rFonts w:ascii="宋体" w:hAnsi="宋体"/>
        </w:rPr>
      </w:pPr>
      <w:r>
        <w:rPr>
          <w:rFonts w:hint="eastAsia" w:ascii="宋体" w:hAnsi="宋体"/>
        </w:rPr>
        <w:t>24.1在投标文件制作完成后，在投标书编制软件点击“加密投标书”按钮进入加密界面，对投标书进行加密，也可单独使用“深圳政府标书加密软件”（一般是与投标书编制软件捆绑下载）进入加密界面进行加密，无需用其它加密方式。此加密程序确保投标文件在到达投标截止时间后才能解密查看。在加密过程中，请按照软件提示进行操作。加密界面如下图所示：</w:t>
      </w:r>
    </w:p>
    <w:p>
      <w:pPr>
        <w:widowControl/>
        <w:jc w:val="left"/>
        <w:rPr>
          <w:rFonts w:ascii="宋体" w:hAnsi="宋体" w:cs="宋体"/>
          <w:kern w:val="0"/>
          <w:sz w:val="24"/>
        </w:rPr>
      </w:pPr>
      <w:r>
        <w:rPr>
          <w:rFonts w:ascii="宋体" w:hAnsi="宋体" w:cs="宋体"/>
          <w:kern w:val="0"/>
          <w:sz w:val="24"/>
        </w:rPr>
        <w:drawing>
          <wp:inline distT="0" distB="0" distL="0" distR="0">
            <wp:extent cx="4991100" cy="3933825"/>
            <wp:effectExtent l="19050" t="0" r="0" b="0"/>
            <wp:docPr id="3" name="图片 1" descr="C:\Users\weixun\AppData\Local\Temp\WeChat Files\0f46208c35b849896d64636a0e3bb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C:\Users\weixun\AppData\Local\Temp\WeChat Files\0f46208c35b849896d64636a0e3bb87.jpg"/>
                    <pic:cNvPicPr>
                      <a:picLocks noChangeAspect="1" noChangeArrowheads="1"/>
                    </pic:cNvPicPr>
                  </pic:nvPicPr>
                  <pic:blipFill>
                    <a:blip r:embed="rId10" cstate="print"/>
                    <a:srcRect/>
                    <a:stretch>
                      <a:fillRect/>
                    </a:stretch>
                  </pic:blipFill>
                  <pic:spPr>
                    <a:xfrm>
                      <a:off x="0" y="0"/>
                      <a:ext cx="4991100" cy="3933825"/>
                    </a:xfrm>
                    <a:prstGeom prst="rect">
                      <a:avLst/>
                    </a:prstGeom>
                    <a:noFill/>
                    <a:ln w="9525">
                      <a:noFill/>
                      <a:miter lim="800000"/>
                      <a:headEnd/>
                      <a:tailEnd/>
                    </a:ln>
                  </pic:spPr>
                </pic:pic>
              </a:graphicData>
            </a:graphic>
          </wp:inline>
        </w:drawing>
      </w:r>
    </w:p>
    <w:p>
      <w:pPr>
        <w:rPr>
          <w:sz w:val="24"/>
        </w:rPr>
      </w:pPr>
    </w:p>
    <w:p>
      <w:pPr>
        <w:rPr>
          <w:sz w:val="24"/>
        </w:rPr>
      </w:pPr>
      <w:r>
        <w:rPr>
          <w:sz w:val="24"/>
        </w:rPr>
        <w:drawing>
          <wp:inline distT="0" distB="0" distL="0" distR="0">
            <wp:extent cx="4495800" cy="2171700"/>
            <wp:effectExtent l="19050" t="0" r="0" b="0"/>
            <wp:docPr id="5" name="图片 2" descr="C:\Users\weixun\AppData\Local\Temp\WeChat Files\17bf5d9a0536cc3e4cdd2781a40dd7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C:\Users\weixun\AppData\Local\Temp\WeChat Files\17bf5d9a0536cc3e4cdd2781a40dd7f.jpg"/>
                    <pic:cNvPicPr>
                      <a:picLocks noChangeAspect="1" noChangeArrowheads="1"/>
                    </pic:cNvPicPr>
                  </pic:nvPicPr>
                  <pic:blipFill>
                    <a:blip r:embed="rId11" cstate="print"/>
                    <a:srcRect/>
                    <a:stretch>
                      <a:fillRect/>
                    </a:stretch>
                  </pic:blipFill>
                  <pic:spPr>
                    <a:xfrm>
                      <a:off x="0" y="0"/>
                      <a:ext cx="4495800" cy="2171700"/>
                    </a:xfrm>
                    <a:prstGeom prst="rect">
                      <a:avLst/>
                    </a:prstGeom>
                    <a:noFill/>
                    <a:ln w="9525">
                      <a:noFill/>
                      <a:miter lim="800000"/>
                      <a:headEnd/>
                      <a:tailEnd/>
                    </a:ln>
                  </pic:spPr>
                </pic:pic>
              </a:graphicData>
            </a:graphic>
          </wp:inline>
        </w:drawing>
      </w:r>
    </w:p>
    <w:p>
      <w:pPr>
        <w:rPr>
          <w:rFonts w:ascii="宋体" w:hAnsi="宋体"/>
          <w:b/>
        </w:rPr>
      </w:pPr>
      <w:r>
        <w:rPr>
          <w:rFonts w:hint="eastAsia" w:ascii="宋体" w:hAnsi="宋体"/>
        </w:rPr>
        <w:t xml:space="preserve">   </w:t>
      </w:r>
      <w:r>
        <w:rPr>
          <w:rFonts w:hint="eastAsia" w:ascii="宋体" w:hAnsi="宋体"/>
          <w:b/>
        </w:rPr>
        <w:t xml:space="preserve"> 24.2若采购项目出现延期情况：</w:t>
      </w:r>
    </w:p>
    <w:p>
      <w:pPr>
        <w:ind w:firstLine="422" w:firstLineChars="200"/>
        <w:rPr>
          <w:rFonts w:ascii="黑体" w:hAnsi="宋体" w:eastAsia="黑体"/>
          <w:b/>
          <w:sz w:val="24"/>
        </w:rPr>
      </w:pPr>
      <w:r>
        <w:rPr>
          <w:rFonts w:hint="eastAsia" w:ascii="宋体" w:hAnsi="宋体"/>
          <w:b/>
        </w:rPr>
        <w:t>如果供下载的招标文件（后缀名为.ZBS）有更新，投标人必须重新下载招标文件、重新制作投标文件、重新加密投标文件、重新上传投标文件；如果供下载的招标文件（后缀名为.ZBS）没有更新，投标人必须重新加密投标文件、重新上传投标文件（是否重新制作投标文件根据项目实际情况定）。否则，投标人自行承担投标文件无法解密导致投标无效的后果。</w:t>
      </w:r>
    </w:p>
    <w:p>
      <w:pPr>
        <w:rPr>
          <w:rFonts w:ascii="黑体" w:hAnsi="宋体" w:eastAsia="黑体"/>
          <w:sz w:val="24"/>
        </w:rPr>
      </w:pPr>
      <w:r>
        <w:rPr>
          <w:rFonts w:hint="eastAsia" w:ascii="黑体" w:hAnsi="宋体" w:eastAsia="黑体"/>
          <w:sz w:val="24"/>
        </w:rPr>
        <w:t>25．上传投标文件及投标截止日期</w:t>
      </w:r>
    </w:p>
    <w:p>
      <w:pPr>
        <w:ind w:firstLine="411" w:firstLineChars="196"/>
        <w:rPr>
          <w:rFonts w:ascii="宋体" w:hAnsi="宋体"/>
        </w:rPr>
      </w:pPr>
      <w:r>
        <w:rPr>
          <w:rFonts w:hint="eastAsia" w:ascii="宋体" w:hAnsi="宋体"/>
        </w:rPr>
        <w:t>25</w:t>
      </w:r>
      <w:r>
        <w:rPr>
          <w:rFonts w:ascii="宋体" w:hAnsi="宋体"/>
        </w:rPr>
        <w:t>.</w:t>
      </w:r>
      <w:r>
        <w:rPr>
          <w:rFonts w:hint="eastAsia" w:ascii="宋体" w:hAnsi="宋体"/>
        </w:rPr>
        <w:t>1实行网上投标，</w:t>
      </w:r>
      <w:r>
        <w:rPr>
          <w:rFonts w:ascii="宋体" w:hAnsi="宋体"/>
        </w:rPr>
        <w:t>投标人必须</w:t>
      </w:r>
      <w:r>
        <w:rPr>
          <w:rFonts w:hint="eastAsia" w:ascii="宋体" w:hAnsi="宋体"/>
        </w:rPr>
        <w:t>在招标</w:t>
      </w:r>
      <w:r>
        <w:rPr>
          <w:rFonts w:ascii="宋体" w:hAnsi="宋体"/>
        </w:rPr>
        <w:t>文件规定的投标截止时间前</w:t>
      </w:r>
      <w:r>
        <w:rPr>
          <w:rFonts w:hint="eastAsia" w:ascii="宋体" w:hAnsi="宋体"/>
        </w:rPr>
        <w:t>用电子密钥登录“</w:t>
      </w:r>
      <w:r>
        <w:rPr>
          <w:rFonts w:hint="eastAsia" w:ascii="宋体" w:hAnsi="宋体"/>
          <w:b/>
          <w:bCs/>
          <w:szCs w:val="21"/>
        </w:rPr>
        <w:t>深圳公共资源交易中心（深圳交易集团有限公司政府采购业务分公司）</w:t>
      </w:r>
      <w:r>
        <w:rPr>
          <w:rFonts w:hint="eastAsia" w:ascii="宋体" w:hAnsi="宋体"/>
        </w:rPr>
        <w:t>网站”</w:t>
      </w:r>
      <w:r>
        <w:rPr>
          <w:rFonts w:hint="eastAsia" w:ascii="宋体" w:hAnsi="宋体"/>
          <w:b/>
          <w:bCs/>
          <w:szCs w:val="21"/>
        </w:rPr>
        <w:t>（</w:t>
      </w:r>
      <w:r>
        <w:rPr>
          <w:rFonts w:ascii="宋体" w:hAnsi="宋体"/>
          <w:b/>
          <w:bCs/>
          <w:szCs w:val="21"/>
        </w:rPr>
        <w:t>http://www.szggzy.com/</w:t>
      </w:r>
      <w:r>
        <w:rPr>
          <w:rFonts w:hint="eastAsia" w:ascii="宋体" w:hAnsi="宋体"/>
          <w:b/>
          <w:bCs/>
          <w:szCs w:val="21"/>
        </w:rPr>
        <w:t>）</w:t>
      </w:r>
      <w:r>
        <w:rPr>
          <w:rFonts w:hint="eastAsia" w:ascii="宋体" w:hAnsi="宋体"/>
        </w:rPr>
        <w:t>，使用“应标管理”</w:t>
      </w:r>
      <w:r>
        <w:rPr>
          <w:rFonts w:ascii="宋体" w:hAnsi="宋体"/>
        </w:rPr>
        <w:t>—</w:t>
      </w:r>
      <w:r>
        <w:rPr>
          <w:rFonts w:hint="eastAsia" w:ascii="宋体" w:hAnsi="宋体"/>
        </w:rPr>
        <w:t>》“上传投标文件”功能点上传投标文件。如果没有该功能点，请用本公司的机构管理员在 “系统维护”</w:t>
      </w:r>
      <w:r>
        <w:rPr>
          <w:rFonts w:ascii="宋体" w:hAnsi="宋体"/>
        </w:rPr>
        <w:t>—</w:t>
      </w:r>
      <w:r>
        <w:rPr>
          <w:rFonts w:hint="eastAsia" w:ascii="宋体" w:hAnsi="宋体"/>
        </w:rPr>
        <w:t>》“修改用户权限”中增加该功能点，如果增加不成功，请在工作日与政府集中采购机构联系。如果确有困难，多次上传均告失败，请在投标截止时间之前携带加密后的电子投标文件送达至</w:t>
      </w:r>
      <w:r>
        <w:rPr>
          <w:rFonts w:hint="eastAsia" w:ascii="宋体" w:hAnsi="宋体"/>
          <w:bCs/>
          <w:szCs w:val="21"/>
        </w:rPr>
        <w:t>深圳公共资源交易中心（深圳交易集团有限公司政府采购业务分公司）三</w:t>
      </w:r>
      <w:r>
        <w:rPr>
          <w:rFonts w:hint="eastAsia" w:ascii="宋体" w:hAnsi="宋体"/>
          <w:bCs/>
        </w:rPr>
        <w:t>楼3</w:t>
      </w:r>
      <w:r>
        <w:rPr>
          <w:rFonts w:ascii="宋体" w:hAnsi="宋体"/>
          <w:bCs/>
        </w:rPr>
        <w:t>04</w:t>
      </w:r>
      <w:r>
        <w:rPr>
          <w:rFonts w:hint="eastAsia" w:ascii="宋体" w:hAnsi="宋体"/>
          <w:bCs/>
        </w:rPr>
        <w:t>室</w:t>
      </w:r>
      <w:r>
        <w:rPr>
          <w:rFonts w:hint="eastAsia" w:ascii="宋体" w:hAnsi="宋体"/>
        </w:rPr>
        <w:t>。</w:t>
      </w:r>
    </w:p>
    <w:p>
      <w:pPr>
        <w:ind w:firstLine="411" w:firstLineChars="196"/>
        <w:rPr>
          <w:rFonts w:ascii="宋体" w:hAnsi="宋体"/>
        </w:rPr>
      </w:pPr>
      <w:r>
        <w:rPr>
          <w:rFonts w:hint="eastAsia" w:ascii="宋体" w:hAnsi="宋体"/>
        </w:rPr>
        <w:t>25.2政府集中采购机构可以按本通用条款第13条规定，通过修改招标文件自行决定酌情延长投标截止期。在此情况下，政府集中采购机构、采购人和投标人受投标截止期制约的所有权利和义务均应延长至新的截止期。</w:t>
      </w:r>
    </w:p>
    <w:p>
      <w:pPr>
        <w:ind w:firstLine="411" w:firstLineChars="196"/>
        <w:rPr>
          <w:rFonts w:ascii="宋体" w:hAnsi="宋体"/>
        </w:rPr>
      </w:pPr>
      <w:r>
        <w:rPr>
          <w:rFonts w:hint="eastAsia" w:ascii="宋体" w:hAnsi="宋体"/>
        </w:rPr>
        <w:t>25</w:t>
      </w:r>
      <w:r>
        <w:rPr>
          <w:rFonts w:ascii="宋体" w:hAnsi="宋体"/>
        </w:rPr>
        <w:t>.</w:t>
      </w:r>
      <w:r>
        <w:rPr>
          <w:rFonts w:hint="eastAsia" w:ascii="宋体" w:hAnsi="宋体"/>
        </w:rPr>
        <w:t>3投标截止时间以后不得上传投标文件。</w:t>
      </w:r>
    </w:p>
    <w:bookmarkEnd w:id="65"/>
    <w:p>
      <w:pPr>
        <w:rPr>
          <w:rFonts w:ascii="黑体" w:hAnsi="宋体" w:eastAsia="黑体"/>
          <w:sz w:val="24"/>
        </w:rPr>
      </w:pPr>
      <w:r>
        <w:rPr>
          <w:rFonts w:hint="eastAsia" w:ascii="黑体" w:hAnsi="宋体" w:eastAsia="黑体"/>
          <w:sz w:val="24"/>
        </w:rPr>
        <w:t>26. 样品、现场演示、方案讲解</w:t>
      </w:r>
    </w:p>
    <w:p>
      <w:pPr>
        <w:ind w:firstLine="411" w:firstLineChars="196"/>
        <w:rPr>
          <w:rFonts w:ascii="宋体" w:hAnsi="宋体"/>
          <w:szCs w:val="21"/>
        </w:rPr>
      </w:pPr>
      <w:r>
        <w:rPr>
          <w:rFonts w:hint="eastAsia" w:ascii="宋体" w:hAnsi="宋体"/>
          <w:szCs w:val="21"/>
        </w:rPr>
        <w:t>26.1 样品、现场演示、方案讲解等事项在招标文件专用条款中进行规定。</w:t>
      </w:r>
    </w:p>
    <w:p>
      <w:pPr>
        <w:rPr>
          <w:rFonts w:ascii="黑体" w:hAnsi="宋体" w:eastAsia="黑体"/>
          <w:sz w:val="24"/>
        </w:rPr>
      </w:pPr>
      <w:bookmarkStart w:id="66" w:name="_Hlk72428346"/>
      <w:r>
        <w:rPr>
          <w:rFonts w:ascii="黑体" w:hAnsi="宋体" w:eastAsia="黑体"/>
          <w:sz w:val="24"/>
        </w:rPr>
        <w:t>2</w:t>
      </w:r>
      <w:r>
        <w:rPr>
          <w:rFonts w:hint="eastAsia" w:ascii="黑体" w:hAnsi="宋体" w:eastAsia="黑体"/>
          <w:sz w:val="24"/>
        </w:rPr>
        <w:t>7．</w:t>
      </w:r>
      <w:r>
        <w:rPr>
          <w:rFonts w:ascii="黑体" w:hAnsi="宋体" w:eastAsia="黑体"/>
          <w:sz w:val="24"/>
        </w:rPr>
        <w:t>投标文件的修改和撤销</w:t>
      </w:r>
    </w:p>
    <w:p>
      <w:pPr>
        <w:ind w:firstLine="411" w:firstLineChars="196"/>
        <w:rPr>
          <w:rFonts w:ascii="宋体" w:hAnsi="宋体"/>
        </w:rPr>
      </w:pPr>
      <w:r>
        <w:rPr>
          <w:rFonts w:ascii="宋体" w:hAnsi="宋体"/>
        </w:rPr>
        <w:t>2</w:t>
      </w:r>
      <w:r>
        <w:rPr>
          <w:rFonts w:hint="eastAsia" w:ascii="宋体" w:hAnsi="宋体"/>
        </w:rPr>
        <w:t>7</w:t>
      </w:r>
      <w:r>
        <w:rPr>
          <w:rFonts w:ascii="宋体" w:hAnsi="宋体"/>
        </w:rPr>
        <w:t>.</w:t>
      </w:r>
      <w:r>
        <w:rPr>
          <w:rFonts w:hint="eastAsia" w:ascii="宋体" w:hAnsi="宋体"/>
        </w:rPr>
        <w:t>1</w:t>
      </w:r>
      <w:r>
        <w:rPr>
          <w:rFonts w:ascii="宋体" w:hAnsi="宋体"/>
        </w:rPr>
        <w:t>投标方在提交投标文件后可对其投标文件进行修改</w:t>
      </w:r>
      <w:r>
        <w:rPr>
          <w:rFonts w:hint="eastAsia" w:ascii="宋体" w:hAnsi="宋体"/>
        </w:rPr>
        <w:t>并重新上传投标文件</w:t>
      </w:r>
      <w:r>
        <w:rPr>
          <w:rFonts w:ascii="宋体" w:hAnsi="宋体"/>
        </w:rPr>
        <w:t>或</w:t>
      </w:r>
      <w:r>
        <w:rPr>
          <w:rFonts w:hint="eastAsia" w:ascii="宋体" w:hAnsi="宋体"/>
        </w:rPr>
        <w:t>在网上进行</w:t>
      </w:r>
      <w:r>
        <w:rPr>
          <w:rFonts w:ascii="宋体" w:hAnsi="宋体"/>
        </w:rPr>
        <w:t>撤销</w:t>
      </w:r>
      <w:r>
        <w:rPr>
          <w:rFonts w:hint="eastAsia" w:ascii="宋体" w:hAnsi="宋体"/>
        </w:rPr>
        <w:t>投标的操作</w:t>
      </w:r>
      <w:r>
        <w:rPr>
          <w:rFonts w:ascii="宋体" w:hAnsi="宋体"/>
        </w:rPr>
        <w:t>。</w:t>
      </w:r>
    </w:p>
    <w:p>
      <w:pPr>
        <w:ind w:firstLine="411" w:firstLineChars="196"/>
        <w:rPr>
          <w:rFonts w:ascii="宋体" w:hAnsi="宋体"/>
        </w:rPr>
      </w:pPr>
      <w:r>
        <w:rPr>
          <w:rFonts w:ascii="宋体" w:hAnsi="宋体"/>
        </w:rPr>
        <w:t>2</w:t>
      </w:r>
      <w:r>
        <w:rPr>
          <w:rFonts w:hint="eastAsia" w:ascii="宋体" w:hAnsi="宋体"/>
        </w:rPr>
        <w:t>7</w:t>
      </w:r>
      <w:r>
        <w:rPr>
          <w:rFonts w:ascii="宋体" w:hAnsi="宋体"/>
        </w:rPr>
        <w:t>.</w:t>
      </w:r>
      <w:r>
        <w:rPr>
          <w:rFonts w:hint="eastAsia" w:ascii="宋体" w:hAnsi="宋体"/>
        </w:rPr>
        <w:t>2</w:t>
      </w:r>
      <w:r>
        <w:rPr>
          <w:rFonts w:ascii="宋体" w:hAnsi="宋体"/>
        </w:rPr>
        <w:t>投标截止时间以后不得修改投标文件。</w:t>
      </w:r>
    </w:p>
    <w:p>
      <w:pPr>
        <w:ind w:firstLine="411" w:firstLineChars="196"/>
        <w:rPr>
          <w:rFonts w:ascii="宋体" w:hAnsi="宋体"/>
        </w:rPr>
      </w:pPr>
      <w:r>
        <w:rPr>
          <w:rFonts w:ascii="宋体" w:hAnsi="宋体"/>
        </w:rPr>
        <w:t>2</w:t>
      </w:r>
      <w:r>
        <w:rPr>
          <w:rFonts w:hint="eastAsia" w:ascii="宋体" w:hAnsi="宋体"/>
        </w:rPr>
        <w:t>7</w:t>
      </w:r>
      <w:r>
        <w:rPr>
          <w:rFonts w:ascii="宋体" w:hAnsi="宋体"/>
        </w:rPr>
        <w:t>.</w:t>
      </w:r>
      <w:r>
        <w:rPr>
          <w:rFonts w:hint="eastAsia" w:ascii="宋体" w:hAnsi="宋体"/>
        </w:rPr>
        <w:t>3从投标截止期至投标人在投标文件中确定的投标有效期之间的这段时间内，投标人不得撤回其投标。</w:t>
      </w:r>
    </w:p>
    <w:p>
      <w:pPr>
        <w:ind w:firstLine="411" w:firstLineChars="196"/>
        <w:rPr>
          <w:rFonts w:ascii="宋体" w:hAnsi="宋体"/>
          <w:szCs w:val="21"/>
        </w:rPr>
      </w:pPr>
      <w:r>
        <w:rPr>
          <w:rFonts w:hint="eastAsia" w:ascii="宋体" w:hAnsi="宋体"/>
          <w:szCs w:val="21"/>
        </w:rPr>
        <w:t>27.4政府集中采购机构不退还投标文件，专用条款另有规定的除外。</w:t>
      </w:r>
    </w:p>
    <w:bookmarkEnd w:id="66"/>
    <w:p>
      <w:pPr>
        <w:pStyle w:val="5"/>
        <w:numPr>
          <w:ilvl w:val="0"/>
          <w:numId w:val="17"/>
        </w:numPr>
        <w:spacing w:beforeLines="50" w:afterLines="50"/>
        <w:ind w:left="562" w:hanging="562"/>
        <w:rPr>
          <w:sz w:val="28"/>
          <w:szCs w:val="28"/>
        </w:rPr>
      </w:pPr>
      <w:r>
        <w:rPr>
          <w:rFonts w:hint="eastAsia"/>
          <w:sz w:val="28"/>
          <w:szCs w:val="28"/>
        </w:rPr>
        <w:t>开标</w:t>
      </w:r>
    </w:p>
    <w:p>
      <w:pPr>
        <w:rPr>
          <w:rFonts w:ascii="黑体" w:hAnsi="宋体" w:eastAsia="黑体"/>
          <w:sz w:val="24"/>
        </w:rPr>
      </w:pPr>
      <w:r>
        <w:rPr>
          <w:rFonts w:hint="eastAsia" w:ascii="黑体" w:hAnsi="宋体" w:eastAsia="黑体"/>
          <w:sz w:val="24"/>
        </w:rPr>
        <w:t>28．开标</w:t>
      </w:r>
    </w:p>
    <w:p>
      <w:pPr>
        <w:ind w:firstLine="359" w:firstLineChars="171"/>
        <w:rPr>
          <w:rFonts w:ascii="宋体" w:hAnsi="宋体"/>
          <w:szCs w:val="21"/>
        </w:rPr>
      </w:pPr>
      <w:r>
        <w:rPr>
          <w:rFonts w:ascii="宋体" w:hAnsi="宋体"/>
          <w:szCs w:val="21"/>
        </w:rPr>
        <w:t>2</w:t>
      </w:r>
      <w:r>
        <w:rPr>
          <w:rFonts w:hint="eastAsia" w:ascii="宋体" w:hAnsi="宋体"/>
          <w:szCs w:val="21"/>
        </w:rPr>
        <w:t>8</w:t>
      </w:r>
      <w:r>
        <w:rPr>
          <w:rFonts w:ascii="宋体" w:hAnsi="宋体"/>
          <w:szCs w:val="21"/>
        </w:rPr>
        <w:t>.</w:t>
      </w:r>
      <w:r>
        <w:rPr>
          <w:rFonts w:hint="eastAsia" w:ascii="宋体" w:hAnsi="宋体"/>
          <w:szCs w:val="21"/>
        </w:rPr>
        <w:t>1政府集中采购机构将在投标截止时间后，对投标文件进行解密，开标，并在网上公布开标结果。</w:t>
      </w:r>
    </w:p>
    <w:p>
      <w:pPr>
        <w:ind w:firstLine="315" w:firstLineChars="150"/>
        <w:rPr>
          <w:rFonts w:ascii="宋体" w:hAnsi="宋体"/>
          <w:szCs w:val="21"/>
        </w:rPr>
      </w:pPr>
      <w:r>
        <w:rPr>
          <w:rFonts w:hint="eastAsia" w:ascii="宋体" w:hAnsi="宋体"/>
          <w:szCs w:val="21"/>
        </w:rPr>
        <w:t>28.2 网上投标的，当政府集中采购机构开标后，投标人即可登录“</w:t>
      </w:r>
      <w:r>
        <w:rPr>
          <w:rFonts w:hint="eastAsia" w:ascii="宋体" w:hAnsi="宋体"/>
          <w:b/>
          <w:bCs/>
          <w:szCs w:val="21"/>
        </w:rPr>
        <w:t>深圳公共资源交易中心（深圳交易集团有限公司政府采购业务分公司）网站</w:t>
      </w:r>
      <w:r>
        <w:rPr>
          <w:rFonts w:hint="eastAsia" w:ascii="宋体" w:hAnsi="宋体"/>
          <w:szCs w:val="21"/>
        </w:rPr>
        <w:t>”，使用“应标管理</w:t>
      </w:r>
      <w:r>
        <w:rPr>
          <w:rFonts w:ascii="宋体" w:hAnsi="宋体"/>
          <w:szCs w:val="21"/>
        </w:rPr>
        <w:sym w:font="Wingdings" w:char="F0E0"/>
      </w:r>
      <w:r>
        <w:rPr>
          <w:rFonts w:hint="eastAsia" w:ascii="宋体" w:hAnsi="宋体"/>
          <w:szCs w:val="21"/>
        </w:rPr>
        <w:t>浏览开标一览表</w:t>
      </w:r>
      <w:r>
        <w:rPr>
          <w:rFonts w:ascii="宋体" w:hAnsi="宋体"/>
          <w:szCs w:val="21"/>
        </w:rPr>
        <w:t>”</w:t>
      </w:r>
      <w:r>
        <w:rPr>
          <w:rFonts w:hint="eastAsia" w:ascii="宋体" w:hAnsi="宋体"/>
          <w:szCs w:val="21"/>
        </w:rPr>
        <w:t>功能点查看开标一览表。</w:t>
      </w:r>
    </w:p>
    <w:p>
      <w:pPr>
        <w:ind w:firstLine="315" w:firstLineChars="150"/>
        <w:rPr>
          <w:rFonts w:ascii="宋体" w:hAnsi="宋体"/>
          <w:szCs w:val="21"/>
        </w:rPr>
      </w:pPr>
    </w:p>
    <w:p>
      <w:pPr>
        <w:pStyle w:val="5"/>
        <w:numPr>
          <w:ilvl w:val="0"/>
          <w:numId w:val="17"/>
        </w:numPr>
        <w:spacing w:beforeLines="50" w:afterLines="50"/>
        <w:ind w:left="562" w:hanging="562"/>
        <w:rPr>
          <w:sz w:val="28"/>
          <w:szCs w:val="28"/>
        </w:rPr>
      </w:pPr>
      <w:r>
        <w:rPr>
          <w:rFonts w:hint="eastAsia"/>
          <w:sz w:val="28"/>
          <w:szCs w:val="28"/>
        </w:rPr>
        <w:t>评审要求</w:t>
      </w:r>
    </w:p>
    <w:p>
      <w:pPr>
        <w:rPr>
          <w:rFonts w:ascii="黑体" w:hAnsi="宋体" w:eastAsia="黑体"/>
          <w:sz w:val="24"/>
        </w:rPr>
      </w:pPr>
      <w:r>
        <w:rPr>
          <w:rFonts w:hint="eastAsia" w:ascii="黑体" w:hAnsi="宋体" w:eastAsia="黑体"/>
          <w:sz w:val="24"/>
        </w:rPr>
        <w:t>29．评审委员会组成</w:t>
      </w:r>
    </w:p>
    <w:p>
      <w:pPr>
        <w:ind w:firstLine="411" w:firstLineChars="196"/>
        <w:rPr>
          <w:rFonts w:ascii="宋体" w:hAnsi="宋体"/>
        </w:rPr>
      </w:pPr>
      <w:r>
        <w:rPr>
          <w:rFonts w:hint="eastAsia" w:ascii="宋体" w:hAnsi="宋体"/>
        </w:rPr>
        <w:t>29.1网上开标结束后召开评审会议，</w:t>
      </w:r>
      <w:r>
        <w:rPr>
          <w:rFonts w:hint="eastAsia" w:ascii="宋体" w:hAnsi="宋体"/>
          <w:szCs w:val="21"/>
        </w:rPr>
        <w:t>评审委员会</w:t>
      </w:r>
      <w:r>
        <w:rPr>
          <w:rFonts w:hint="eastAsia" w:ascii="宋体" w:hAnsi="宋体"/>
        </w:rPr>
        <w:t>由政府集中采购机构依法组建，负责评审活动。</w:t>
      </w:r>
    </w:p>
    <w:p>
      <w:pPr>
        <w:ind w:firstLine="411" w:firstLineChars="196"/>
        <w:rPr>
          <w:rFonts w:ascii="宋体" w:hAnsi="宋体"/>
        </w:rPr>
      </w:pPr>
      <w:bookmarkStart w:id="67" w:name="_Hlk72436580"/>
      <w:r>
        <w:rPr>
          <w:rFonts w:hint="eastAsia" w:ascii="宋体" w:hAnsi="宋体"/>
        </w:rPr>
        <w:t>评审委员会由采购人代表和评审专家组成，成员人数应当为5人以上单数（部分条件下为7人以上单数），其中评审专家不得少于成员总数的三分之二。</w:t>
      </w:r>
      <w:bookmarkEnd w:id="67"/>
      <w:r>
        <w:rPr>
          <w:rFonts w:hint="eastAsia" w:ascii="宋体" w:hAnsi="宋体"/>
        </w:rPr>
        <w:t>评定</w:t>
      </w:r>
      <w:r>
        <w:rPr>
          <w:rFonts w:hint="eastAsia"/>
        </w:rPr>
        <w:t>分离项目</w:t>
      </w:r>
      <w:r>
        <w:t>评审专家</w:t>
      </w:r>
      <w:r>
        <w:rPr>
          <w:rFonts w:hint="eastAsia"/>
        </w:rPr>
        <w:t>均</w:t>
      </w:r>
      <w:r>
        <w:t>由</w:t>
      </w:r>
      <w:r>
        <w:rPr>
          <w:rFonts w:hint="eastAsia"/>
        </w:rPr>
        <w:t>评审专家组成。</w:t>
      </w:r>
      <w:r>
        <w:rPr>
          <w:rFonts w:hint="eastAsia" w:ascii="宋体" w:hAnsi="宋体"/>
          <w:szCs w:val="21"/>
        </w:rPr>
        <w:t>评审专家一般是</w:t>
      </w:r>
      <w:r>
        <w:rPr>
          <w:rFonts w:hint="eastAsia" w:ascii="宋体" w:hAnsi="宋体"/>
        </w:rPr>
        <w:t>从深圳市政府采购评审专家库中随机抽取。采购人代表须持本单位签发的《评审授权书》参加评审。</w:t>
      </w:r>
    </w:p>
    <w:p>
      <w:pPr>
        <w:ind w:firstLine="411" w:firstLineChars="196"/>
        <w:rPr>
          <w:rFonts w:ascii="宋体" w:hAnsi="宋体"/>
        </w:rPr>
      </w:pPr>
      <w:r>
        <w:rPr>
          <w:rFonts w:hint="eastAsia" w:ascii="宋体" w:hAnsi="宋体"/>
        </w:rPr>
        <w:t>29.2评审定标应当遵循公平、公正、科学、择优的原则。</w:t>
      </w:r>
    </w:p>
    <w:p>
      <w:pPr>
        <w:ind w:firstLine="411" w:firstLineChars="196"/>
        <w:rPr>
          <w:rFonts w:ascii="宋体" w:hAnsi="宋体"/>
        </w:rPr>
      </w:pPr>
      <w:r>
        <w:rPr>
          <w:rFonts w:hint="eastAsia" w:ascii="宋体" w:hAnsi="宋体"/>
        </w:rPr>
        <w:t>29.3评审活动依法进行，任何单位和个人不得非法干预评标过程和结果。</w:t>
      </w:r>
    </w:p>
    <w:p>
      <w:pPr>
        <w:ind w:firstLine="411" w:firstLineChars="196"/>
        <w:rPr>
          <w:rFonts w:ascii="宋体" w:hAnsi="宋体"/>
        </w:rPr>
      </w:pPr>
      <w:r>
        <w:rPr>
          <w:rFonts w:hint="eastAsia" w:ascii="宋体" w:hAnsi="宋体"/>
        </w:rPr>
        <w:t>29.4评审过程中不允许违背评标程序或采用招标文件未载明的评标方法或评标因素进行评标。</w:t>
      </w:r>
    </w:p>
    <w:p>
      <w:pPr>
        <w:ind w:firstLine="411" w:firstLineChars="196"/>
        <w:rPr>
          <w:rFonts w:ascii="宋体" w:hAnsi="宋体"/>
          <w:bCs/>
        </w:rPr>
      </w:pPr>
      <w:r>
        <w:rPr>
          <w:rFonts w:hint="eastAsia" w:ascii="宋体" w:hAnsi="宋体"/>
          <w:bCs/>
        </w:rPr>
        <w:t>29.5 开标后，直到签订合同为止，凡属于对投标文件的审查、澄清、评价和比较的有关资料以及中标候选人的推荐情况、与评审有关的其他任何情况均严格保密（</w:t>
      </w:r>
      <w:r>
        <w:rPr>
          <w:rFonts w:hint="eastAsia"/>
        </w:rPr>
        <w:t>信息公开的内容除外</w:t>
      </w:r>
      <w:r>
        <w:rPr>
          <w:rFonts w:hint="eastAsia" w:ascii="宋体" w:hAnsi="宋体"/>
          <w:bCs/>
        </w:rPr>
        <w:t>）。</w:t>
      </w:r>
    </w:p>
    <w:p>
      <w:pPr>
        <w:rPr>
          <w:rFonts w:ascii="黑体" w:hAnsi="宋体" w:eastAsia="黑体"/>
          <w:sz w:val="24"/>
        </w:rPr>
      </w:pPr>
      <w:r>
        <w:rPr>
          <w:rFonts w:hint="eastAsia" w:ascii="黑体" w:hAnsi="宋体" w:eastAsia="黑体"/>
          <w:sz w:val="24"/>
        </w:rPr>
        <w:t>30．向评审委员会提供的资料</w:t>
      </w:r>
    </w:p>
    <w:p>
      <w:pPr>
        <w:ind w:firstLine="411" w:firstLineChars="196"/>
        <w:rPr>
          <w:rFonts w:ascii="宋体" w:hAnsi="宋体"/>
        </w:rPr>
      </w:pPr>
      <w:r>
        <w:rPr>
          <w:rFonts w:hint="eastAsia" w:ascii="宋体" w:hAnsi="宋体"/>
        </w:rPr>
        <w:t>30.1公开发布的招标文件，包括图纸、服务清单、答疑文件等；</w:t>
      </w:r>
    </w:p>
    <w:p>
      <w:pPr>
        <w:ind w:firstLine="411" w:firstLineChars="196"/>
        <w:rPr>
          <w:rFonts w:ascii="宋体" w:hAnsi="宋体"/>
        </w:rPr>
      </w:pPr>
      <w:r>
        <w:rPr>
          <w:rFonts w:hint="eastAsia" w:ascii="宋体" w:hAnsi="宋体"/>
        </w:rPr>
        <w:t>30.2其他评标必须的资料。</w:t>
      </w:r>
    </w:p>
    <w:p>
      <w:pPr>
        <w:ind w:firstLine="411" w:firstLineChars="196"/>
        <w:rPr>
          <w:rFonts w:ascii="宋体" w:hAnsi="宋体"/>
        </w:rPr>
      </w:pPr>
      <w:r>
        <w:rPr>
          <w:rFonts w:hint="eastAsia" w:ascii="宋体" w:hAnsi="宋体"/>
        </w:rPr>
        <w:t>30.3</w:t>
      </w:r>
      <w:r>
        <w:rPr>
          <w:rFonts w:hint="eastAsia" w:ascii="宋体" w:hAnsi="宋体"/>
          <w:szCs w:val="21"/>
        </w:rPr>
        <w:t>评审委员会</w:t>
      </w:r>
      <w:r>
        <w:rPr>
          <w:rFonts w:hint="eastAsia" w:ascii="宋体" w:hAnsi="宋体"/>
        </w:rPr>
        <w:t>应当认真研究招标文件，至少应了解熟悉以下内容：</w:t>
      </w:r>
    </w:p>
    <w:p>
      <w:pPr>
        <w:ind w:firstLine="411" w:firstLineChars="196"/>
        <w:rPr>
          <w:rFonts w:ascii="宋体" w:hAnsi="宋体"/>
        </w:rPr>
      </w:pPr>
      <w:r>
        <w:rPr>
          <w:rFonts w:hint="eastAsia" w:ascii="宋体" w:hAnsi="宋体"/>
        </w:rPr>
        <w:t>（1）招标的目的；</w:t>
      </w:r>
    </w:p>
    <w:p>
      <w:pPr>
        <w:ind w:firstLine="411" w:firstLineChars="196"/>
        <w:rPr>
          <w:rFonts w:ascii="宋体" w:hAnsi="宋体"/>
        </w:rPr>
      </w:pPr>
      <w:r>
        <w:rPr>
          <w:rFonts w:hint="eastAsia" w:ascii="宋体" w:hAnsi="宋体"/>
        </w:rPr>
        <w:t>（2）招标项目需求的范围和性质；</w:t>
      </w:r>
    </w:p>
    <w:p>
      <w:pPr>
        <w:ind w:firstLine="411" w:firstLineChars="196"/>
        <w:rPr>
          <w:rFonts w:ascii="宋体" w:hAnsi="宋体"/>
        </w:rPr>
      </w:pPr>
      <w:r>
        <w:rPr>
          <w:rFonts w:hint="eastAsia" w:ascii="宋体" w:hAnsi="宋体"/>
        </w:rPr>
        <w:t>（3）招标文件规定的投标人的资格、财政预算限额、商务条款；</w:t>
      </w:r>
    </w:p>
    <w:p>
      <w:pPr>
        <w:ind w:firstLine="411" w:firstLineChars="196"/>
        <w:rPr>
          <w:rFonts w:ascii="宋体" w:hAnsi="宋体"/>
        </w:rPr>
      </w:pPr>
      <w:r>
        <w:rPr>
          <w:rFonts w:hint="eastAsia" w:ascii="宋体" w:hAnsi="宋体"/>
        </w:rPr>
        <w:t>（4）招标文件规定的评标程序、评标方法和评标因素；</w:t>
      </w:r>
    </w:p>
    <w:p>
      <w:pPr>
        <w:ind w:firstLine="411" w:firstLineChars="196"/>
        <w:rPr>
          <w:rFonts w:ascii="宋体" w:hAnsi="宋体"/>
        </w:rPr>
      </w:pPr>
      <w:r>
        <w:rPr>
          <w:rFonts w:hint="eastAsia" w:ascii="宋体" w:hAnsi="宋体"/>
        </w:rPr>
        <w:t>（5）招标文件所列示的资格性审查表及符合性审查表。</w:t>
      </w:r>
    </w:p>
    <w:p>
      <w:pPr>
        <w:rPr>
          <w:rFonts w:ascii="黑体" w:hAnsi="宋体" w:eastAsia="黑体"/>
          <w:sz w:val="24"/>
        </w:rPr>
      </w:pPr>
      <w:r>
        <w:rPr>
          <w:rFonts w:hint="eastAsia" w:ascii="黑体" w:hAnsi="宋体" w:eastAsia="黑体"/>
          <w:sz w:val="24"/>
        </w:rPr>
        <w:t>31．独立评审</w:t>
      </w:r>
    </w:p>
    <w:p>
      <w:pPr>
        <w:ind w:firstLine="411" w:firstLineChars="196"/>
        <w:rPr>
          <w:rFonts w:ascii="宋体" w:hAnsi="宋体"/>
          <w:bCs/>
        </w:rPr>
      </w:pPr>
      <w:r>
        <w:rPr>
          <w:rFonts w:hint="eastAsia" w:ascii="宋体" w:hAnsi="宋体"/>
          <w:bCs/>
        </w:rPr>
        <w:t>3</w:t>
      </w:r>
      <w:r>
        <w:rPr>
          <w:rFonts w:ascii="宋体" w:hAnsi="宋体"/>
          <w:bCs/>
        </w:rPr>
        <w:t>1</w:t>
      </w:r>
      <w:r>
        <w:rPr>
          <w:rFonts w:hint="eastAsia" w:ascii="宋体" w:hAnsi="宋体"/>
          <w:bCs/>
        </w:rPr>
        <w:t>.1</w:t>
      </w:r>
      <w:r>
        <w:rPr>
          <w:rFonts w:hint="eastAsia" w:ascii="宋体" w:hAnsi="宋体"/>
          <w:szCs w:val="21"/>
        </w:rPr>
        <w:t>评审委员会</w:t>
      </w:r>
      <w:r>
        <w:rPr>
          <w:rFonts w:hint="eastAsia" w:ascii="宋体" w:hAnsi="宋体"/>
          <w:bCs/>
        </w:rPr>
        <w:t>成员的评标活动应当独立进行，并应遵循投标文件初审、澄清有关问题、比较与评价、确定中标供应商、编写评审报告的工作程序。</w:t>
      </w:r>
    </w:p>
    <w:p>
      <w:pPr>
        <w:ind w:firstLine="411" w:firstLineChars="196"/>
        <w:rPr>
          <w:rFonts w:ascii="宋体" w:hAnsi="宋体"/>
          <w:bCs/>
          <w:szCs w:val="21"/>
        </w:rPr>
      </w:pPr>
    </w:p>
    <w:p>
      <w:pPr>
        <w:pStyle w:val="5"/>
        <w:numPr>
          <w:ilvl w:val="0"/>
          <w:numId w:val="17"/>
        </w:numPr>
        <w:spacing w:beforeLines="50" w:afterLines="50"/>
        <w:ind w:left="562" w:hanging="562"/>
        <w:rPr>
          <w:sz w:val="28"/>
          <w:szCs w:val="28"/>
        </w:rPr>
      </w:pPr>
      <w:r>
        <w:rPr>
          <w:rFonts w:hint="eastAsia"/>
          <w:sz w:val="28"/>
          <w:szCs w:val="28"/>
        </w:rPr>
        <w:t>评审程序及评审方法</w:t>
      </w:r>
    </w:p>
    <w:p>
      <w:pPr>
        <w:rPr>
          <w:rFonts w:ascii="黑体" w:hAnsi="宋体" w:eastAsia="黑体"/>
          <w:sz w:val="24"/>
        </w:rPr>
      </w:pPr>
      <w:r>
        <w:rPr>
          <w:rFonts w:hint="eastAsia" w:ascii="黑体" w:hAnsi="宋体" w:eastAsia="黑体"/>
          <w:sz w:val="24"/>
        </w:rPr>
        <w:t>32．投标文件初审</w:t>
      </w:r>
    </w:p>
    <w:p>
      <w:pPr>
        <w:ind w:firstLine="411" w:firstLineChars="196"/>
        <w:rPr>
          <w:rFonts w:ascii="宋体" w:hAnsi="宋体"/>
        </w:rPr>
      </w:pPr>
      <w:r>
        <w:rPr>
          <w:rFonts w:hint="eastAsia" w:ascii="宋体" w:hAnsi="宋体"/>
        </w:rPr>
        <w:t>32.1投标文件初审包括资格性审查和符合性审查。</w:t>
      </w:r>
    </w:p>
    <w:p>
      <w:pPr>
        <w:ind w:firstLine="411" w:firstLineChars="196"/>
        <w:rPr>
          <w:rFonts w:ascii="宋体" w:hAnsi="宋体"/>
        </w:rPr>
      </w:pPr>
      <w:r>
        <w:rPr>
          <w:rFonts w:hint="eastAsia" w:ascii="宋体" w:hAnsi="宋体"/>
        </w:rPr>
        <w:t>资格性审查：依据法律法规和招标文件的规定，对投标文件中的资格证明等进行审查，以确定投标供应商是否具备投标资格。</w:t>
      </w:r>
    </w:p>
    <w:p>
      <w:pPr>
        <w:ind w:firstLine="411" w:firstLineChars="196"/>
        <w:rPr>
          <w:rFonts w:ascii="宋体" w:hAnsi="宋体"/>
        </w:rPr>
      </w:pPr>
      <w:r>
        <w:rPr>
          <w:rFonts w:hint="eastAsia" w:ascii="宋体" w:hAnsi="宋体"/>
        </w:rPr>
        <w:t>符合性审查：依据招标文件的规定，对投标文件的有效性、完整性和对招标文件的响应程度进行审查，以确定是否满足符合性审查的要求。</w:t>
      </w:r>
    </w:p>
    <w:p>
      <w:pPr>
        <w:ind w:firstLine="411" w:firstLineChars="196"/>
        <w:rPr>
          <w:rFonts w:ascii="宋体" w:hAnsi="宋体"/>
        </w:rPr>
      </w:pPr>
      <w:r>
        <w:rPr>
          <w:rFonts w:hint="eastAsia" w:ascii="宋体" w:hAnsi="宋体"/>
        </w:rPr>
        <w:t>32.2 投标文件初审内容请详见《资格性审查表》和《符合性审查表》部分。投标人若有一条审查不通过则按投标无效处理。</w:t>
      </w:r>
    </w:p>
    <w:p>
      <w:pPr>
        <w:ind w:firstLine="411" w:firstLineChars="196"/>
        <w:rPr>
          <w:rFonts w:ascii="宋体" w:hAnsi="宋体"/>
          <w:bCs/>
        </w:rPr>
      </w:pPr>
      <w:r>
        <w:rPr>
          <w:rFonts w:hint="eastAsia" w:ascii="宋体" w:hAnsi="宋体"/>
          <w:bCs/>
        </w:rPr>
        <w:t>32.3 投标文件初审中关于供应商家数的计算:</w:t>
      </w:r>
    </w:p>
    <w:p>
      <w:pPr>
        <w:ind w:firstLine="411" w:firstLineChars="196"/>
        <w:rPr>
          <w:rFonts w:ascii="宋体" w:hAnsi="宋体"/>
          <w:bCs/>
        </w:rPr>
      </w:pPr>
      <w:r>
        <w:rPr>
          <w:rFonts w:hint="eastAsia" w:ascii="宋体" w:hAnsi="宋体"/>
          <w:bCs/>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审的投标人，招标文件未规定的采取随机抽取方式确定，其他投标无效。</w:t>
      </w:r>
    </w:p>
    <w:p>
      <w:pPr>
        <w:ind w:firstLine="411" w:firstLineChars="196"/>
        <w:rPr>
          <w:rFonts w:ascii="宋体" w:hAnsi="宋体"/>
          <w:bCs/>
        </w:rPr>
      </w:pPr>
      <w:r>
        <w:rPr>
          <w:rFonts w:hint="eastAsia" w:ascii="宋体" w:hAnsi="宋体"/>
          <w:bCs/>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w:t>
      </w:r>
      <w:r>
        <w:rPr>
          <w:rFonts w:hint="eastAsia" w:ascii="宋体" w:hAnsi="宋体"/>
          <w:bCs/>
          <w:szCs w:val="21"/>
        </w:rPr>
        <w:t>评审委员会</w:t>
      </w:r>
      <w:r>
        <w:rPr>
          <w:rFonts w:hint="eastAsia" w:ascii="宋体" w:hAnsi="宋体"/>
          <w:bCs/>
        </w:rPr>
        <w:t>按照招标文件规定的方式确定一个投标人获得中标人推荐资格，招标文件未规定的采取随机抽取方式确定，其他同品牌投标人不作为中标候选人。</w:t>
      </w:r>
    </w:p>
    <w:p>
      <w:pPr>
        <w:ind w:firstLine="411" w:firstLineChars="196"/>
        <w:rPr>
          <w:rFonts w:ascii="宋体" w:hAnsi="宋体"/>
          <w:bCs/>
        </w:rPr>
      </w:pPr>
      <w:r>
        <w:rPr>
          <w:rFonts w:hint="eastAsia" w:ascii="宋体" w:hAnsi="宋体"/>
          <w:bCs/>
        </w:rPr>
        <w:t>32.3.3非单一产品采购项目，采购人应当根据采购项目技术构成、产品价格比重等合理确定核心产品，并在招标文件中载明。多家投标人提供的核心产品品牌相同的，按前两款规定处理。</w:t>
      </w:r>
    </w:p>
    <w:p>
      <w:pPr>
        <w:ind w:firstLine="411" w:firstLineChars="196"/>
        <w:rPr>
          <w:rFonts w:ascii="宋体" w:hAnsi="宋体"/>
        </w:rPr>
      </w:pPr>
      <w:r>
        <w:rPr>
          <w:rFonts w:hint="eastAsia" w:ascii="宋体" w:hAnsi="宋体"/>
        </w:rPr>
        <w:t>32.4投标人投标文件作无效处理的情形，具体包括但不限于以下：</w:t>
      </w:r>
    </w:p>
    <w:p>
      <w:pPr>
        <w:ind w:firstLine="411" w:firstLineChars="196"/>
      </w:pPr>
      <w:r>
        <w:rPr>
          <w:rFonts w:hint="eastAsia" w:ascii="宋体" w:hAnsi="宋体"/>
        </w:rPr>
        <w:t>32.4.1</w:t>
      </w:r>
      <w:r>
        <w:rPr>
          <w:rFonts w:hint="eastAsia"/>
        </w:rPr>
        <w:t>不同投标人的投标文件由同一单位或者同一个人编制，或者由同一个人分阶段参与编制；</w:t>
      </w:r>
    </w:p>
    <w:p>
      <w:pPr>
        <w:ind w:firstLine="411" w:firstLineChars="196"/>
      </w:pPr>
      <w:r>
        <w:rPr>
          <w:rFonts w:ascii="宋体" w:hAnsi="宋体"/>
        </w:rPr>
        <w:t>32.4.</w:t>
      </w:r>
      <w:r>
        <w:rPr>
          <w:rFonts w:hint="eastAsia" w:ascii="宋体" w:hAnsi="宋体"/>
        </w:rPr>
        <w:t>2</w:t>
      </w:r>
      <w:r>
        <w:rPr>
          <w:rFonts w:hint="eastAsia"/>
        </w:rPr>
        <w:t>不同投标人委托同一单位或者个人办理投标事宜；</w:t>
      </w:r>
    </w:p>
    <w:p>
      <w:pPr>
        <w:ind w:firstLine="411" w:firstLineChars="196"/>
        <w:rPr>
          <w:rFonts w:ascii="宋体" w:hAnsi="宋体"/>
        </w:rPr>
      </w:pPr>
      <w:r>
        <w:rPr>
          <w:rFonts w:hint="eastAsia" w:ascii="宋体" w:hAnsi="宋体"/>
        </w:rPr>
        <w:t>32.4.3不同投标人的投标文件载明的项目管理成员或者联系人员为同一人；</w:t>
      </w:r>
    </w:p>
    <w:p>
      <w:pPr>
        <w:ind w:firstLine="411" w:firstLineChars="196"/>
        <w:rPr>
          <w:rFonts w:ascii="宋体" w:hAnsi="宋体"/>
        </w:rPr>
      </w:pPr>
      <w:r>
        <w:rPr>
          <w:rFonts w:hint="eastAsia" w:ascii="宋体" w:hAnsi="宋体"/>
        </w:rPr>
        <w:t>32.4.4不同投标人的投标文件异常一致或者投标报价呈规律性差异；</w:t>
      </w:r>
    </w:p>
    <w:p>
      <w:pPr>
        <w:ind w:firstLine="411" w:firstLineChars="196"/>
        <w:rPr>
          <w:rFonts w:ascii="宋体" w:hAnsi="宋体"/>
        </w:rPr>
      </w:pPr>
      <w:r>
        <w:rPr>
          <w:rFonts w:hint="eastAsia" w:ascii="宋体" w:hAnsi="宋体"/>
        </w:rPr>
        <w:t>32.4.5</w:t>
      </w:r>
      <w:r>
        <w:rPr>
          <w:rFonts w:ascii="宋体" w:hAnsi="宋体"/>
        </w:rPr>
        <w:t>不同投标供应商的投标文件或部分投标文件相互混装</w:t>
      </w:r>
      <w:r>
        <w:rPr>
          <w:rFonts w:hint="eastAsia" w:ascii="宋体" w:hAnsi="宋体"/>
        </w:rPr>
        <w:t>；</w:t>
      </w:r>
    </w:p>
    <w:p>
      <w:pPr>
        <w:ind w:firstLine="411" w:firstLineChars="196"/>
        <w:rPr>
          <w:rFonts w:ascii="宋体" w:hAnsi="宋体"/>
        </w:rPr>
      </w:pPr>
      <w:r>
        <w:rPr>
          <w:rFonts w:hint="eastAsia" w:ascii="宋体" w:hAnsi="宋体"/>
        </w:rPr>
        <w:t>32.4.6投标供应商之间相互约定给予未中标的供应商利益补偿；</w:t>
      </w:r>
    </w:p>
    <w:p>
      <w:pPr>
        <w:ind w:firstLine="411" w:firstLineChars="196"/>
        <w:rPr>
          <w:rFonts w:ascii="宋体" w:hAnsi="宋体"/>
        </w:rPr>
      </w:pPr>
      <w:r>
        <w:rPr>
          <w:rFonts w:hint="eastAsia" w:ascii="宋体" w:hAnsi="宋体"/>
        </w:rPr>
        <w:t>32.4.7不同投标供应商的法定代表人、主要经营负责人、项目投标授权代表人、项目负责人、主要技术人员为同一人、属同一单位或者同一单位缴纳社会保险；</w:t>
      </w:r>
    </w:p>
    <w:p>
      <w:pPr>
        <w:ind w:firstLine="411" w:firstLineChars="196"/>
        <w:rPr>
          <w:rFonts w:ascii="宋体" w:hAnsi="宋体"/>
        </w:rPr>
      </w:pPr>
      <w:r>
        <w:rPr>
          <w:rFonts w:hint="eastAsia" w:ascii="宋体" w:hAnsi="宋体"/>
        </w:rPr>
        <w:t>32.4.8不同投标供应商的投标文件内容存在非正常一致；</w:t>
      </w:r>
    </w:p>
    <w:p>
      <w:pPr>
        <w:ind w:firstLine="411" w:firstLineChars="196"/>
        <w:rPr>
          <w:rFonts w:ascii="宋体" w:hAnsi="宋体"/>
        </w:rPr>
      </w:pPr>
      <w:r>
        <w:rPr>
          <w:rFonts w:hint="eastAsia" w:ascii="宋体" w:hAnsi="宋体"/>
        </w:rPr>
        <w:t>32.4.9在同一单位工作人员为两家以上（含两家）供应商进行同一项投标活动；</w:t>
      </w:r>
    </w:p>
    <w:p>
      <w:pPr>
        <w:ind w:firstLine="411" w:firstLineChars="196"/>
        <w:rPr>
          <w:rFonts w:ascii="宋体" w:hAnsi="宋体"/>
        </w:rPr>
      </w:pPr>
      <w:r>
        <w:rPr>
          <w:rFonts w:hint="eastAsia" w:ascii="宋体" w:hAnsi="宋体"/>
        </w:rPr>
        <w:t>32.4.10主管部门依照法律、法规认定的其他情形。</w:t>
      </w:r>
    </w:p>
    <w:p>
      <w:pPr>
        <w:ind w:firstLine="411" w:firstLineChars="196"/>
        <w:rPr>
          <w:rFonts w:ascii="宋体" w:hAnsi="宋体"/>
        </w:rPr>
      </w:pPr>
      <w:r>
        <w:rPr>
          <w:rFonts w:hint="eastAsia" w:ascii="宋体" w:hAnsi="宋体"/>
        </w:rPr>
        <w:t>32.5对不属于《资格性审查表》和《符合性审查表》所列的其他情形，除专用条款另有规定和32.4条款所列情形外，不得作为投标无效的理由。</w:t>
      </w:r>
    </w:p>
    <w:p>
      <w:pPr>
        <w:rPr>
          <w:rFonts w:ascii="黑体" w:hAnsi="宋体" w:eastAsia="黑体"/>
          <w:sz w:val="24"/>
        </w:rPr>
      </w:pPr>
      <w:r>
        <w:rPr>
          <w:rFonts w:hint="eastAsia" w:ascii="黑体" w:hAnsi="宋体" w:eastAsia="黑体"/>
          <w:sz w:val="24"/>
        </w:rPr>
        <w:t>33．澄清有关问题</w:t>
      </w:r>
    </w:p>
    <w:p>
      <w:pPr>
        <w:ind w:firstLine="411" w:firstLineChars="196"/>
        <w:rPr>
          <w:rFonts w:ascii="宋体" w:hAnsi="宋体"/>
        </w:rPr>
      </w:pPr>
      <w:bookmarkStart w:id="68" w:name="_Hlk71407321"/>
      <w:r>
        <w:rPr>
          <w:rFonts w:hint="eastAsia" w:ascii="宋体" w:hAnsi="宋体"/>
        </w:rPr>
        <w:t>3</w:t>
      </w:r>
      <w:r>
        <w:rPr>
          <w:rFonts w:ascii="宋体" w:hAnsi="宋体"/>
        </w:rPr>
        <w:t>3.1</w:t>
      </w:r>
      <w:r>
        <w:rPr>
          <w:rFonts w:hint="eastAsia" w:ascii="宋体" w:hAnsi="宋体"/>
        </w:rPr>
        <w:t>对招标文件中描述有歧义或前后不一致的地方（不含</w:t>
      </w:r>
      <w:r>
        <w:rPr>
          <w:szCs w:val="21"/>
        </w:rPr>
        <w:t>招标文件存在歧义、重大缺陷导致评</w:t>
      </w:r>
      <w:r>
        <w:rPr>
          <w:rFonts w:hint="eastAsia"/>
          <w:szCs w:val="21"/>
        </w:rPr>
        <w:t>审</w:t>
      </w:r>
      <w:r>
        <w:rPr>
          <w:szCs w:val="21"/>
        </w:rPr>
        <w:t>工作无法进行</w:t>
      </w:r>
      <w:r>
        <w:rPr>
          <w:rFonts w:hint="eastAsia"/>
          <w:szCs w:val="21"/>
        </w:rPr>
        <w:t>的情况）</w:t>
      </w:r>
      <w:r>
        <w:rPr>
          <w:rFonts w:hint="eastAsia" w:ascii="宋体" w:hAnsi="宋体"/>
        </w:rPr>
        <w:t>，评审委员会有权进行评判，但对同一条款的评判应适用于每个投标人。</w:t>
      </w:r>
      <w:bookmarkEnd w:id="68"/>
    </w:p>
    <w:p>
      <w:pPr>
        <w:ind w:firstLine="411" w:firstLineChars="196"/>
        <w:rPr>
          <w:rFonts w:ascii="宋体" w:hAnsi="宋体"/>
        </w:rPr>
      </w:pPr>
      <w:r>
        <w:rPr>
          <w:rFonts w:hint="eastAsia" w:ascii="宋体" w:hAnsi="宋体"/>
        </w:rPr>
        <w:t>3</w:t>
      </w:r>
      <w:r>
        <w:rPr>
          <w:rFonts w:ascii="宋体" w:hAnsi="宋体"/>
        </w:rPr>
        <w:t>3.2</w:t>
      </w:r>
      <w:r>
        <w:rPr>
          <w:szCs w:val="21"/>
        </w:rPr>
        <w:t>评</w:t>
      </w:r>
      <w:r>
        <w:rPr>
          <w:rFonts w:hint="eastAsia"/>
          <w:szCs w:val="21"/>
        </w:rPr>
        <w:t>审</w:t>
      </w:r>
      <w:r>
        <w:rPr>
          <w:szCs w:val="21"/>
        </w:rPr>
        <w:t>委员会发现招标文件存在歧义、重大缺陷导致评</w:t>
      </w:r>
      <w:r>
        <w:rPr>
          <w:rFonts w:hint="eastAsia"/>
          <w:szCs w:val="21"/>
        </w:rPr>
        <w:t>审</w:t>
      </w:r>
      <w:r>
        <w:rPr>
          <w:szCs w:val="21"/>
        </w:rPr>
        <w:t>工作无法进行，或者招标文件内容违反国家有关强制性规定的，应当停止评</w:t>
      </w:r>
      <w:r>
        <w:rPr>
          <w:rFonts w:hint="eastAsia"/>
          <w:szCs w:val="21"/>
        </w:rPr>
        <w:t>审</w:t>
      </w:r>
      <w:r>
        <w:rPr>
          <w:szCs w:val="21"/>
        </w:rPr>
        <w:t>工作，与</w:t>
      </w:r>
      <w:r>
        <w:rPr>
          <w:rFonts w:hint="eastAsia"/>
          <w:szCs w:val="21"/>
        </w:rPr>
        <w:t>政府集中采购机构</w:t>
      </w:r>
      <w:r>
        <w:rPr>
          <w:szCs w:val="21"/>
        </w:rPr>
        <w:t>沟通并作书面记录。</w:t>
      </w:r>
      <w:r>
        <w:rPr>
          <w:rFonts w:hint="eastAsia"/>
          <w:szCs w:val="21"/>
        </w:rPr>
        <w:t>经</w:t>
      </w:r>
      <w:r>
        <w:rPr>
          <w:szCs w:val="21"/>
        </w:rPr>
        <w:t>确认后，</w:t>
      </w:r>
      <w:r>
        <w:rPr>
          <w:rFonts w:hint="eastAsia"/>
          <w:szCs w:val="21"/>
        </w:rPr>
        <w:t>项目</w:t>
      </w:r>
      <w:r>
        <w:rPr>
          <w:szCs w:val="21"/>
        </w:rPr>
        <w:t>应当修改招标文件，重新组织采购活动。</w:t>
      </w:r>
    </w:p>
    <w:p>
      <w:pPr>
        <w:ind w:firstLine="411" w:firstLineChars="196"/>
        <w:rPr>
          <w:rFonts w:ascii="宋体" w:hAnsi="宋体"/>
        </w:rPr>
      </w:pPr>
      <w:r>
        <w:rPr>
          <w:rFonts w:ascii="宋体" w:hAnsi="宋体"/>
        </w:rPr>
        <w:t>33.3</w:t>
      </w:r>
      <w:r>
        <w:rPr>
          <w:rFonts w:hint="eastAsia" w:ascii="宋体" w:hAnsi="宋体"/>
        </w:rPr>
        <w:t>对于投标文件中含义不明确、同类问题表述不一致或者有明显文字和计算错误的内容，评审委员会应当以书面形式要求投标人作出必要的澄清、说明或者补正。</w:t>
      </w:r>
    </w:p>
    <w:p>
      <w:pPr>
        <w:ind w:firstLine="411" w:firstLineChars="196"/>
        <w:rPr>
          <w:rFonts w:ascii="宋体" w:hAnsi="宋体"/>
        </w:rPr>
      </w:pPr>
      <w:r>
        <w:rPr>
          <w:rFonts w:hint="eastAsia" w:ascii="宋体" w:hAnsi="宋体"/>
        </w:rPr>
        <w:t>投标人的澄清、说明或者补正应当采用书面形式【书面形式是指文书、信件（含电子邮件）、电报、电传、传真等形式】，并加盖公章（或者由法定代表人或其授权的代表签字）。投标人的澄清、说明或者补正不得超出投标文件的范围或者改变投标文件的实质性内容。</w:t>
      </w:r>
    </w:p>
    <w:p>
      <w:pPr>
        <w:ind w:firstLine="411" w:firstLineChars="196"/>
        <w:rPr>
          <w:rFonts w:ascii="宋体" w:hAnsi="宋体"/>
          <w:szCs w:val="21"/>
        </w:rPr>
      </w:pPr>
      <w:r>
        <w:rPr>
          <w:rFonts w:hint="eastAsia" w:ascii="宋体" w:hAnsi="宋体"/>
          <w:szCs w:val="21"/>
        </w:rPr>
        <w:t>根据本通用条款第34条，凡属于评审委员会在评审中发现的算术错误进行核实的修改不在此列。</w:t>
      </w:r>
    </w:p>
    <w:p>
      <w:pPr>
        <w:rPr>
          <w:rFonts w:ascii="黑体" w:hAnsi="宋体" w:eastAsia="黑体"/>
          <w:sz w:val="24"/>
        </w:rPr>
      </w:pPr>
      <w:bookmarkStart w:id="69" w:name="_Toc100052400"/>
      <w:bookmarkStart w:id="70" w:name="_Toc73521669"/>
      <w:bookmarkStart w:id="71" w:name="_Toc73517673"/>
      <w:bookmarkStart w:id="72" w:name="_Toc73518151"/>
      <w:bookmarkStart w:id="73" w:name="_Toc73521581"/>
      <w:r>
        <w:rPr>
          <w:rFonts w:hint="eastAsia" w:ascii="黑体" w:hAnsi="宋体" w:eastAsia="黑体"/>
          <w:sz w:val="24"/>
        </w:rPr>
        <w:t>34．错误的修正</w:t>
      </w:r>
      <w:bookmarkEnd w:id="69"/>
      <w:bookmarkEnd w:id="70"/>
      <w:bookmarkEnd w:id="71"/>
      <w:bookmarkEnd w:id="72"/>
      <w:bookmarkEnd w:id="73"/>
    </w:p>
    <w:p>
      <w:pPr>
        <w:ind w:firstLine="411" w:firstLineChars="196"/>
        <w:rPr>
          <w:rFonts w:ascii="宋体" w:hAnsi="宋体"/>
          <w:szCs w:val="21"/>
        </w:rPr>
      </w:pPr>
      <w:r>
        <w:rPr>
          <w:rFonts w:hint="eastAsia" w:ascii="宋体" w:hAnsi="宋体"/>
          <w:szCs w:val="21"/>
        </w:rPr>
        <w:t>投标文件报价出现前后不一致的，除专用条款另有规定外，按照下列规定修正：</w:t>
      </w:r>
    </w:p>
    <w:p>
      <w:pPr>
        <w:ind w:firstLine="411" w:firstLineChars="196"/>
        <w:rPr>
          <w:rFonts w:ascii="宋体" w:hAnsi="宋体"/>
          <w:szCs w:val="21"/>
        </w:rPr>
      </w:pPr>
      <w:r>
        <w:rPr>
          <w:rFonts w:hint="eastAsia" w:ascii="宋体" w:hAnsi="宋体"/>
          <w:szCs w:val="21"/>
        </w:rPr>
        <w:t>34.1投标文件中开标一览表投标报价内容与投标文件中投标报价相应内容不一致的，以开标一览表为准；</w:t>
      </w:r>
    </w:p>
    <w:p>
      <w:pPr>
        <w:ind w:firstLine="411" w:firstLineChars="196"/>
        <w:rPr>
          <w:rFonts w:ascii="宋体" w:hAnsi="宋体"/>
          <w:szCs w:val="21"/>
        </w:rPr>
      </w:pPr>
      <w:r>
        <w:rPr>
          <w:rFonts w:hint="eastAsia" w:ascii="宋体" w:hAnsi="宋体"/>
          <w:szCs w:val="21"/>
        </w:rPr>
        <w:t>34.2大写金额和小写金额不一致的，以大写金额为准；</w:t>
      </w:r>
    </w:p>
    <w:p>
      <w:pPr>
        <w:ind w:firstLine="411" w:firstLineChars="196"/>
        <w:rPr>
          <w:rFonts w:ascii="宋体" w:hAnsi="宋体"/>
          <w:szCs w:val="21"/>
        </w:rPr>
      </w:pPr>
      <w:r>
        <w:rPr>
          <w:rFonts w:hint="eastAsia" w:ascii="宋体" w:hAnsi="宋体"/>
          <w:szCs w:val="21"/>
        </w:rPr>
        <w:t>34.3单价金额小数点或者百分比有明显错位，以开标一览表的总价为准，并修改单价；</w:t>
      </w:r>
    </w:p>
    <w:p>
      <w:pPr>
        <w:ind w:firstLine="411" w:firstLineChars="196"/>
        <w:rPr>
          <w:rFonts w:ascii="宋体" w:hAnsi="宋体"/>
          <w:szCs w:val="21"/>
        </w:rPr>
      </w:pPr>
      <w:r>
        <w:rPr>
          <w:rFonts w:hint="eastAsia" w:ascii="宋体" w:hAnsi="宋体"/>
          <w:szCs w:val="21"/>
        </w:rPr>
        <w:t>34.4总价金额与按单价汇总金额不一致的，以单价金额计算结果为准。</w:t>
      </w:r>
    </w:p>
    <w:p>
      <w:pPr>
        <w:ind w:firstLine="411" w:firstLineChars="196"/>
        <w:rPr>
          <w:rFonts w:ascii="宋体" w:hAnsi="宋体"/>
          <w:szCs w:val="21"/>
        </w:rPr>
      </w:pPr>
      <w:r>
        <w:rPr>
          <w:rFonts w:hint="eastAsia" w:ascii="宋体" w:hAnsi="宋体"/>
          <w:szCs w:val="21"/>
        </w:rPr>
        <w:t>34.5同时出现两种以上不一致的，按照前款规定的顺序修正。修正后的报价按照本通用条款33条的规定，经投标人确认后产生约束力，投标人不确认的，其投标无效。</w:t>
      </w:r>
    </w:p>
    <w:p>
      <w:pPr>
        <w:rPr>
          <w:rFonts w:ascii="黑体" w:hAnsi="宋体" w:eastAsia="黑体"/>
          <w:sz w:val="24"/>
        </w:rPr>
      </w:pPr>
      <w:r>
        <w:rPr>
          <w:rFonts w:hint="eastAsia" w:ascii="黑体" w:hAnsi="宋体" w:eastAsia="黑体"/>
          <w:sz w:val="24"/>
        </w:rPr>
        <w:t>35．投标文件的比较与评价</w:t>
      </w:r>
    </w:p>
    <w:p>
      <w:pPr>
        <w:ind w:firstLine="411" w:firstLineChars="196"/>
        <w:rPr>
          <w:rFonts w:ascii="宋体" w:hAnsi="宋体"/>
          <w:szCs w:val="21"/>
        </w:rPr>
      </w:pPr>
      <w:r>
        <w:rPr>
          <w:rFonts w:hint="eastAsia" w:ascii="宋体" w:hAnsi="宋体"/>
          <w:szCs w:val="21"/>
        </w:rPr>
        <w:t>评审委员会将按照《深圳经济特区政府采购条例》、《深圳经济特区政府采购条例实施细则》、《深圳市政府采购评标定标分离管理办法》及政府采购其他法律法规，仅对通过资格性审查和符合性审查的投标文件进行综合比较与评价。</w:t>
      </w:r>
    </w:p>
    <w:p>
      <w:pPr>
        <w:ind w:firstLine="411" w:firstLineChars="196"/>
        <w:rPr>
          <w:rFonts w:ascii="宋体" w:hAnsi="宋体"/>
          <w:szCs w:val="21"/>
        </w:rPr>
      </w:pPr>
      <w:r>
        <w:rPr>
          <w:rFonts w:hint="eastAsia" w:ascii="宋体" w:hAnsi="宋体"/>
          <w:szCs w:val="21"/>
        </w:rPr>
        <w:t>评审委员会成员对需要共同认定的事项存在争议的，应当按照少数服从多数的原则作出结论。持不同意见的评审委员会成员应当书面作出说明，否则视为无异议。</w:t>
      </w:r>
    </w:p>
    <w:p>
      <w:pPr>
        <w:rPr>
          <w:rFonts w:ascii="黑体" w:hAnsi="宋体" w:eastAsia="黑体"/>
          <w:sz w:val="24"/>
        </w:rPr>
      </w:pPr>
      <w:r>
        <w:rPr>
          <w:rFonts w:hint="eastAsia" w:ascii="黑体" w:hAnsi="宋体" w:eastAsia="黑体"/>
          <w:sz w:val="24"/>
        </w:rPr>
        <w:t>36. 实地考察或资料查验</w:t>
      </w:r>
    </w:p>
    <w:p>
      <w:pPr>
        <w:ind w:firstLine="411" w:firstLineChars="196"/>
        <w:rPr>
          <w:rFonts w:ascii="宋体" w:hAnsi="宋体"/>
          <w:szCs w:val="21"/>
        </w:rPr>
      </w:pPr>
      <w:r>
        <w:rPr>
          <w:rFonts w:hint="eastAsia" w:ascii="宋体" w:hAnsi="宋体"/>
          <w:szCs w:val="21"/>
        </w:rPr>
        <w:t>36.1在评审过程中，评审委员会有权决定是否对本项目投标人进行实地考察或资料查验（原件）。投标人应随时做好接受实地考察或资料查验的准备。</w:t>
      </w:r>
    </w:p>
    <w:p>
      <w:pPr>
        <w:rPr>
          <w:rFonts w:ascii="黑体" w:hAnsi="宋体" w:eastAsia="黑体"/>
          <w:sz w:val="24"/>
        </w:rPr>
      </w:pPr>
      <w:r>
        <w:rPr>
          <w:rFonts w:hint="eastAsia" w:ascii="黑体" w:hAnsi="宋体" w:eastAsia="黑体"/>
          <w:sz w:val="24"/>
        </w:rPr>
        <w:t>37．评审方法</w:t>
      </w:r>
    </w:p>
    <w:p>
      <w:pPr>
        <w:ind w:firstLine="413" w:firstLineChars="196"/>
        <w:rPr>
          <w:rFonts w:ascii="宋体" w:hAnsi="宋体"/>
          <w:b/>
          <w:bCs/>
          <w:szCs w:val="21"/>
        </w:rPr>
      </w:pPr>
      <w:r>
        <w:rPr>
          <w:rFonts w:hint="eastAsia" w:ascii="宋体" w:hAnsi="宋体"/>
          <w:b/>
          <w:bCs/>
          <w:szCs w:val="21"/>
        </w:rPr>
        <w:t>37.1.1最低价法</w:t>
      </w:r>
    </w:p>
    <w:p>
      <w:pPr>
        <w:ind w:firstLine="411" w:firstLineChars="196"/>
        <w:rPr>
          <w:rFonts w:ascii="ˎ̥" w:hAnsi="ˎ̥"/>
        </w:rPr>
      </w:pPr>
      <w:bookmarkStart w:id="74" w:name="_Hlk72438142"/>
      <w:r>
        <w:rPr>
          <w:rFonts w:ascii="ˎ̥" w:hAnsi="ˎ̥"/>
        </w:rPr>
        <w:t>最低价法，是指</w:t>
      </w:r>
      <w:r>
        <w:rPr>
          <w:rFonts w:hint="eastAsia" w:ascii="ˎ̥" w:hAnsi="ˎ̥"/>
        </w:rPr>
        <w:t>完全</w:t>
      </w:r>
      <w:r>
        <w:rPr>
          <w:rFonts w:ascii="ˎ̥" w:hAnsi="ˎ̥"/>
        </w:rPr>
        <w:t>满足招标文件实质性要求，</w:t>
      </w:r>
      <w:r>
        <w:rPr>
          <w:rFonts w:hint="eastAsia" w:ascii="ˎ̥" w:hAnsi="ˎ̥"/>
        </w:rPr>
        <w:t>按照报价由低到高的顺序，依据招标文件中规定的数量或者比例推荐候选中标供应商。</w:t>
      </w:r>
    </w:p>
    <w:p>
      <w:pPr>
        <w:ind w:firstLine="413" w:firstLineChars="196"/>
        <w:rPr>
          <w:rFonts w:ascii="宋体" w:hAnsi="宋体"/>
          <w:b/>
          <w:bCs/>
          <w:szCs w:val="21"/>
        </w:rPr>
      </w:pPr>
      <w:r>
        <w:rPr>
          <w:rFonts w:hint="eastAsia" w:ascii="宋体" w:hAnsi="宋体"/>
          <w:b/>
          <w:bCs/>
          <w:szCs w:val="21"/>
        </w:rPr>
        <w:t>37.1.2综合评分法</w:t>
      </w:r>
    </w:p>
    <w:p>
      <w:pPr>
        <w:ind w:firstLine="411" w:firstLineChars="196"/>
        <w:rPr>
          <w:rFonts w:ascii="ˎ̥" w:hAnsi="ˎ̥"/>
        </w:rPr>
      </w:pPr>
      <w:r>
        <w:rPr>
          <w:rFonts w:ascii="ˎ̥" w:hAnsi="ˎ̥"/>
        </w:rPr>
        <w:t>综合评分法，是指</w:t>
      </w:r>
      <w:r>
        <w:rPr>
          <w:rFonts w:hint="eastAsia" w:ascii="ˎ̥" w:hAnsi="ˎ̥"/>
        </w:rPr>
        <w:t>在</w:t>
      </w:r>
      <w:r>
        <w:rPr>
          <w:rFonts w:ascii="ˎ̥" w:hAnsi="ˎ̥"/>
        </w:rPr>
        <w:t>满足招标文件全部实质性要求</w:t>
      </w:r>
      <w:r>
        <w:rPr>
          <w:rFonts w:hint="eastAsia" w:ascii="ˎ̥" w:hAnsi="ˎ̥"/>
        </w:rPr>
        <w:t>的前提下</w:t>
      </w:r>
      <w:r>
        <w:rPr>
          <w:rFonts w:ascii="ˎ̥" w:hAnsi="ˎ̥"/>
        </w:rPr>
        <w:t>，</w:t>
      </w:r>
      <w:r>
        <w:rPr>
          <w:rFonts w:hint="eastAsia" w:ascii="ˎ̥" w:hAnsi="ˎ̥"/>
        </w:rPr>
        <w:t>按照招标文件中规定的各项因素进行综合评审，评审总得分排名前列的投标人，作为推荐的候选中标供应商。</w:t>
      </w:r>
      <w:bookmarkEnd w:id="74"/>
      <w:r>
        <w:rPr>
          <w:rFonts w:hint="eastAsia" w:ascii="宋体" w:hAnsi="宋体"/>
          <w:bCs/>
          <w:color w:val="FF0000"/>
          <w:szCs w:val="21"/>
        </w:rPr>
        <w:t xml:space="preserve">  </w:t>
      </w:r>
      <w:r>
        <w:rPr>
          <w:rFonts w:hint="eastAsia" w:ascii="宋体" w:hAnsi="宋体"/>
          <w:bCs/>
          <w:szCs w:val="21"/>
        </w:rPr>
        <w:t xml:space="preserve">                                                                                                                                                                                                                                                                                                                                                                                                                                                                                                                                                                                                                                                                                                                                                                                                                                                                                                                                                                                                                                                                                                                                                                                                                                                                                                                                                                                                                                                                                                                                                                                                                                                                                                                                                                                                                                                                                                                                                                                                                                                                                                                                                                                                                                                                                                                                                                                                                                                                                                                                                                                                                                                                                                                                                                                                                                                                                                                                                                                                                           </w:t>
      </w:r>
    </w:p>
    <w:p>
      <w:pPr>
        <w:ind w:firstLine="413" w:firstLineChars="196"/>
        <w:rPr>
          <w:rFonts w:ascii="宋体" w:hAnsi="宋体"/>
          <w:b/>
          <w:bCs/>
          <w:szCs w:val="21"/>
        </w:rPr>
      </w:pPr>
      <w:r>
        <w:rPr>
          <w:rFonts w:hint="eastAsia" w:ascii="宋体" w:hAnsi="宋体"/>
          <w:b/>
          <w:bCs/>
          <w:szCs w:val="21"/>
        </w:rPr>
        <w:t>37.2 本项目采用的评审方法见本项目招标文件第一册“专用条款”的相关内容。</w:t>
      </w:r>
    </w:p>
    <w:p>
      <w:pPr>
        <w:ind w:firstLine="413" w:firstLineChars="196"/>
        <w:rPr>
          <w:rFonts w:ascii="宋体" w:hAnsi="宋体"/>
          <w:b/>
          <w:bCs/>
          <w:szCs w:val="21"/>
        </w:rPr>
      </w:pPr>
      <w:r>
        <w:rPr>
          <w:rFonts w:hint="eastAsia" w:ascii="宋体" w:hAnsi="宋体"/>
          <w:b/>
          <w:bCs/>
          <w:szCs w:val="21"/>
        </w:rPr>
        <w:t>37.3重新评审的情形</w:t>
      </w:r>
    </w:p>
    <w:p>
      <w:pPr>
        <w:ind w:firstLine="411" w:firstLineChars="196"/>
        <w:rPr>
          <w:rFonts w:ascii="宋体" w:hAnsi="宋体"/>
          <w:b/>
          <w:bCs/>
          <w:szCs w:val="21"/>
        </w:rPr>
      </w:pPr>
      <w:r>
        <w:rPr>
          <w:rFonts w:hint="eastAsia" w:ascii="宋体" w:hAnsi="宋体" w:cs="宋体"/>
          <w:kern w:val="0"/>
          <w:szCs w:val="21"/>
        </w:rPr>
        <w:t>评审结果汇总完成后，除下列情形外，任何人不得修改评审结果：</w:t>
      </w:r>
    </w:p>
    <w:p>
      <w:pPr>
        <w:ind w:firstLine="411" w:firstLineChars="196"/>
        <w:rPr>
          <w:rFonts w:ascii="宋体" w:hAnsi="宋体" w:cs="宋体"/>
          <w:kern w:val="0"/>
          <w:szCs w:val="21"/>
        </w:rPr>
      </w:pPr>
      <w:r>
        <w:rPr>
          <w:rFonts w:hint="eastAsia" w:ascii="宋体" w:hAnsi="宋体" w:cs="宋体"/>
          <w:kern w:val="0"/>
          <w:szCs w:val="21"/>
        </w:rPr>
        <w:t>37.3.1分值汇总计算错误的；</w:t>
      </w:r>
    </w:p>
    <w:p>
      <w:pPr>
        <w:ind w:firstLine="411" w:firstLineChars="196"/>
        <w:rPr>
          <w:rFonts w:ascii="宋体" w:hAnsi="宋体" w:cs="宋体"/>
          <w:kern w:val="0"/>
          <w:szCs w:val="21"/>
        </w:rPr>
      </w:pPr>
      <w:r>
        <w:rPr>
          <w:rFonts w:hint="eastAsia" w:ascii="宋体" w:hAnsi="宋体" w:cs="宋体"/>
          <w:kern w:val="0"/>
          <w:szCs w:val="21"/>
        </w:rPr>
        <w:t>37.3.2分项评分超出评分标准范围的；</w:t>
      </w:r>
    </w:p>
    <w:p>
      <w:pPr>
        <w:ind w:firstLine="411" w:firstLineChars="196"/>
        <w:rPr>
          <w:rFonts w:ascii="宋体" w:hAnsi="宋体" w:cs="宋体"/>
          <w:kern w:val="0"/>
          <w:szCs w:val="21"/>
        </w:rPr>
      </w:pPr>
      <w:r>
        <w:rPr>
          <w:rFonts w:hint="eastAsia" w:ascii="宋体" w:hAnsi="宋体" w:cs="宋体"/>
          <w:kern w:val="0"/>
          <w:szCs w:val="21"/>
        </w:rPr>
        <w:t>37.3.3评审委员会成员对客观评审因素评分不一致的；</w:t>
      </w:r>
    </w:p>
    <w:p>
      <w:pPr>
        <w:ind w:firstLine="411" w:firstLineChars="196"/>
        <w:rPr>
          <w:rFonts w:ascii="宋体" w:hAnsi="宋体" w:cs="宋体"/>
          <w:kern w:val="0"/>
          <w:szCs w:val="21"/>
        </w:rPr>
      </w:pPr>
      <w:r>
        <w:rPr>
          <w:rFonts w:hint="eastAsia" w:ascii="宋体" w:hAnsi="宋体" w:cs="宋体"/>
          <w:kern w:val="0"/>
          <w:szCs w:val="21"/>
        </w:rPr>
        <w:t>37.3.4经评审委员会认定评分畸高、畸低的。</w:t>
      </w:r>
    </w:p>
    <w:p>
      <w:pPr>
        <w:ind w:firstLine="411" w:firstLineChars="196"/>
        <w:rPr>
          <w:rFonts w:ascii="宋体" w:hAnsi="宋体" w:cs="宋体"/>
          <w:kern w:val="0"/>
          <w:szCs w:val="21"/>
        </w:rPr>
      </w:pPr>
      <w:r>
        <w:rPr>
          <w:rFonts w:hint="eastAsia" w:ascii="宋体" w:hAnsi="宋体" w:cs="宋体"/>
          <w:kern w:val="0"/>
          <w:szCs w:val="21"/>
        </w:rPr>
        <w:t>评审报告签署前，经复核发现存在以上情形之一的，评审委员会应当当场修改评审结果，并进行书面记载；评审报告签署后，采购人或者采购代理机构发现存在以上情形之一的，应当组织原评审委员会进行重新评审，重新评审改变评审结果的，书面报告本级财政部门。</w:t>
      </w:r>
    </w:p>
    <w:p>
      <w:pPr>
        <w:ind w:firstLine="411" w:firstLineChars="196"/>
        <w:rPr>
          <w:rFonts w:ascii="宋体" w:hAnsi="宋体" w:cs="宋体"/>
          <w:kern w:val="0"/>
          <w:szCs w:val="21"/>
        </w:rPr>
      </w:pPr>
      <w:r>
        <w:rPr>
          <w:rFonts w:hint="eastAsia" w:ascii="宋体" w:hAnsi="宋体" w:cs="宋体"/>
          <w:kern w:val="0"/>
          <w:szCs w:val="21"/>
        </w:rPr>
        <w:t>投标人对本条第一款情形提出质疑的，采购人或者采购代理机构可以组织原评审委员会进行重新评审，重新评审改变评审结果的，应当书面报告本级财政部门。</w:t>
      </w:r>
    </w:p>
    <w:p>
      <w:pPr>
        <w:ind w:firstLine="413" w:firstLineChars="196"/>
        <w:rPr>
          <w:rFonts w:ascii="宋体" w:hAnsi="宋体"/>
          <w:b/>
          <w:bCs/>
          <w:szCs w:val="21"/>
        </w:rPr>
      </w:pPr>
      <w:r>
        <w:rPr>
          <w:rFonts w:hint="eastAsia" w:ascii="宋体" w:hAnsi="宋体"/>
          <w:b/>
          <w:bCs/>
          <w:szCs w:val="21"/>
        </w:rPr>
        <w:t xml:space="preserve"> 37.4重新组建评审委员会的情形</w:t>
      </w:r>
    </w:p>
    <w:p>
      <w:pPr>
        <w:ind w:firstLine="411" w:firstLineChars="196"/>
        <w:rPr>
          <w:rFonts w:ascii="宋体" w:hAnsi="宋体" w:cs="宋体"/>
          <w:kern w:val="0"/>
          <w:szCs w:val="21"/>
        </w:rPr>
      </w:pPr>
      <w:r>
        <w:rPr>
          <w:rFonts w:hint="eastAsia" w:ascii="宋体" w:hAnsi="宋体" w:cs="宋体"/>
          <w:kern w:val="0"/>
          <w:szCs w:val="21"/>
        </w:rPr>
        <w:t>评审委员会或者其成员存在下列情形导致评审结果无效的，重新组建评审委员会进行评标，并书面报告本级财政部门：</w:t>
      </w:r>
    </w:p>
    <w:p>
      <w:pPr>
        <w:ind w:firstLine="411" w:firstLineChars="196"/>
        <w:rPr>
          <w:rFonts w:ascii="宋体" w:hAnsi="宋体" w:cs="宋体"/>
          <w:kern w:val="0"/>
          <w:szCs w:val="21"/>
        </w:rPr>
      </w:pPr>
      <w:r>
        <w:rPr>
          <w:rFonts w:hint="eastAsia" w:ascii="宋体" w:hAnsi="宋体" w:cs="宋体"/>
          <w:kern w:val="0"/>
          <w:szCs w:val="21"/>
        </w:rPr>
        <w:t>37.4.1评审委员会组成不符合《政府采购货物和服务招标投标管理办法》规定的；</w:t>
      </w:r>
    </w:p>
    <w:p>
      <w:pPr>
        <w:ind w:firstLine="411" w:firstLineChars="196"/>
        <w:rPr>
          <w:rFonts w:ascii="宋体" w:hAnsi="宋体" w:cs="宋体"/>
          <w:kern w:val="0"/>
          <w:szCs w:val="21"/>
        </w:rPr>
      </w:pPr>
      <w:r>
        <w:rPr>
          <w:rFonts w:hint="eastAsia" w:ascii="宋体" w:hAnsi="宋体" w:cs="宋体"/>
          <w:kern w:val="0"/>
          <w:szCs w:val="21"/>
        </w:rPr>
        <w:t>37.4.2有《政府采购货物和服务招标投标管理办法》第六十二条第一至五项情形的；</w:t>
      </w:r>
    </w:p>
    <w:p>
      <w:pPr>
        <w:ind w:firstLine="411" w:firstLineChars="196"/>
        <w:rPr>
          <w:rFonts w:ascii="宋体" w:hAnsi="宋体" w:cs="宋体"/>
          <w:kern w:val="0"/>
          <w:szCs w:val="21"/>
        </w:rPr>
      </w:pPr>
      <w:r>
        <w:rPr>
          <w:rFonts w:hint="eastAsia" w:ascii="宋体" w:hAnsi="宋体" w:cs="宋体"/>
          <w:kern w:val="0"/>
          <w:szCs w:val="21"/>
        </w:rPr>
        <w:t>37.4.3评审委员会及其成员独立评标受到非法干预的；</w:t>
      </w:r>
    </w:p>
    <w:p>
      <w:pPr>
        <w:ind w:firstLine="411" w:firstLineChars="196"/>
        <w:rPr>
          <w:rFonts w:ascii="宋体" w:hAnsi="宋体" w:cs="宋体"/>
          <w:kern w:val="0"/>
          <w:szCs w:val="21"/>
        </w:rPr>
      </w:pPr>
      <w:r>
        <w:rPr>
          <w:rFonts w:hint="eastAsia" w:ascii="宋体" w:hAnsi="宋体" w:cs="宋体"/>
          <w:kern w:val="0"/>
          <w:szCs w:val="21"/>
        </w:rPr>
        <w:t>37.4.4有政府采购法实施条例第七十五条规定的违法行为的。</w:t>
      </w:r>
    </w:p>
    <w:p>
      <w:pPr>
        <w:ind w:firstLine="411" w:firstLineChars="196"/>
        <w:rPr>
          <w:rFonts w:ascii="宋体" w:hAnsi="宋体" w:cs="宋体"/>
          <w:kern w:val="0"/>
          <w:szCs w:val="21"/>
        </w:rPr>
      </w:pPr>
      <w:r>
        <w:rPr>
          <w:rFonts w:hint="eastAsia" w:ascii="宋体" w:hAnsi="宋体" w:cs="宋体"/>
          <w:kern w:val="0"/>
          <w:szCs w:val="21"/>
        </w:rPr>
        <w:t>有违法违规行为的原评审委员会成员不得参加重新组建的评审委员会。</w:t>
      </w:r>
    </w:p>
    <w:p>
      <w:pPr>
        <w:ind w:firstLine="411" w:firstLineChars="196"/>
        <w:rPr>
          <w:rFonts w:ascii="宋体" w:hAnsi="宋体"/>
          <w:szCs w:val="21"/>
        </w:rPr>
      </w:pPr>
    </w:p>
    <w:p>
      <w:pPr>
        <w:pStyle w:val="5"/>
        <w:numPr>
          <w:ilvl w:val="0"/>
          <w:numId w:val="17"/>
        </w:numPr>
        <w:spacing w:beforeLines="50" w:afterLines="50"/>
        <w:ind w:left="562" w:hanging="562"/>
        <w:rPr>
          <w:sz w:val="28"/>
          <w:szCs w:val="28"/>
        </w:rPr>
      </w:pPr>
      <w:r>
        <w:rPr>
          <w:rFonts w:hint="eastAsia"/>
          <w:sz w:val="28"/>
          <w:szCs w:val="28"/>
        </w:rPr>
        <w:t>定标及公示</w:t>
      </w:r>
    </w:p>
    <w:p>
      <w:pPr>
        <w:rPr>
          <w:rFonts w:ascii="黑体" w:hAnsi="宋体" w:eastAsia="黑体"/>
          <w:sz w:val="24"/>
        </w:rPr>
      </w:pPr>
      <w:r>
        <w:rPr>
          <w:rFonts w:hint="eastAsia" w:ascii="黑体" w:hAnsi="宋体" w:eastAsia="黑体"/>
          <w:sz w:val="24"/>
        </w:rPr>
        <w:t>38．定标方法</w:t>
      </w:r>
    </w:p>
    <w:p>
      <w:pPr>
        <w:ind w:firstLine="411" w:firstLineChars="196"/>
        <w:rPr>
          <w:rFonts w:ascii="宋体" w:hAnsi="宋体"/>
          <w:szCs w:val="21"/>
        </w:rPr>
      </w:pPr>
      <w:r>
        <w:rPr>
          <w:rFonts w:hint="eastAsia" w:ascii="宋体" w:hAnsi="宋体"/>
          <w:szCs w:val="21"/>
        </w:rPr>
        <w:t>38.1非评定分离项目定标方法</w:t>
      </w:r>
    </w:p>
    <w:p>
      <w:pPr>
        <w:ind w:firstLine="411" w:firstLineChars="196"/>
        <w:rPr>
          <w:rFonts w:ascii="宋体" w:hAnsi="宋体"/>
          <w:szCs w:val="21"/>
        </w:rPr>
      </w:pPr>
      <w:r>
        <w:rPr>
          <w:rFonts w:hint="eastAsia" w:ascii="宋体" w:hAnsi="宋体"/>
          <w:szCs w:val="21"/>
        </w:rPr>
        <w:t>38</w:t>
      </w:r>
      <w:r>
        <w:rPr>
          <w:rFonts w:ascii="宋体" w:hAnsi="宋体"/>
          <w:szCs w:val="21"/>
        </w:rPr>
        <w:t>.</w:t>
      </w:r>
      <w:r>
        <w:rPr>
          <w:rFonts w:hint="eastAsia" w:ascii="宋体" w:hAnsi="宋体"/>
          <w:szCs w:val="21"/>
        </w:rPr>
        <w:t>1.1评审委员会依据本项目招标文件所约定的评审方法进行评审和比较，向政府集中采购机构提交书面评审报告，并根据评审方法比较评价结果从优到劣进行排序，确定候选中标供应商。</w:t>
      </w:r>
    </w:p>
    <w:p>
      <w:pPr>
        <w:ind w:firstLine="411" w:firstLineChars="196"/>
        <w:rPr>
          <w:rFonts w:ascii="ˎ̥" w:hAnsi="ˎ̥"/>
        </w:rPr>
      </w:pPr>
      <w:r>
        <w:rPr>
          <w:rFonts w:hint="eastAsia" w:ascii="宋体" w:hAnsi="宋体"/>
          <w:szCs w:val="21"/>
        </w:rPr>
        <w:t>38</w:t>
      </w:r>
      <w:r>
        <w:rPr>
          <w:rFonts w:ascii="宋体" w:hAnsi="宋体"/>
          <w:szCs w:val="21"/>
        </w:rPr>
        <w:t>.</w:t>
      </w:r>
      <w:r>
        <w:rPr>
          <w:rFonts w:hint="eastAsia" w:ascii="宋体" w:hAnsi="宋体"/>
          <w:szCs w:val="21"/>
        </w:rPr>
        <w:t>1.2</w:t>
      </w:r>
      <w:r>
        <w:rPr>
          <w:rFonts w:ascii="ˎ̥" w:hAnsi="ˎ̥"/>
        </w:rPr>
        <w:t>采用最低价法的，评</w:t>
      </w:r>
      <w:r>
        <w:rPr>
          <w:rFonts w:hint="eastAsia" w:ascii="ˎ̥" w:hAnsi="ˎ̥"/>
        </w:rPr>
        <w:t>审</w:t>
      </w:r>
      <w:r>
        <w:rPr>
          <w:rFonts w:ascii="ˎ̥" w:hAnsi="ˎ̥"/>
        </w:rPr>
        <w:t>结果按投标报价由低到高顺序排列。投标报价相同的并列。投标文件满足招标文件全部实质性要求且投标报价最低的</w:t>
      </w:r>
      <w:r>
        <w:rPr>
          <w:rFonts w:hint="eastAsia" w:ascii="ˎ̥" w:hAnsi="ˎ̥"/>
        </w:rPr>
        <w:t>投标人为中标供应商</w:t>
      </w:r>
      <w:r>
        <w:rPr>
          <w:rFonts w:ascii="ˎ̥" w:hAnsi="ˎ̥"/>
        </w:rPr>
        <w:t>（</w:t>
      </w:r>
      <w:r>
        <w:rPr>
          <w:rFonts w:hint="eastAsia" w:ascii="ˎ̥" w:hAnsi="ˎ̥"/>
        </w:rPr>
        <w:t>排名</w:t>
      </w:r>
      <w:r>
        <w:rPr>
          <w:rFonts w:ascii="ˎ̥" w:hAnsi="ˎ̥"/>
        </w:rPr>
        <w:t>第二</w:t>
      </w:r>
      <w:r>
        <w:rPr>
          <w:rFonts w:hint="eastAsia" w:ascii="ˎ̥" w:hAnsi="ˎ̥"/>
        </w:rPr>
        <w:t>的投标人为第一替补中标候选人、排名</w:t>
      </w:r>
      <w:r>
        <w:rPr>
          <w:rFonts w:ascii="ˎ̥" w:hAnsi="ˎ̥"/>
        </w:rPr>
        <w:t>第</w:t>
      </w:r>
      <w:r>
        <w:rPr>
          <w:rFonts w:hint="eastAsia" w:ascii="ˎ̥" w:hAnsi="ˎ̥"/>
        </w:rPr>
        <w:t>三的投标人为第二替补中标候选人</w:t>
      </w:r>
      <w:r>
        <w:rPr>
          <w:rFonts w:ascii="ˎ̥" w:hAnsi="ˎ̥"/>
        </w:rPr>
        <w:t>）。</w:t>
      </w:r>
    </w:p>
    <w:p>
      <w:pPr>
        <w:ind w:firstLine="411" w:firstLineChars="196"/>
        <w:rPr>
          <w:rFonts w:ascii="ˎ̥" w:hAnsi="ˎ̥"/>
        </w:rPr>
      </w:pPr>
      <w:r>
        <w:rPr>
          <w:rFonts w:hint="eastAsia" w:ascii="宋体" w:hAnsi="宋体"/>
          <w:szCs w:val="21"/>
        </w:rPr>
        <w:t>38</w:t>
      </w:r>
      <w:r>
        <w:rPr>
          <w:rFonts w:ascii="宋体" w:hAnsi="宋体"/>
          <w:szCs w:val="21"/>
        </w:rPr>
        <w:t>.</w:t>
      </w:r>
      <w:r>
        <w:rPr>
          <w:rFonts w:hint="eastAsia" w:ascii="宋体" w:hAnsi="宋体"/>
          <w:szCs w:val="21"/>
        </w:rPr>
        <w:t>1.3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w:t>
      </w:r>
      <w:r>
        <w:rPr>
          <w:rFonts w:hint="eastAsia" w:ascii="ˎ̥" w:hAnsi="ˎ̥"/>
        </w:rPr>
        <w:t>为中标供应商</w:t>
      </w:r>
      <w:r>
        <w:rPr>
          <w:rFonts w:ascii="ˎ̥" w:hAnsi="ˎ̥"/>
        </w:rPr>
        <w:t>（</w:t>
      </w:r>
      <w:r>
        <w:rPr>
          <w:rFonts w:hint="eastAsia" w:ascii="ˎ̥" w:hAnsi="ˎ̥"/>
        </w:rPr>
        <w:t>排名</w:t>
      </w:r>
      <w:r>
        <w:rPr>
          <w:rFonts w:ascii="ˎ̥" w:hAnsi="ˎ̥"/>
        </w:rPr>
        <w:t>第二</w:t>
      </w:r>
      <w:r>
        <w:rPr>
          <w:rFonts w:hint="eastAsia" w:ascii="ˎ̥" w:hAnsi="ˎ̥"/>
        </w:rPr>
        <w:t>的投标人为第一替补中标候选人、排名</w:t>
      </w:r>
      <w:r>
        <w:rPr>
          <w:rFonts w:ascii="ˎ̥" w:hAnsi="ˎ̥"/>
        </w:rPr>
        <w:t>第</w:t>
      </w:r>
      <w:r>
        <w:rPr>
          <w:rFonts w:hint="eastAsia" w:ascii="ˎ̥" w:hAnsi="ˎ̥"/>
        </w:rPr>
        <w:t>三的投标人为第二替补中标候选人</w:t>
      </w:r>
      <w:r>
        <w:rPr>
          <w:rFonts w:ascii="ˎ̥" w:hAnsi="ˎ̥"/>
        </w:rPr>
        <w:t>）。</w:t>
      </w:r>
      <w:r>
        <w:rPr>
          <w:rFonts w:hint="eastAsia" w:ascii="ˎ̥" w:hAnsi="ˎ̥"/>
        </w:rPr>
        <w:t>出现</w:t>
      </w:r>
      <w:r>
        <w:rPr>
          <w:rFonts w:ascii="ˎ̥" w:hAnsi="ˎ̥"/>
        </w:rPr>
        <w:t>得分且投标报价相同的并列</w:t>
      </w:r>
      <w:r>
        <w:rPr>
          <w:rFonts w:hint="eastAsia" w:ascii="ˎ̥" w:hAnsi="ˎ̥"/>
        </w:rPr>
        <w:t>情况时，采取随机抽取的方式确定，具体操作办法及流程由评审委员会确定。</w:t>
      </w:r>
    </w:p>
    <w:p>
      <w:pPr>
        <w:ind w:firstLine="411" w:firstLineChars="196"/>
        <w:rPr>
          <w:rFonts w:ascii="宋体" w:hAnsi="宋体"/>
          <w:szCs w:val="21"/>
        </w:rPr>
      </w:pPr>
      <w:r>
        <w:rPr>
          <w:rFonts w:hint="eastAsia" w:ascii="宋体" w:hAnsi="宋体"/>
          <w:szCs w:val="21"/>
        </w:rPr>
        <w:t>38.2评定分离项目定标方法</w:t>
      </w:r>
    </w:p>
    <w:p>
      <w:pPr>
        <w:ind w:firstLine="411" w:firstLineChars="196"/>
        <w:rPr>
          <w:rFonts w:ascii="宋体" w:hAnsi="宋体"/>
          <w:szCs w:val="21"/>
        </w:rPr>
      </w:pPr>
      <w:r>
        <w:rPr>
          <w:rFonts w:hint="eastAsia" w:ascii="宋体" w:hAnsi="宋体"/>
          <w:szCs w:val="21"/>
        </w:rPr>
        <w:t>38.2.1评定分离是指在政府集中采购程序中，以公开招标方式执行采购，评审委员会负责对投标文件进行评审、推荐候选中标供应商并出具书面评审报告，由采购人根据评审委员会出具的评审报告从推荐的候选中标供应商中确定中标供应商。单个项目需要确定多家中标供应商的，不适用评定分离。</w:t>
      </w:r>
    </w:p>
    <w:p>
      <w:pPr>
        <w:ind w:firstLine="411" w:firstLineChars="196"/>
      </w:pPr>
      <w:r>
        <w:rPr>
          <w:rFonts w:ascii="宋体" w:hAnsi="宋体"/>
          <w:szCs w:val="21"/>
        </w:rPr>
        <w:t xml:space="preserve">38.2.2 </w:t>
      </w:r>
      <w:bookmarkStart w:id="75" w:name="_Hlk71469733"/>
      <w:r>
        <w:t>适用评定分离的政府采购项目，采用综合评分法评</w:t>
      </w:r>
      <w:r>
        <w:rPr>
          <w:rFonts w:hint="eastAsia"/>
        </w:rPr>
        <w:t>审。</w:t>
      </w:r>
      <w:r>
        <w:rPr>
          <w:rFonts w:hint="eastAsia" w:ascii="宋体" w:hAnsi="宋体"/>
          <w:szCs w:val="21"/>
        </w:rPr>
        <w:t>评审委员会按照评审结果，推荐</w:t>
      </w:r>
      <w:r>
        <w:t>三个合格的候选中标供应商。</w:t>
      </w:r>
    </w:p>
    <w:p>
      <w:pPr>
        <w:ind w:firstLine="411" w:firstLineChars="196"/>
        <w:rPr>
          <w:rFonts w:ascii="宋体" w:hAnsi="宋体"/>
          <w:szCs w:val="21"/>
        </w:rPr>
      </w:pPr>
      <w:r>
        <w:rPr>
          <w:rFonts w:hint="eastAsia" w:ascii="宋体" w:hAnsi="宋体"/>
          <w:szCs w:val="21"/>
        </w:rPr>
        <w:t>38.2.3</w:t>
      </w:r>
      <w:bookmarkStart w:id="76" w:name="_Hlk71469688"/>
      <w:r>
        <w:t>适用评定分离的政府采购项目，</w:t>
      </w:r>
      <w:r>
        <w:rPr>
          <w:rFonts w:hint="eastAsia" w:ascii="宋体" w:hAnsi="宋体"/>
          <w:szCs w:val="21"/>
        </w:rPr>
        <w:t>按照自定法确定中标供应商：自定法是指采购人组织定标委员会，由定标委员会在三家候选中标供应商中确定中标供应商。</w:t>
      </w:r>
      <w:bookmarkEnd w:id="75"/>
      <w:bookmarkEnd w:id="76"/>
    </w:p>
    <w:p>
      <w:pPr>
        <w:ind w:firstLine="411" w:firstLineChars="196"/>
        <w:rPr>
          <w:rFonts w:ascii="宋体" w:hAnsi="宋体"/>
          <w:szCs w:val="21"/>
        </w:rPr>
      </w:pPr>
      <w:r>
        <w:rPr>
          <w:rFonts w:ascii="宋体" w:hAnsi="宋体"/>
          <w:szCs w:val="21"/>
        </w:rPr>
        <w:t>38.2.4</w:t>
      </w:r>
      <w:r>
        <w:rPr>
          <w:rFonts w:hint="eastAsia" w:ascii="宋体" w:hAnsi="宋体"/>
          <w:szCs w:val="21"/>
        </w:rPr>
        <w:t>政府集中采购机构</w:t>
      </w:r>
      <w:r>
        <w:t>应当自评审结束之日起两个工作日内将候选中标供应商名单及其投标文件、评审报告送交采购人</w:t>
      </w:r>
      <w:r>
        <w:rPr>
          <w:rFonts w:hint="eastAsia" w:ascii="宋体" w:hAnsi="宋体"/>
          <w:szCs w:val="21"/>
        </w:rPr>
        <w:t>。</w:t>
      </w:r>
      <w:r>
        <w:t>采购人应当安排专人对定标过程进行书面记录，形成定标报告，作为采购文件的组成部分存档，并及时将定标结果反馈</w:t>
      </w:r>
      <w:r>
        <w:rPr>
          <w:rFonts w:hint="eastAsia"/>
        </w:rPr>
        <w:t>政府集中采购机构。具体定标程序及相关要求以按照《</w:t>
      </w:r>
      <w:r>
        <w:t>深圳市财政局关于印发</w:t>
      </w:r>
      <w:r>
        <w:rPr>
          <w:rFonts w:hint="eastAsia" w:ascii="宋体" w:hAnsi="宋体"/>
        </w:rPr>
        <w:t>〈</w:t>
      </w:r>
      <w:r>
        <w:t>深圳市政府采购评标定标分离管理办法</w:t>
      </w:r>
      <w:r>
        <w:rPr>
          <w:rFonts w:hint="eastAsia" w:ascii="宋体" w:hAnsi="宋体"/>
        </w:rPr>
        <w:t>〉</w:t>
      </w:r>
      <w:r>
        <w:t>的通知</w:t>
      </w:r>
      <w:r>
        <w:rPr>
          <w:rFonts w:hint="eastAsia"/>
        </w:rPr>
        <w:t>》（深财规【2</w:t>
      </w:r>
      <w:r>
        <w:t>020</w:t>
      </w:r>
      <w:r>
        <w:rPr>
          <w:rFonts w:hint="eastAsia"/>
        </w:rPr>
        <w:t>】1号）执行。</w:t>
      </w:r>
    </w:p>
    <w:p>
      <w:pPr>
        <w:ind w:firstLine="411" w:firstLineChars="196"/>
        <w:rPr>
          <w:rFonts w:ascii="宋体" w:hAnsi="宋体"/>
          <w:szCs w:val="21"/>
        </w:rPr>
      </w:pPr>
      <w:r>
        <w:rPr>
          <w:rFonts w:hint="eastAsia" w:ascii="宋体" w:hAnsi="宋体"/>
          <w:szCs w:val="21"/>
        </w:rPr>
        <w:t>说明：采购人及投标供应商应按照上述方法提前做好相关准备。</w:t>
      </w:r>
    </w:p>
    <w:p>
      <w:pPr>
        <w:ind w:firstLine="411" w:firstLineChars="196"/>
        <w:rPr>
          <w:rFonts w:ascii="宋体" w:hAnsi="宋体"/>
          <w:szCs w:val="21"/>
        </w:rPr>
      </w:pPr>
      <w:r>
        <w:rPr>
          <w:rFonts w:hint="eastAsia" w:ascii="宋体" w:hAnsi="宋体"/>
          <w:szCs w:val="21"/>
        </w:rPr>
        <w:t>38.3专用条款另有规定的，按专用条款相关要求定标。</w:t>
      </w:r>
    </w:p>
    <w:p>
      <w:pPr>
        <w:rPr>
          <w:rFonts w:ascii="黑体" w:hAnsi="宋体" w:eastAsia="黑体"/>
          <w:sz w:val="24"/>
        </w:rPr>
      </w:pPr>
      <w:r>
        <w:rPr>
          <w:rFonts w:hint="eastAsia" w:ascii="黑体" w:hAnsi="宋体" w:eastAsia="黑体"/>
          <w:sz w:val="24"/>
        </w:rPr>
        <w:t>39．编写评审报告</w:t>
      </w:r>
    </w:p>
    <w:p>
      <w:pPr>
        <w:ind w:firstLine="411" w:firstLineChars="196"/>
        <w:rPr>
          <w:rFonts w:ascii="宋体" w:hAnsi="宋体"/>
          <w:szCs w:val="21"/>
        </w:rPr>
      </w:pPr>
      <w:r>
        <w:rPr>
          <w:rFonts w:hint="eastAsia" w:ascii="宋体" w:hAnsi="宋体"/>
          <w:szCs w:val="21"/>
        </w:rPr>
        <w:t>评审报告是评审委员会根据全体评标成员签字的原始评审记录和评审结果编写的报告，评审报告由评审委员会全体成员签字。对评审结论持有异议的评审委员会成员可以书面方式阐述其不同意见和理由。评审委员会成员拒绝在评审报告上签字且不陈述其不同意见和理由的，视为同意评审结论。评审委员会应当对此作出书面说明并记录存档。</w:t>
      </w:r>
    </w:p>
    <w:p>
      <w:pPr>
        <w:rPr>
          <w:rFonts w:ascii="黑体" w:hAnsi="宋体" w:eastAsia="黑体"/>
          <w:sz w:val="24"/>
        </w:rPr>
      </w:pPr>
      <w:r>
        <w:rPr>
          <w:rFonts w:hint="eastAsia" w:ascii="黑体" w:hAnsi="宋体" w:eastAsia="黑体"/>
          <w:sz w:val="24"/>
        </w:rPr>
        <w:t>40．中标公告</w:t>
      </w:r>
    </w:p>
    <w:p>
      <w:pPr>
        <w:ind w:firstLine="411" w:firstLineChars="196"/>
        <w:rPr>
          <w:rFonts w:ascii="宋体" w:hAnsi="宋体"/>
          <w:szCs w:val="21"/>
        </w:rPr>
      </w:pPr>
      <w:r>
        <w:rPr>
          <w:rFonts w:hint="eastAsia" w:ascii="宋体" w:hAnsi="宋体"/>
          <w:szCs w:val="21"/>
        </w:rPr>
        <w:t>40.1</w:t>
      </w:r>
      <w:bookmarkStart w:id="77" w:name="_Hlk72438709"/>
      <w:r>
        <w:rPr>
          <w:rFonts w:hint="eastAsia" w:ascii="宋体" w:hAnsi="宋体"/>
          <w:szCs w:val="21"/>
        </w:rPr>
        <w:t>为体现“公开、公平、公正”的原则，评审结束后经采购人确认（确定）评审结果，政府集中采购机构将在</w:t>
      </w:r>
      <w:r>
        <w:rPr>
          <w:rFonts w:hint="eastAsia" w:ascii="宋体" w:hAnsi="宋体"/>
          <w:bCs/>
          <w:szCs w:val="21"/>
        </w:rPr>
        <w:t>深圳公共资源交易中心（深圳交易集团有限公司政府采购业务分公司）网站（</w:t>
      </w:r>
      <w:r>
        <w:rPr>
          <w:rFonts w:ascii="宋体" w:hAnsi="宋体"/>
          <w:bCs/>
          <w:szCs w:val="21"/>
        </w:rPr>
        <w:t>http://www.szggzy.com/</w:t>
      </w:r>
      <w:r>
        <w:rPr>
          <w:rFonts w:hint="eastAsia" w:ascii="宋体" w:hAnsi="宋体"/>
          <w:bCs/>
          <w:szCs w:val="21"/>
        </w:rPr>
        <w:t>）</w:t>
      </w:r>
      <w:r>
        <w:rPr>
          <w:rFonts w:hint="eastAsia" w:ascii="宋体" w:hAnsi="宋体"/>
          <w:szCs w:val="21"/>
        </w:rPr>
        <w:t>上发布中标结果公告。</w:t>
      </w:r>
      <w:bookmarkEnd w:id="77"/>
      <w:bookmarkStart w:id="78" w:name="_Hlk72438751"/>
      <w:r>
        <w:rPr>
          <w:rFonts w:hint="eastAsia" w:ascii="宋体" w:hAnsi="宋体"/>
          <w:szCs w:val="21"/>
        </w:rPr>
        <w:t>供应商如对评审结果有异议，</w:t>
      </w:r>
      <w:r>
        <w:rPr>
          <w:rFonts w:ascii="宋体" w:hAnsi="宋体"/>
          <w:szCs w:val="21"/>
        </w:rPr>
        <w:t>可在发布公示日期起</w:t>
      </w:r>
      <w:r>
        <w:rPr>
          <w:rFonts w:hint="eastAsia" w:ascii="宋体" w:hAnsi="宋体"/>
          <w:szCs w:val="21"/>
        </w:rPr>
        <w:t>七</w:t>
      </w:r>
      <w:r>
        <w:rPr>
          <w:rFonts w:ascii="宋体" w:hAnsi="宋体"/>
          <w:szCs w:val="21"/>
        </w:rPr>
        <w:t>个工作日内向</w:t>
      </w:r>
      <w:r>
        <w:rPr>
          <w:rFonts w:hint="eastAsia" w:ascii="宋体" w:hAnsi="宋体"/>
          <w:szCs w:val="21"/>
        </w:rPr>
        <w:t>政府集中采购机构</w:t>
      </w:r>
      <w:r>
        <w:rPr>
          <w:rFonts w:ascii="宋体" w:hAnsi="宋体"/>
          <w:szCs w:val="21"/>
        </w:rPr>
        <w:t>提出。 监督电话：0755-83948143。</w:t>
      </w:r>
      <w:r>
        <w:rPr>
          <w:rFonts w:hint="eastAsia" w:ascii="宋体" w:hAnsi="宋体"/>
          <w:szCs w:val="21"/>
        </w:rPr>
        <w:t>若在公示期内未提出质疑，则视为认同该评审结果。</w:t>
      </w:r>
    </w:p>
    <w:bookmarkEnd w:id="78"/>
    <w:p>
      <w:pPr>
        <w:ind w:firstLine="411" w:firstLineChars="196"/>
        <w:rPr>
          <w:rFonts w:ascii="宋体" w:hAnsi="宋体"/>
          <w:szCs w:val="21"/>
        </w:rPr>
      </w:pPr>
      <w:r>
        <w:rPr>
          <w:rFonts w:hint="eastAsia" w:ascii="宋体" w:hAnsi="宋体"/>
          <w:szCs w:val="21"/>
        </w:rPr>
        <w:t>40.2质疑、投诉供应商应保证质疑、投诉内容的真实性和可靠性，并承担相应的法律责任。</w:t>
      </w:r>
    </w:p>
    <w:p>
      <w:pPr>
        <w:rPr>
          <w:rFonts w:ascii="黑体" w:hAnsi="宋体" w:eastAsia="黑体"/>
          <w:sz w:val="24"/>
        </w:rPr>
      </w:pPr>
      <w:r>
        <w:rPr>
          <w:rFonts w:hint="eastAsia" w:ascii="黑体" w:hAnsi="宋体" w:eastAsia="黑体"/>
          <w:sz w:val="24"/>
        </w:rPr>
        <w:t>41．中标通知书</w:t>
      </w:r>
    </w:p>
    <w:p>
      <w:pPr>
        <w:ind w:firstLine="411" w:firstLineChars="196"/>
        <w:rPr>
          <w:rFonts w:ascii="宋体" w:hAnsi="宋体"/>
          <w:szCs w:val="21"/>
        </w:rPr>
      </w:pPr>
      <w:r>
        <w:rPr>
          <w:rFonts w:hint="eastAsia" w:ascii="宋体" w:hAnsi="宋体"/>
          <w:szCs w:val="21"/>
        </w:rPr>
        <w:t>41</w:t>
      </w:r>
      <w:r>
        <w:rPr>
          <w:rFonts w:ascii="宋体" w:hAnsi="宋体"/>
          <w:szCs w:val="21"/>
        </w:rPr>
        <w:t>.</w:t>
      </w:r>
      <w:r>
        <w:rPr>
          <w:rFonts w:hint="eastAsia" w:ascii="宋体" w:hAnsi="宋体"/>
          <w:szCs w:val="21"/>
        </w:rPr>
        <w:t>1</w:t>
      </w:r>
      <w:bookmarkStart w:id="79" w:name="_Hlk72438863"/>
      <w:r>
        <w:rPr>
          <w:rFonts w:hint="eastAsia" w:ascii="宋体" w:hAnsi="宋体"/>
          <w:szCs w:val="21"/>
        </w:rPr>
        <w:t>中标公告公布以后无异常的情况下,中标供应商和采购人可自行在</w:t>
      </w:r>
      <w:r>
        <w:rPr>
          <w:rFonts w:hint="eastAsia" w:ascii="宋体" w:hAnsi="宋体"/>
          <w:bCs/>
          <w:szCs w:val="21"/>
        </w:rPr>
        <w:t>深圳公共资源交易中心（深圳交易集团有限公司政府采购业务分公司）网站（</w:t>
      </w:r>
      <w:r>
        <w:rPr>
          <w:rFonts w:ascii="宋体" w:hAnsi="宋体"/>
          <w:bCs/>
          <w:szCs w:val="21"/>
        </w:rPr>
        <w:t>http://www.szggzy.com/</w:t>
      </w:r>
      <w:r>
        <w:rPr>
          <w:rFonts w:hint="eastAsia" w:ascii="宋体" w:hAnsi="宋体"/>
          <w:bCs/>
          <w:szCs w:val="21"/>
        </w:rPr>
        <w:t>）</w:t>
      </w:r>
      <w:r>
        <w:rPr>
          <w:rFonts w:hint="eastAsia" w:ascii="宋体" w:hAnsi="宋体"/>
          <w:szCs w:val="21"/>
        </w:rPr>
        <w:t>上打印《数字中标通知书》（咨询电话：</w:t>
      </w:r>
      <w:r>
        <w:rPr>
          <w:rFonts w:hint="eastAsia" w:ascii="宋体" w:hAnsi="宋体"/>
          <w:bCs/>
          <w:szCs w:val="21"/>
        </w:rPr>
        <w:t>0755-83938599，83948100，83938584</w:t>
      </w:r>
      <w:r>
        <w:rPr>
          <w:rFonts w:hint="eastAsia" w:ascii="宋体" w:hAnsi="宋体"/>
          <w:szCs w:val="21"/>
        </w:rPr>
        <w:t>）。</w:t>
      </w:r>
      <w:bookmarkEnd w:id="79"/>
    </w:p>
    <w:p>
      <w:pPr>
        <w:ind w:firstLine="411" w:firstLineChars="196"/>
        <w:rPr>
          <w:rFonts w:ascii="宋体" w:hAnsi="宋体"/>
          <w:szCs w:val="21"/>
        </w:rPr>
      </w:pPr>
      <w:r>
        <w:rPr>
          <w:rFonts w:hint="eastAsia" w:ascii="宋体" w:hAnsi="宋体"/>
          <w:szCs w:val="21"/>
        </w:rPr>
        <w:t>41</w:t>
      </w:r>
      <w:r>
        <w:rPr>
          <w:rFonts w:ascii="宋体" w:hAnsi="宋体"/>
          <w:szCs w:val="21"/>
        </w:rPr>
        <w:t>.2</w:t>
      </w:r>
      <w:r>
        <w:rPr>
          <w:rFonts w:hint="eastAsia" w:ascii="宋体" w:hAnsi="宋体"/>
          <w:szCs w:val="21"/>
        </w:rPr>
        <w:t>中标通知书是合同的重要组成部分。</w:t>
      </w:r>
    </w:p>
    <w:p>
      <w:pPr>
        <w:ind w:firstLine="411" w:firstLineChars="196"/>
        <w:rPr>
          <w:rFonts w:ascii="宋体" w:hAnsi="宋体"/>
          <w:szCs w:val="21"/>
        </w:rPr>
      </w:pPr>
      <w:bookmarkStart w:id="80" w:name="_Hlk71407340"/>
      <w:r>
        <w:rPr>
          <w:rFonts w:hint="eastAsia" w:ascii="宋体" w:hAnsi="宋体"/>
          <w:szCs w:val="21"/>
        </w:rPr>
        <w:t>41.3因质疑投诉或其它原因导致项目结果变更或采购终止的，政府集中采购机构有权吊销中标通知书。</w:t>
      </w:r>
    </w:p>
    <w:bookmarkEnd w:id="80"/>
    <w:p>
      <w:pPr>
        <w:ind w:firstLine="411" w:firstLineChars="196"/>
        <w:rPr>
          <w:rFonts w:ascii="宋体" w:hAnsi="宋体"/>
          <w:szCs w:val="21"/>
        </w:rPr>
      </w:pPr>
    </w:p>
    <w:p>
      <w:pPr>
        <w:pStyle w:val="5"/>
        <w:numPr>
          <w:ilvl w:val="0"/>
          <w:numId w:val="17"/>
        </w:numPr>
        <w:spacing w:beforeLines="50" w:afterLines="50"/>
        <w:ind w:left="562" w:hanging="562"/>
        <w:rPr>
          <w:sz w:val="28"/>
          <w:szCs w:val="28"/>
        </w:rPr>
      </w:pPr>
      <w:r>
        <w:rPr>
          <w:rFonts w:hint="eastAsia"/>
          <w:sz w:val="28"/>
          <w:szCs w:val="28"/>
        </w:rPr>
        <w:t>公开招标失败的后续处理</w:t>
      </w:r>
    </w:p>
    <w:p>
      <w:pPr>
        <w:rPr>
          <w:rFonts w:ascii="黑体" w:hAnsi="宋体" w:eastAsia="黑体"/>
          <w:sz w:val="24"/>
        </w:rPr>
      </w:pPr>
      <w:r>
        <w:rPr>
          <w:rFonts w:hint="eastAsia" w:ascii="黑体" w:hAnsi="宋体" w:eastAsia="黑体"/>
          <w:sz w:val="24"/>
        </w:rPr>
        <w:t>42．公开招标失败的处理</w:t>
      </w:r>
    </w:p>
    <w:p>
      <w:pPr>
        <w:ind w:firstLine="411" w:firstLineChars="196"/>
        <w:rPr>
          <w:rFonts w:ascii="宋体" w:hAnsi="宋体"/>
        </w:rPr>
      </w:pPr>
      <w:r>
        <w:rPr>
          <w:rFonts w:hint="eastAsia" w:ascii="宋体" w:hAnsi="宋体"/>
          <w:szCs w:val="21"/>
        </w:rPr>
        <w:t>42.1本项目公开招标过程中若由于投标截止后</w:t>
      </w:r>
      <w:r>
        <w:rPr>
          <w:rFonts w:hint="eastAsia" w:ascii="宋体" w:hAnsi="宋体"/>
        </w:rPr>
        <w:t>实际递交</w:t>
      </w:r>
      <w:r>
        <w:rPr>
          <w:rFonts w:ascii="宋体" w:hAnsi="宋体"/>
        </w:rPr>
        <w:t>投标</w:t>
      </w:r>
      <w:r>
        <w:rPr>
          <w:rFonts w:hint="eastAsia" w:ascii="宋体" w:hAnsi="宋体"/>
        </w:rPr>
        <w:t>文件的供应商数量不足、经</w:t>
      </w:r>
      <w:r>
        <w:rPr>
          <w:rFonts w:hint="eastAsia" w:ascii="宋体" w:hAnsi="宋体"/>
          <w:szCs w:val="21"/>
        </w:rPr>
        <w:t>评审委员会</w:t>
      </w:r>
      <w:r>
        <w:rPr>
          <w:rFonts w:hint="eastAsia" w:ascii="宋体" w:hAnsi="宋体"/>
        </w:rPr>
        <w:t>评审对招标文件作实质响应的供应商不足等原因造成公开招标失败，可由</w:t>
      </w:r>
      <w:r>
        <w:rPr>
          <w:rFonts w:hint="eastAsia" w:ascii="宋体" w:hAnsi="宋体" w:cs="宋体"/>
        </w:rPr>
        <w:t>政府集中采购机构</w:t>
      </w:r>
      <w:r>
        <w:rPr>
          <w:rFonts w:hint="eastAsia" w:ascii="宋体" w:hAnsi="宋体"/>
        </w:rPr>
        <w:t>重新组织采购。</w:t>
      </w:r>
    </w:p>
    <w:p>
      <w:pPr>
        <w:ind w:firstLine="411" w:firstLineChars="196"/>
        <w:rPr>
          <w:rFonts w:ascii="宋体" w:hAnsi="宋体"/>
          <w:szCs w:val="21"/>
        </w:rPr>
      </w:pPr>
      <w:r>
        <w:rPr>
          <w:rFonts w:hint="eastAsia" w:ascii="宋体" w:hAnsi="宋体"/>
          <w:szCs w:val="21"/>
        </w:rPr>
        <w:t>42.2对公开招标失败的项目，评审委员会在出具该项目招标失败结论的同时，可以提出重新采购组织形式的建议，以及进一步完善招标文件的资格、技术、商务要求的修改建议。</w:t>
      </w:r>
    </w:p>
    <w:p>
      <w:pPr>
        <w:ind w:firstLine="411" w:firstLineChars="196"/>
        <w:rPr>
          <w:rFonts w:ascii="宋体" w:hAnsi="宋体"/>
          <w:szCs w:val="21"/>
        </w:rPr>
      </w:pPr>
      <w:r>
        <w:rPr>
          <w:rFonts w:hint="eastAsia" w:ascii="宋体" w:hAnsi="宋体"/>
          <w:szCs w:val="21"/>
        </w:rPr>
        <w:t>42.3重新组织采购有以下两种组织形式：</w:t>
      </w:r>
    </w:p>
    <w:p>
      <w:pPr>
        <w:ind w:firstLine="411" w:firstLineChars="196"/>
        <w:rPr>
          <w:rFonts w:ascii="宋体" w:hAnsi="宋体"/>
        </w:rPr>
      </w:pPr>
      <w:r>
        <w:rPr>
          <w:rFonts w:hint="eastAsia" w:ascii="宋体" w:hAnsi="宋体"/>
        </w:rPr>
        <w:t>（1）由政府集中采购机构重新组织公开招标；</w:t>
      </w:r>
    </w:p>
    <w:p>
      <w:pPr>
        <w:ind w:firstLine="411" w:firstLineChars="196"/>
        <w:rPr>
          <w:rFonts w:ascii="宋体" w:hAnsi="宋体"/>
        </w:rPr>
      </w:pPr>
      <w:r>
        <w:rPr>
          <w:rFonts w:hint="eastAsia" w:ascii="宋体" w:hAnsi="宋体"/>
        </w:rPr>
        <w:t>（2）根据实际情况需要向同级财政部门提出非公开招标方式申请，经同级财政部门批准，公开招标失败采购项目可转为竞争性谈判或单一来源谈判方式采购。</w:t>
      </w:r>
    </w:p>
    <w:p>
      <w:pPr>
        <w:ind w:firstLine="411" w:firstLineChars="196"/>
        <w:rPr>
          <w:rFonts w:ascii="宋体" w:hAnsi="宋体"/>
        </w:rPr>
      </w:pPr>
      <w:r>
        <w:rPr>
          <w:rFonts w:hint="eastAsia" w:ascii="宋体" w:hAnsi="宋体"/>
        </w:rPr>
        <w:t>42.4公开招标失败的采购项目重新组织公开招标，由政府集中采购机构重新按公开招标流程组织采购活动。</w:t>
      </w:r>
    </w:p>
    <w:p>
      <w:pPr>
        <w:rPr>
          <w:rFonts w:ascii="宋体" w:hAnsi="宋体"/>
        </w:rPr>
      </w:pPr>
      <w:r>
        <w:rPr>
          <w:rFonts w:hint="eastAsia" w:ascii="黑体" w:hAnsi="宋体" w:eastAsia="黑体"/>
          <w:sz w:val="24"/>
        </w:rPr>
        <w:t xml:space="preserve">    </w:t>
      </w:r>
      <w:r>
        <w:rPr>
          <w:rFonts w:hint="eastAsia" w:ascii="宋体" w:hAnsi="宋体"/>
        </w:rPr>
        <w:t>42.5公开招标失败的采购项目经同级财政部门批准转为竞争性谈判或单一来源谈判方式采购的，按规定要求组织政府采购工作。</w:t>
      </w:r>
    </w:p>
    <w:p>
      <w:pPr>
        <w:rPr>
          <w:rFonts w:ascii="黑体" w:hAnsi="宋体" w:eastAsia="黑体"/>
          <w:sz w:val="24"/>
        </w:rPr>
      </w:pPr>
    </w:p>
    <w:p>
      <w:pPr>
        <w:pStyle w:val="5"/>
        <w:numPr>
          <w:ilvl w:val="0"/>
          <w:numId w:val="17"/>
        </w:numPr>
        <w:spacing w:beforeLines="50" w:afterLines="50"/>
        <w:ind w:left="562" w:hanging="562"/>
        <w:rPr>
          <w:sz w:val="28"/>
          <w:szCs w:val="28"/>
        </w:rPr>
      </w:pPr>
      <w:bookmarkStart w:id="81" w:name="_Hlk72439043"/>
      <w:r>
        <w:rPr>
          <w:rFonts w:hint="eastAsia"/>
          <w:sz w:val="28"/>
          <w:szCs w:val="28"/>
        </w:rPr>
        <w:t>合同的授予与备案</w:t>
      </w:r>
      <w:bookmarkEnd w:id="81"/>
    </w:p>
    <w:p>
      <w:pPr>
        <w:rPr>
          <w:rFonts w:ascii="黑体" w:hAnsi="宋体" w:eastAsia="黑体"/>
          <w:sz w:val="24"/>
        </w:rPr>
      </w:pPr>
      <w:bookmarkStart w:id="82" w:name="_Toc73517679"/>
      <w:bookmarkStart w:id="83" w:name="_Toc100052408"/>
      <w:bookmarkStart w:id="84" w:name="_Toc73518157"/>
      <w:bookmarkStart w:id="85" w:name="_Toc73521586"/>
      <w:bookmarkStart w:id="86" w:name="_Toc73521674"/>
      <w:bookmarkStart w:id="87" w:name="_Hlk72439088"/>
      <w:r>
        <w:rPr>
          <w:rFonts w:hint="eastAsia" w:ascii="黑体" w:hAnsi="宋体" w:eastAsia="黑体"/>
          <w:sz w:val="24"/>
        </w:rPr>
        <w:t>43．合同授予标准</w:t>
      </w:r>
      <w:bookmarkEnd w:id="82"/>
      <w:bookmarkEnd w:id="83"/>
      <w:bookmarkEnd w:id="84"/>
      <w:bookmarkEnd w:id="85"/>
      <w:bookmarkEnd w:id="86"/>
    </w:p>
    <w:p>
      <w:pPr>
        <w:ind w:firstLine="411" w:firstLineChars="196"/>
        <w:rPr>
          <w:rFonts w:ascii="宋体" w:hAnsi="宋体"/>
          <w:szCs w:val="21"/>
        </w:rPr>
      </w:pPr>
      <w:r>
        <w:rPr>
          <w:rFonts w:hint="eastAsia" w:ascii="宋体" w:hAnsi="宋体"/>
          <w:szCs w:val="21"/>
        </w:rPr>
        <w:t>本项目的合同将授予经本招标文件规定评审确定的中标供应商。</w:t>
      </w:r>
    </w:p>
    <w:p>
      <w:pPr>
        <w:rPr>
          <w:rFonts w:ascii="黑体" w:hAnsi="宋体" w:eastAsia="黑体"/>
          <w:sz w:val="24"/>
        </w:rPr>
      </w:pPr>
      <w:bookmarkStart w:id="88" w:name="_Toc73521587"/>
      <w:bookmarkStart w:id="89" w:name="_Toc73517680"/>
      <w:bookmarkStart w:id="90" w:name="_Toc100052409"/>
      <w:bookmarkStart w:id="91" w:name="_Toc73518158"/>
      <w:bookmarkStart w:id="92" w:name="_Toc73521675"/>
      <w:r>
        <w:rPr>
          <w:rFonts w:hint="eastAsia" w:ascii="黑体" w:hAnsi="宋体" w:eastAsia="黑体"/>
          <w:sz w:val="24"/>
        </w:rPr>
        <w:t>44．</w:t>
      </w:r>
      <w:bookmarkEnd w:id="88"/>
      <w:bookmarkEnd w:id="89"/>
      <w:bookmarkEnd w:id="90"/>
      <w:bookmarkEnd w:id="91"/>
      <w:bookmarkEnd w:id="92"/>
      <w:r>
        <w:rPr>
          <w:rFonts w:hint="eastAsia" w:ascii="黑体" w:hAnsi="宋体" w:eastAsia="黑体"/>
          <w:sz w:val="24"/>
        </w:rPr>
        <w:t>接受和拒绝任何或所有投标的权力</w:t>
      </w:r>
    </w:p>
    <w:p>
      <w:pPr>
        <w:ind w:firstLine="411" w:firstLineChars="196"/>
        <w:rPr>
          <w:rFonts w:ascii="宋体" w:hAnsi="宋体"/>
          <w:szCs w:val="21"/>
        </w:rPr>
      </w:pPr>
      <w:r>
        <w:rPr>
          <w:rFonts w:hint="eastAsia" w:ascii="宋体" w:hAnsi="宋体"/>
          <w:szCs w:val="21"/>
        </w:rPr>
        <w:t>政府集中采购机构和采购人保留在投标之前任何时候接受或拒绝任何投标或所有投标，以及宣布招标无效的权力，对受影响的投标人不承担任何责任，也无义务向受影响的投标人解释采取这一行动的理由。</w:t>
      </w:r>
    </w:p>
    <w:p>
      <w:pPr>
        <w:rPr>
          <w:rFonts w:ascii="黑体" w:hAnsi="宋体" w:eastAsia="黑体"/>
          <w:sz w:val="24"/>
        </w:rPr>
      </w:pPr>
      <w:bookmarkStart w:id="93" w:name="_Toc100052410"/>
      <w:bookmarkStart w:id="94" w:name="_Toc73521677"/>
      <w:bookmarkStart w:id="95" w:name="_Toc73518160"/>
      <w:bookmarkStart w:id="96" w:name="_Toc73521589"/>
      <w:bookmarkStart w:id="97" w:name="_Toc73517682"/>
      <w:r>
        <w:rPr>
          <w:rFonts w:hint="eastAsia" w:ascii="黑体" w:hAnsi="宋体" w:eastAsia="黑体"/>
          <w:sz w:val="24"/>
        </w:rPr>
        <w:t>45．合同的签订</w:t>
      </w:r>
      <w:bookmarkEnd w:id="93"/>
      <w:bookmarkEnd w:id="94"/>
      <w:bookmarkEnd w:id="95"/>
      <w:bookmarkEnd w:id="96"/>
      <w:bookmarkEnd w:id="97"/>
    </w:p>
    <w:p>
      <w:pPr>
        <w:ind w:firstLine="411" w:firstLineChars="196"/>
        <w:rPr>
          <w:rFonts w:ascii="宋体" w:hAnsi="宋体"/>
          <w:szCs w:val="21"/>
        </w:rPr>
      </w:pPr>
      <w:r>
        <w:rPr>
          <w:rFonts w:hint="eastAsia" w:ascii="宋体" w:hAnsi="宋体"/>
          <w:szCs w:val="21"/>
        </w:rPr>
        <w:t>45.1中标人将于中标通知书发出之日起十个工作日内，按照采购文件（招标文件和投标文件等）内容与采购人签订政府采购合同；合同的实质性内容应当符合招标文件的规定；</w:t>
      </w:r>
    </w:p>
    <w:p>
      <w:pPr>
        <w:ind w:firstLine="411" w:firstLineChars="196"/>
        <w:rPr>
          <w:rFonts w:ascii="宋体" w:hAnsi="宋体"/>
          <w:szCs w:val="21"/>
        </w:rPr>
      </w:pPr>
      <w:r>
        <w:rPr>
          <w:rFonts w:hint="eastAsia" w:ascii="宋体" w:hAnsi="宋体"/>
          <w:szCs w:val="21"/>
        </w:rPr>
        <w:t>45.2中标人如不按本通用条款第45</w:t>
      </w:r>
      <w:r>
        <w:rPr>
          <w:rFonts w:ascii="宋体" w:hAnsi="宋体"/>
          <w:szCs w:val="21"/>
        </w:rPr>
        <w:t>.1</w:t>
      </w:r>
      <w:r>
        <w:rPr>
          <w:rFonts w:hint="eastAsia" w:ascii="宋体" w:hAnsi="宋体"/>
          <w:szCs w:val="21"/>
        </w:rPr>
        <w:t>款的规定与采购人签订合同，</w:t>
      </w:r>
      <w:r>
        <w:rPr>
          <w:rFonts w:ascii="宋体" w:hAnsi="宋体" w:cs="宋体"/>
          <w:kern w:val="0"/>
          <w:szCs w:val="21"/>
        </w:rPr>
        <w:t>情节严重的，由</w:t>
      </w:r>
      <w:r>
        <w:rPr>
          <w:rFonts w:hint="eastAsia" w:ascii="宋体" w:hAnsi="宋体" w:cs="宋体"/>
          <w:kern w:val="0"/>
          <w:szCs w:val="21"/>
        </w:rPr>
        <w:t>同级财政</w:t>
      </w:r>
      <w:r>
        <w:rPr>
          <w:rFonts w:ascii="宋体" w:hAnsi="宋体" w:cs="宋体"/>
          <w:kern w:val="0"/>
          <w:szCs w:val="21"/>
        </w:rPr>
        <w:t>部门记入供应商诚信档案，予以通报</w:t>
      </w:r>
      <w:r>
        <w:rPr>
          <w:rFonts w:hint="eastAsia" w:ascii="宋体" w:hAnsi="宋体"/>
          <w:szCs w:val="21"/>
        </w:rPr>
        <w:t>；</w:t>
      </w:r>
    </w:p>
    <w:p>
      <w:pPr>
        <w:ind w:firstLine="411" w:firstLineChars="196"/>
        <w:rPr>
          <w:rFonts w:ascii="宋体" w:hAnsi="宋体"/>
          <w:szCs w:val="21"/>
        </w:rPr>
      </w:pPr>
      <w:r>
        <w:rPr>
          <w:rFonts w:hint="eastAsia" w:ascii="宋体" w:hAnsi="宋体"/>
          <w:szCs w:val="21"/>
        </w:rPr>
        <w:t>45.3中标人应当按照合同约定履行义务，完成中标项目，不得将中标项目转让（转包）给他人。</w:t>
      </w:r>
    </w:p>
    <w:p>
      <w:pPr>
        <w:rPr>
          <w:rFonts w:ascii="黑体" w:hAnsi="宋体" w:eastAsia="黑体"/>
          <w:sz w:val="24"/>
        </w:rPr>
      </w:pPr>
      <w:bookmarkStart w:id="98" w:name="_Toc73521678"/>
      <w:bookmarkStart w:id="99" w:name="_Toc73517683"/>
      <w:bookmarkStart w:id="100" w:name="_Toc73521590"/>
      <w:bookmarkStart w:id="101" w:name="_Toc73518161"/>
      <w:bookmarkStart w:id="102" w:name="_Toc100052411"/>
      <w:r>
        <w:rPr>
          <w:rFonts w:hint="eastAsia" w:ascii="黑体" w:hAnsi="宋体" w:eastAsia="黑体"/>
          <w:sz w:val="24"/>
        </w:rPr>
        <w:t>46．履约担保</w:t>
      </w:r>
      <w:bookmarkEnd w:id="98"/>
      <w:bookmarkEnd w:id="99"/>
      <w:bookmarkEnd w:id="100"/>
      <w:bookmarkEnd w:id="101"/>
      <w:bookmarkEnd w:id="102"/>
    </w:p>
    <w:p>
      <w:pPr>
        <w:ind w:firstLine="411" w:firstLineChars="196"/>
        <w:rPr>
          <w:rFonts w:ascii="宋体" w:hAnsi="宋体"/>
          <w:szCs w:val="21"/>
        </w:rPr>
      </w:pPr>
      <w:r>
        <w:rPr>
          <w:rFonts w:hint="eastAsia" w:ascii="宋体" w:hAnsi="宋体"/>
          <w:szCs w:val="21"/>
        </w:rPr>
        <w:t>46.1在签订项目合同的同时，中标人应按“对通用条款的补充内容”中规定的金额向采购人提交履约担保；</w:t>
      </w:r>
    </w:p>
    <w:p>
      <w:pPr>
        <w:ind w:firstLine="411" w:firstLineChars="196"/>
        <w:rPr>
          <w:rFonts w:ascii="宋体" w:hAnsi="宋体"/>
          <w:szCs w:val="21"/>
        </w:rPr>
      </w:pPr>
      <w:r>
        <w:rPr>
          <w:rFonts w:hint="eastAsia" w:ascii="宋体" w:hAnsi="宋体"/>
          <w:szCs w:val="21"/>
        </w:rPr>
        <w:t>46.2，允许供应商自主选择以支票、汇票、本票、保函等非现金方式提交履约担保；</w:t>
      </w:r>
      <w:r>
        <w:t>中标</w:t>
      </w:r>
      <w:r>
        <w:rPr>
          <w:rFonts w:hint="eastAsia"/>
        </w:rPr>
        <w:t>人</w:t>
      </w:r>
      <w:r>
        <w:t>提交履约</w:t>
      </w:r>
      <w:r>
        <w:rPr>
          <w:rFonts w:hint="eastAsia"/>
        </w:rPr>
        <w:t>担保不是</w:t>
      </w:r>
      <w:r>
        <w:t>合同签订的</w:t>
      </w:r>
      <w:r>
        <w:rPr>
          <w:rFonts w:hint="eastAsia"/>
        </w:rPr>
        <w:t>前提</w:t>
      </w:r>
      <w:r>
        <w:t>条件，不要求中标</w:t>
      </w:r>
      <w:r>
        <w:rPr>
          <w:rFonts w:hint="eastAsia"/>
        </w:rPr>
        <w:t>人</w:t>
      </w:r>
      <w:r>
        <w:t>提供除法律、法规明确规定外的其他担保</w:t>
      </w:r>
      <w:r>
        <w:rPr>
          <w:rFonts w:hint="eastAsia"/>
        </w:rPr>
        <w:t>。</w:t>
      </w:r>
    </w:p>
    <w:p>
      <w:pPr>
        <w:rPr>
          <w:rFonts w:ascii="黑体" w:hAnsi="宋体" w:eastAsia="黑体"/>
          <w:sz w:val="24"/>
        </w:rPr>
      </w:pPr>
      <w:r>
        <w:rPr>
          <w:rFonts w:hint="eastAsia" w:ascii="黑体" w:hAnsi="宋体" w:eastAsia="黑体"/>
          <w:sz w:val="24"/>
        </w:rPr>
        <w:t>47. 合同备案</w:t>
      </w:r>
    </w:p>
    <w:p>
      <w:pPr>
        <w:ind w:firstLine="411" w:firstLineChars="196"/>
        <w:rPr>
          <w:rFonts w:ascii="宋体" w:hAnsi="宋体"/>
          <w:szCs w:val="21"/>
        </w:rPr>
      </w:pPr>
      <w:r>
        <w:rPr>
          <w:rFonts w:hint="eastAsia" w:ascii="宋体" w:hAnsi="宋体"/>
          <w:szCs w:val="21"/>
        </w:rPr>
        <w:t>采购人与中标人应于合同签订之日起十日内，由采购人或委托中标人将采购合同副本抄送合同备案工作实施机构备案。</w:t>
      </w:r>
    </w:p>
    <w:p>
      <w:pPr>
        <w:rPr>
          <w:rFonts w:ascii="黑体" w:hAnsi="宋体" w:eastAsia="黑体"/>
          <w:sz w:val="24"/>
        </w:rPr>
      </w:pPr>
      <w:r>
        <w:rPr>
          <w:rFonts w:hint="eastAsia" w:ascii="黑体" w:hAnsi="宋体" w:eastAsia="黑体"/>
          <w:sz w:val="24"/>
        </w:rPr>
        <w:t>48. 合同变更</w:t>
      </w:r>
    </w:p>
    <w:p>
      <w:pPr>
        <w:ind w:firstLine="411" w:firstLineChars="196"/>
        <w:rPr>
          <w:rFonts w:ascii="宋体" w:hAnsi="宋体"/>
          <w:szCs w:val="21"/>
        </w:rPr>
      </w:pPr>
      <w:r>
        <w:rPr>
          <w:rFonts w:hint="eastAsia" w:ascii="宋体" w:hAnsi="宋体"/>
          <w:szCs w:val="21"/>
        </w:rPr>
        <w:t>合同变更事宜按《深圳市财政局 深圳市政府采购中心关于进一步加强市本级政府采购合同备案管理工作的通知》（深财购〔2019〕43号）相关规定执行。</w:t>
      </w:r>
    </w:p>
    <w:p>
      <w:pPr>
        <w:rPr>
          <w:rFonts w:ascii="黑体" w:hAnsi="宋体" w:eastAsia="黑体"/>
          <w:sz w:val="24"/>
        </w:rPr>
      </w:pPr>
      <w:r>
        <w:rPr>
          <w:rFonts w:hint="eastAsia" w:ascii="黑体" w:hAnsi="宋体" w:eastAsia="黑体"/>
          <w:sz w:val="24"/>
        </w:rPr>
        <w:t>49. 项目验收</w:t>
      </w:r>
    </w:p>
    <w:p>
      <w:pPr>
        <w:widowControl/>
        <w:ind w:right="176" w:firstLine="420"/>
        <w:jc w:val="left"/>
        <w:rPr>
          <w:rFonts w:ascii="宋体" w:hAnsi="宋体"/>
        </w:rPr>
      </w:pPr>
      <w:r>
        <w:rPr>
          <w:rFonts w:hint="eastAsia" w:ascii="宋体" w:hAnsi="宋体"/>
        </w:rPr>
        <w:t>49.1采购人应当按照招标文件和合同规定的标准和方法，及时组织验收。</w:t>
      </w:r>
      <w:r>
        <w:rPr>
          <w:rFonts w:ascii="宋体" w:hAnsi="宋体"/>
        </w:rPr>
        <w:t xml:space="preserve"> </w:t>
      </w:r>
    </w:p>
    <w:p>
      <w:pPr>
        <w:rPr>
          <w:rFonts w:ascii="黑体" w:hAnsi="宋体" w:eastAsia="黑体"/>
          <w:sz w:val="24"/>
        </w:rPr>
      </w:pPr>
      <w:r>
        <w:rPr>
          <w:rFonts w:hint="eastAsia" w:ascii="黑体" w:hAnsi="宋体" w:eastAsia="黑体"/>
          <w:sz w:val="24"/>
        </w:rPr>
        <w:t>50. 宣传</w:t>
      </w:r>
    </w:p>
    <w:p>
      <w:pPr>
        <w:ind w:left="210" w:leftChars="100" w:firstLine="411" w:firstLineChars="196"/>
        <w:rPr>
          <w:rFonts w:ascii="宋体" w:hAnsi="宋体"/>
        </w:rPr>
      </w:pPr>
      <w:r>
        <w:rPr>
          <w:rFonts w:hint="eastAsia" w:ascii="宋体" w:hAnsi="宋体"/>
        </w:rPr>
        <w:t>凡与政府采购活动有关的宣传或广告，若当中提及政府采购，</w:t>
      </w:r>
      <w:r>
        <w:rPr>
          <w:rFonts w:ascii="宋体" w:hAnsi="宋体"/>
        </w:rPr>
        <w:t>必须事先将具体对外宣传方案报</w:t>
      </w:r>
      <w:r>
        <w:rPr>
          <w:rFonts w:hint="eastAsia" w:ascii="宋体" w:hAnsi="宋体"/>
        </w:rPr>
        <w:t>同级财政部门</w:t>
      </w:r>
      <w:r>
        <w:rPr>
          <w:rFonts w:ascii="宋体" w:hAnsi="宋体"/>
        </w:rPr>
        <w:t>和</w:t>
      </w:r>
      <w:r>
        <w:rPr>
          <w:rFonts w:hint="eastAsia" w:ascii="宋体" w:hAnsi="宋体"/>
        </w:rPr>
        <w:t>政府集中采购机构</w:t>
      </w:r>
      <w:r>
        <w:rPr>
          <w:rFonts w:ascii="宋体" w:hAnsi="宋体"/>
        </w:rPr>
        <w:t>，并征得其同意。对外市场宣传包括但不限于以下形式：</w:t>
      </w:r>
    </w:p>
    <w:p>
      <w:pPr>
        <w:ind w:left="210" w:leftChars="100" w:firstLine="411" w:firstLineChars="196"/>
        <w:rPr>
          <w:rFonts w:ascii="宋体" w:hAnsi="宋体"/>
        </w:rPr>
      </w:pPr>
      <w:r>
        <w:rPr>
          <w:rFonts w:ascii="宋体" w:hAnsi="宋体"/>
        </w:rPr>
        <w:t>a.名片、宣传册、广告标语等；</w:t>
      </w:r>
    </w:p>
    <w:p>
      <w:pPr>
        <w:ind w:left="210" w:leftChars="100" w:firstLine="411" w:firstLineChars="196"/>
        <w:rPr>
          <w:rFonts w:ascii="宋体" w:hAnsi="宋体"/>
        </w:rPr>
      </w:pPr>
      <w:r>
        <w:rPr>
          <w:rFonts w:ascii="宋体" w:hAnsi="宋体"/>
        </w:rPr>
        <w:t>b.案例介绍、推广等；</w:t>
      </w:r>
    </w:p>
    <w:p>
      <w:pPr>
        <w:ind w:left="210" w:leftChars="100" w:firstLine="411" w:firstLineChars="196"/>
        <w:rPr>
          <w:rFonts w:ascii="宋体" w:hAnsi="宋体"/>
        </w:rPr>
      </w:pPr>
      <w:r>
        <w:rPr>
          <w:rFonts w:hint="eastAsia" w:ascii="宋体" w:hAnsi="宋体"/>
        </w:rPr>
        <w:t>c.工作</w:t>
      </w:r>
      <w:r>
        <w:rPr>
          <w:rFonts w:ascii="宋体" w:hAnsi="宋体"/>
        </w:rPr>
        <w:t>人员向其他消费群体宣传。</w:t>
      </w:r>
    </w:p>
    <w:p>
      <w:pPr>
        <w:rPr>
          <w:rFonts w:ascii="黑体" w:hAnsi="宋体" w:eastAsia="黑体"/>
          <w:sz w:val="24"/>
        </w:rPr>
      </w:pPr>
      <w:r>
        <w:rPr>
          <w:rFonts w:hint="eastAsia" w:ascii="黑体" w:hAnsi="宋体" w:eastAsia="黑体"/>
          <w:sz w:val="24"/>
        </w:rPr>
        <w:t>51. 供应商违法责任</w:t>
      </w:r>
    </w:p>
    <w:p>
      <w:pPr>
        <w:ind w:firstLine="411" w:firstLineChars="196"/>
        <w:rPr>
          <w:rFonts w:ascii="宋体" w:hAnsi="宋体"/>
          <w:szCs w:val="21"/>
        </w:rPr>
      </w:pPr>
      <w:r>
        <w:rPr>
          <w:rFonts w:hint="eastAsia" w:ascii="宋体" w:hAnsi="宋体"/>
          <w:szCs w:val="21"/>
        </w:rPr>
        <w:t>5</w:t>
      </w:r>
      <w:r>
        <w:rPr>
          <w:rFonts w:ascii="宋体" w:hAnsi="宋体"/>
          <w:szCs w:val="21"/>
        </w:rPr>
        <w:t>1.1</w:t>
      </w:r>
      <w:r>
        <w:rPr>
          <w:rFonts w:hint="eastAsia" w:ascii="宋体" w:hAnsi="宋体"/>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pPr>
        <w:ind w:firstLine="411" w:firstLineChars="196"/>
        <w:rPr>
          <w:rFonts w:ascii="宋体" w:hAnsi="宋体"/>
          <w:szCs w:val="21"/>
        </w:rPr>
      </w:pPr>
      <w:r>
        <w:rPr>
          <w:rFonts w:hint="eastAsia" w:ascii="宋体" w:hAnsi="宋体"/>
          <w:szCs w:val="21"/>
        </w:rPr>
        <w:t>（1）在采购活动中应当回避而未回避的；</w:t>
      </w:r>
    </w:p>
    <w:p>
      <w:pPr>
        <w:ind w:firstLine="411" w:firstLineChars="196"/>
        <w:rPr>
          <w:rFonts w:ascii="宋体" w:hAnsi="宋体"/>
          <w:szCs w:val="21"/>
        </w:rPr>
      </w:pPr>
      <w:r>
        <w:rPr>
          <w:rFonts w:hint="eastAsia" w:ascii="宋体" w:hAnsi="宋体"/>
          <w:szCs w:val="21"/>
        </w:rPr>
        <w:t>（2）未按本条例规定签订、履行采购合同，造成严重后果的；</w:t>
      </w:r>
    </w:p>
    <w:p>
      <w:pPr>
        <w:ind w:firstLine="411" w:firstLineChars="196"/>
        <w:rPr>
          <w:rFonts w:ascii="宋体" w:hAnsi="宋体"/>
          <w:szCs w:val="21"/>
        </w:rPr>
      </w:pPr>
      <w:r>
        <w:rPr>
          <w:rFonts w:hint="eastAsia" w:ascii="宋体" w:hAnsi="宋体"/>
          <w:szCs w:val="21"/>
        </w:rPr>
        <w:t>（3）隐瞒真实情况，提供虚假资料的；</w:t>
      </w:r>
    </w:p>
    <w:p>
      <w:pPr>
        <w:ind w:firstLine="411" w:firstLineChars="196"/>
        <w:rPr>
          <w:rFonts w:ascii="宋体" w:hAnsi="宋体"/>
          <w:szCs w:val="21"/>
        </w:rPr>
      </w:pPr>
      <w:r>
        <w:rPr>
          <w:rFonts w:hint="eastAsia" w:ascii="宋体" w:hAnsi="宋体"/>
          <w:szCs w:val="21"/>
        </w:rPr>
        <w:t>（4）以非法手段排斥其他供应商参与竞争的；</w:t>
      </w:r>
    </w:p>
    <w:p>
      <w:pPr>
        <w:ind w:firstLine="411" w:firstLineChars="196"/>
        <w:rPr>
          <w:rFonts w:ascii="宋体" w:hAnsi="宋体"/>
          <w:szCs w:val="21"/>
        </w:rPr>
      </w:pPr>
      <w:r>
        <w:rPr>
          <w:rFonts w:hint="eastAsia" w:ascii="宋体" w:hAnsi="宋体"/>
          <w:szCs w:val="21"/>
        </w:rPr>
        <w:t>（5）与其他采购参加人串通投标的；</w:t>
      </w:r>
    </w:p>
    <w:p>
      <w:pPr>
        <w:ind w:firstLine="411" w:firstLineChars="196"/>
        <w:rPr>
          <w:rFonts w:ascii="宋体" w:hAnsi="宋体"/>
          <w:szCs w:val="21"/>
        </w:rPr>
      </w:pPr>
      <w:r>
        <w:rPr>
          <w:rFonts w:hint="eastAsia" w:ascii="宋体" w:hAnsi="宋体"/>
          <w:szCs w:val="21"/>
        </w:rPr>
        <w:t>（6）恶意投诉的；</w:t>
      </w:r>
    </w:p>
    <w:p>
      <w:pPr>
        <w:ind w:firstLine="411" w:firstLineChars="196"/>
        <w:rPr>
          <w:rFonts w:ascii="宋体" w:hAnsi="宋体"/>
          <w:szCs w:val="21"/>
        </w:rPr>
      </w:pPr>
      <w:r>
        <w:rPr>
          <w:rFonts w:hint="eastAsia" w:ascii="宋体" w:hAnsi="宋体"/>
          <w:szCs w:val="21"/>
        </w:rPr>
        <w:t>（7）向采购项目相关人行贿或者提供其他不当利益的；</w:t>
      </w:r>
    </w:p>
    <w:p>
      <w:pPr>
        <w:ind w:firstLine="411" w:firstLineChars="196"/>
        <w:rPr>
          <w:rFonts w:ascii="宋体" w:hAnsi="宋体"/>
          <w:szCs w:val="21"/>
        </w:rPr>
      </w:pPr>
      <w:r>
        <w:rPr>
          <w:rFonts w:hint="eastAsia" w:ascii="宋体" w:hAnsi="宋体"/>
          <w:szCs w:val="21"/>
        </w:rPr>
        <w:t>（8）阻碍、抗拒主管部门监督检查的；</w:t>
      </w:r>
    </w:p>
    <w:p>
      <w:pPr>
        <w:ind w:firstLine="411" w:firstLineChars="196"/>
        <w:rPr>
          <w:rFonts w:ascii="宋体" w:hAnsi="宋体"/>
          <w:szCs w:val="21"/>
        </w:rPr>
      </w:pPr>
      <w:r>
        <w:rPr>
          <w:rFonts w:hint="eastAsia" w:ascii="宋体" w:hAnsi="宋体"/>
          <w:szCs w:val="21"/>
        </w:rPr>
        <w:t>（9）其他违反本条例规定的行为。</w:t>
      </w:r>
    </w:p>
    <w:p>
      <w:pPr>
        <w:ind w:firstLine="411" w:firstLineChars="196"/>
        <w:rPr>
          <w:rFonts w:ascii="宋体" w:hAnsi="宋体"/>
          <w:szCs w:val="21"/>
        </w:rPr>
      </w:pPr>
      <w:r>
        <w:rPr>
          <w:rFonts w:hint="eastAsia" w:ascii="宋体" w:hAnsi="宋体"/>
          <w:szCs w:val="21"/>
        </w:rPr>
        <w:t>5</w:t>
      </w:r>
      <w:r>
        <w:rPr>
          <w:rFonts w:ascii="宋体" w:hAnsi="宋体"/>
          <w:szCs w:val="21"/>
        </w:rPr>
        <w:t xml:space="preserve">1.2 </w:t>
      </w:r>
      <w:r>
        <w:rPr>
          <w:rFonts w:hint="eastAsia" w:ascii="宋体" w:hAnsi="宋体"/>
          <w:szCs w:val="21"/>
        </w:rPr>
        <w:t>根据《深圳市财政局关于明确政府采购保证金管理工作的通知》（深财购[2019]42号）的要求，供应商在政府采购活动中出现《深圳经济特区政府采购条例实施细则》第八十四条所列情形的，</w:t>
      </w:r>
      <w:bookmarkStart w:id="103" w:name="_Hlk72440769"/>
      <w:r>
        <w:rPr>
          <w:rFonts w:hint="eastAsia" w:ascii="宋体" w:hAnsi="宋体"/>
          <w:szCs w:val="21"/>
        </w:rPr>
        <w:t>采购人或政府集中采购机构</w:t>
      </w:r>
      <w:bookmarkEnd w:id="103"/>
      <w:r>
        <w:rPr>
          <w:rFonts w:hint="eastAsia" w:ascii="宋体" w:hAnsi="宋体"/>
          <w:szCs w:val="21"/>
        </w:rPr>
        <w:t>可将有关情况报同级财政部门，由财政部门根据实际情况记入供应商诚信档案，予以通报：</w:t>
      </w:r>
    </w:p>
    <w:p>
      <w:pPr>
        <w:ind w:firstLine="411" w:firstLineChars="196"/>
        <w:rPr>
          <w:rFonts w:ascii="宋体" w:hAnsi="宋体"/>
          <w:szCs w:val="21"/>
        </w:rPr>
      </w:pPr>
      <w:r>
        <w:rPr>
          <w:rFonts w:hint="eastAsia" w:ascii="宋体" w:hAnsi="宋体"/>
          <w:szCs w:val="21"/>
        </w:rPr>
        <w:t>（1</w:t>
      </w:r>
      <w:r>
        <w:rPr>
          <w:rFonts w:ascii="宋体" w:hAnsi="宋体"/>
          <w:szCs w:val="21"/>
        </w:rPr>
        <w:t>）投标截止后，撤销投标的；</w:t>
      </w:r>
    </w:p>
    <w:p>
      <w:pPr>
        <w:ind w:firstLine="411" w:firstLineChars="196"/>
        <w:rPr>
          <w:rFonts w:ascii="宋体" w:hAnsi="宋体"/>
          <w:szCs w:val="21"/>
        </w:rPr>
      </w:pPr>
      <w:r>
        <w:rPr>
          <w:rFonts w:ascii="宋体" w:hAnsi="宋体"/>
          <w:szCs w:val="21"/>
        </w:rPr>
        <w:t>（</w:t>
      </w:r>
      <w:r>
        <w:rPr>
          <w:rFonts w:hint="eastAsia" w:ascii="宋体" w:hAnsi="宋体"/>
          <w:szCs w:val="21"/>
        </w:rPr>
        <w:t>2</w:t>
      </w:r>
      <w:r>
        <w:rPr>
          <w:rFonts w:ascii="宋体" w:hAnsi="宋体"/>
          <w:szCs w:val="21"/>
        </w:rPr>
        <w:t>）中标后无正当理由未在规定期限内签订合同的；</w:t>
      </w:r>
    </w:p>
    <w:p>
      <w:pPr>
        <w:ind w:firstLine="411" w:firstLineChars="196"/>
        <w:rPr>
          <w:rFonts w:ascii="宋体" w:hAnsi="宋体"/>
          <w:szCs w:val="21"/>
        </w:rPr>
      </w:pPr>
      <w:r>
        <w:rPr>
          <w:rFonts w:ascii="宋体" w:hAnsi="宋体"/>
          <w:szCs w:val="21"/>
        </w:rPr>
        <w:t>（</w:t>
      </w:r>
      <w:r>
        <w:rPr>
          <w:rFonts w:hint="eastAsia" w:ascii="宋体" w:hAnsi="宋体"/>
          <w:szCs w:val="21"/>
        </w:rPr>
        <w:t>3</w:t>
      </w:r>
      <w:r>
        <w:rPr>
          <w:rFonts w:ascii="宋体" w:hAnsi="宋体"/>
          <w:szCs w:val="21"/>
        </w:rPr>
        <w:t>）将中标项目转让给他人、或者在投标文件中未说明且未经采购人、采购招标机构同意，将中标项目分包给他人的；</w:t>
      </w:r>
    </w:p>
    <w:p>
      <w:pPr>
        <w:ind w:firstLine="411" w:firstLineChars="196"/>
        <w:rPr>
          <w:rFonts w:ascii="宋体" w:hAnsi="宋体"/>
          <w:szCs w:val="21"/>
        </w:rPr>
      </w:pPr>
      <w:r>
        <w:rPr>
          <w:rFonts w:ascii="宋体" w:hAnsi="宋体"/>
          <w:szCs w:val="21"/>
        </w:rPr>
        <w:t>（</w:t>
      </w:r>
      <w:r>
        <w:rPr>
          <w:rFonts w:hint="eastAsia" w:ascii="宋体" w:hAnsi="宋体"/>
          <w:szCs w:val="21"/>
        </w:rPr>
        <w:t>4</w:t>
      </w:r>
      <w:r>
        <w:rPr>
          <w:rFonts w:ascii="宋体" w:hAnsi="宋体"/>
          <w:szCs w:val="21"/>
        </w:rPr>
        <w:t>）拒绝履行合同义务的</w:t>
      </w:r>
      <w:r>
        <w:rPr>
          <w:rFonts w:hint="eastAsia" w:ascii="宋体" w:hAnsi="宋体"/>
          <w:szCs w:val="21"/>
        </w:rPr>
        <w:t>。</w:t>
      </w:r>
    </w:p>
    <w:bookmarkEnd w:id="87"/>
    <w:p>
      <w:pPr>
        <w:pStyle w:val="5"/>
        <w:numPr>
          <w:ilvl w:val="0"/>
          <w:numId w:val="17"/>
        </w:numPr>
        <w:spacing w:beforeLines="50" w:afterLines="50"/>
        <w:ind w:left="562" w:hanging="562"/>
        <w:rPr>
          <w:sz w:val="28"/>
          <w:szCs w:val="28"/>
        </w:rPr>
      </w:pPr>
      <w:r>
        <w:rPr>
          <w:rFonts w:hint="eastAsia"/>
          <w:sz w:val="28"/>
          <w:szCs w:val="28"/>
        </w:rPr>
        <w:t>质疑处理</w:t>
      </w:r>
    </w:p>
    <w:p>
      <w:pPr>
        <w:rPr>
          <w:rFonts w:ascii="黑体" w:hAnsi="宋体" w:eastAsia="黑体"/>
          <w:sz w:val="24"/>
        </w:rPr>
      </w:pPr>
      <w:bookmarkStart w:id="104" w:name="_Hlk72439706"/>
      <w:r>
        <w:rPr>
          <w:rFonts w:hint="eastAsia" w:ascii="黑体" w:hAnsi="宋体" w:eastAsia="黑体"/>
          <w:sz w:val="24"/>
        </w:rPr>
        <w:t>52.质疑提出与答复</w:t>
      </w:r>
    </w:p>
    <w:p>
      <w:pPr>
        <w:rPr>
          <w:rFonts w:ascii="宋体" w:hAnsi="宋体"/>
          <w:szCs w:val="21"/>
        </w:rPr>
      </w:pPr>
      <w:r>
        <w:rPr>
          <w:rFonts w:hint="eastAsia" w:ascii="宋体" w:hAnsi="宋体"/>
          <w:szCs w:val="21"/>
        </w:rPr>
        <w:t xml:space="preserve">    52.1提出质疑</w:t>
      </w:r>
    </w:p>
    <w:p>
      <w:pPr>
        <w:rPr>
          <w:rFonts w:ascii="宋体" w:hAnsi="宋体"/>
          <w:szCs w:val="21"/>
        </w:rPr>
      </w:pPr>
      <w:r>
        <w:rPr>
          <w:rFonts w:hint="eastAsia" w:ascii="宋体" w:hAnsi="宋体"/>
          <w:szCs w:val="21"/>
        </w:rPr>
        <w:t xml:space="preserve">    参与政府采购活动的供应商认为自己的权益在采购活动中受到损害的，应当自知道或者应当知道其权益受到损害之日起七个工作日内向采购人、政府集中采购机构以书面形式提出质疑。</w:t>
      </w:r>
    </w:p>
    <w:p>
      <w:pPr>
        <w:rPr>
          <w:rFonts w:ascii="宋体" w:hAnsi="宋体"/>
          <w:szCs w:val="21"/>
        </w:rPr>
      </w:pPr>
      <w:r>
        <w:rPr>
          <w:rFonts w:hint="eastAsia" w:ascii="宋体" w:hAnsi="宋体"/>
          <w:szCs w:val="21"/>
        </w:rPr>
        <w:t xml:space="preserve">    52.2</w:t>
      </w:r>
      <w:r>
        <w:rPr>
          <w:rFonts w:ascii="宋体" w:hAnsi="宋体"/>
          <w:szCs w:val="21"/>
        </w:rPr>
        <w:t>法律依据</w:t>
      </w:r>
    </w:p>
    <w:p>
      <w:pPr>
        <w:rPr>
          <w:rFonts w:ascii="宋体" w:hAnsi="宋体"/>
          <w:szCs w:val="21"/>
        </w:rPr>
      </w:pPr>
      <w:r>
        <w:rPr>
          <w:rFonts w:hint="eastAsia" w:ascii="宋体" w:hAnsi="宋体"/>
          <w:szCs w:val="21"/>
        </w:rPr>
        <w:t xml:space="preserve">    《中华人民共和国政府采购法》、《中华人民共和国政府采购法实施条例》、</w:t>
      </w:r>
      <w:r>
        <w:rPr>
          <w:rFonts w:ascii="宋体" w:hAnsi="宋体"/>
          <w:szCs w:val="21"/>
        </w:rPr>
        <w:t>《</w:t>
      </w:r>
      <w:r>
        <w:rPr>
          <w:rFonts w:hint="eastAsia" w:ascii="宋体" w:hAnsi="宋体"/>
          <w:szCs w:val="21"/>
        </w:rPr>
        <w:t>深圳经济特区政府采购</w:t>
      </w:r>
      <w:r>
        <w:rPr>
          <w:rFonts w:ascii="宋体" w:hAnsi="宋体"/>
          <w:szCs w:val="21"/>
        </w:rPr>
        <w:t>条例</w:t>
      </w:r>
      <w:r>
        <w:rPr>
          <w:rFonts w:hint="eastAsia" w:ascii="宋体" w:hAnsi="宋体"/>
          <w:szCs w:val="21"/>
        </w:rPr>
        <w:t>》、《深圳经济特区政府采购条例实施细则》、《政府采购质疑和投诉办法》（财政部令第94号）和其他有关法律法规规定。</w:t>
      </w:r>
    </w:p>
    <w:p>
      <w:pPr>
        <w:rPr>
          <w:rFonts w:ascii="宋体" w:hAnsi="宋体"/>
          <w:szCs w:val="21"/>
        </w:rPr>
      </w:pPr>
      <w:r>
        <w:rPr>
          <w:rFonts w:hint="eastAsia" w:ascii="宋体" w:hAnsi="宋体"/>
          <w:szCs w:val="21"/>
        </w:rPr>
        <w:t xml:space="preserve">  </w:t>
      </w:r>
      <w:r>
        <w:rPr>
          <w:rFonts w:hint="eastAsia" w:ascii="宋体" w:hAnsi="宋体"/>
          <w:color w:val="FF0000"/>
          <w:szCs w:val="21"/>
        </w:rPr>
        <w:t xml:space="preserve">  </w:t>
      </w:r>
      <w:r>
        <w:rPr>
          <w:rFonts w:hint="eastAsia" w:ascii="宋体" w:hAnsi="宋体"/>
          <w:szCs w:val="21"/>
        </w:rPr>
        <w:t>52.3质疑条件</w:t>
      </w:r>
    </w:p>
    <w:p>
      <w:pPr>
        <w:rPr>
          <w:rFonts w:ascii="宋体" w:hAnsi="宋体"/>
          <w:szCs w:val="21"/>
        </w:rPr>
      </w:pPr>
      <w:r>
        <w:rPr>
          <w:rFonts w:hint="eastAsia" w:ascii="宋体" w:hAnsi="宋体"/>
          <w:szCs w:val="21"/>
        </w:rPr>
        <w:t xml:space="preserve">    52.3.1提出质疑的供应商应当是参与所质疑项目采购活动的供应商；以联合体形式参与的，质疑应当由组成联合体的所有成员共同提出；</w:t>
      </w:r>
    </w:p>
    <w:p>
      <w:pPr>
        <w:rPr>
          <w:rFonts w:ascii="宋体" w:hAnsi="宋体"/>
          <w:szCs w:val="21"/>
        </w:rPr>
      </w:pPr>
      <w:r>
        <w:rPr>
          <w:rFonts w:hint="eastAsia" w:ascii="宋体" w:hAnsi="宋体"/>
          <w:szCs w:val="21"/>
        </w:rPr>
        <w:t xml:space="preserve">    52.3.2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结果以及评审委员会组成人员的质疑，为中标结果公示之日；</w:t>
      </w:r>
    </w:p>
    <w:p>
      <w:pPr>
        <w:ind w:firstLine="420"/>
        <w:rPr>
          <w:rFonts w:ascii="宋体" w:hAnsi="宋体"/>
          <w:szCs w:val="21"/>
        </w:rPr>
      </w:pPr>
      <w:r>
        <w:rPr>
          <w:rFonts w:hint="eastAsia" w:ascii="宋体" w:hAnsi="宋体"/>
          <w:szCs w:val="21"/>
        </w:rPr>
        <w:t>52.3.3应提交书面质疑函，质疑函应当包括以下内容：</w:t>
      </w:r>
      <w:r>
        <w:rPr>
          <w:rFonts w:ascii="宋体" w:hAnsi="宋体"/>
          <w:szCs w:val="21"/>
        </w:rPr>
        <w:t xml:space="preserve"> </w:t>
      </w:r>
    </w:p>
    <w:p>
      <w:pPr>
        <w:ind w:firstLine="420"/>
        <w:rPr>
          <w:rFonts w:ascii="宋体" w:hAnsi="宋体"/>
          <w:szCs w:val="21"/>
        </w:rPr>
      </w:pPr>
      <w:r>
        <w:rPr>
          <w:rFonts w:hint="eastAsia" w:ascii="宋体" w:hAnsi="宋体"/>
          <w:szCs w:val="21"/>
        </w:rPr>
        <w:t>（1）供应商的名称（或者姓名）、地址、邮编、邮箱、联系人及联系电话；</w:t>
      </w:r>
    </w:p>
    <w:p>
      <w:pPr>
        <w:ind w:firstLine="420" w:firstLineChars="200"/>
        <w:rPr>
          <w:rFonts w:ascii="宋体" w:hAnsi="宋体"/>
          <w:szCs w:val="21"/>
        </w:rPr>
      </w:pPr>
      <w:r>
        <w:rPr>
          <w:rFonts w:hint="eastAsia" w:ascii="宋体" w:hAnsi="宋体"/>
          <w:szCs w:val="21"/>
        </w:rPr>
        <w:t>（2）质疑项目的名称、编号；</w:t>
      </w:r>
    </w:p>
    <w:p>
      <w:pPr>
        <w:ind w:firstLine="420" w:firstLineChars="200"/>
        <w:rPr>
          <w:rFonts w:ascii="宋体" w:hAnsi="宋体"/>
          <w:szCs w:val="21"/>
        </w:rPr>
      </w:pPr>
      <w:r>
        <w:rPr>
          <w:rFonts w:hint="eastAsia" w:ascii="宋体" w:hAnsi="宋体"/>
          <w:szCs w:val="21"/>
        </w:rPr>
        <w:t>（3）具体、明确的质疑对象、质疑事项和质疑请求；</w:t>
      </w:r>
    </w:p>
    <w:p>
      <w:pPr>
        <w:ind w:firstLine="420" w:firstLineChars="200"/>
        <w:rPr>
          <w:rFonts w:ascii="宋体" w:hAnsi="宋体"/>
          <w:szCs w:val="21"/>
        </w:rPr>
      </w:pPr>
      <w:r>
        <w:rPr>
          <w:rFonts w:hint="eastAsia" w:ascii="宋体" w:hAnsi="宋体"/>
          <w:szCs w:val="21"/>
        </w:rPr>
        <w:t>（4）因质疑事项而受损害的权益；</w:t>
      </w:r>
    </w:p>
    <w:p>
      <w:pPr>
        <w:ind w:firstLine="420" w:firstLineChars="200"/>
        <w:rPr>
          <w:rFonts w:ascii="宋体" w:hAnsi="宋体"/>
          <w:szCs w:val="21"/>
        </w:rPr>
      </w:pPr>
      <w:r>
        <w:rPr>
          <w:rFonts w:hint="eastAsia" w:ascii="宋体" w:hAnsi="宋体"/>
          <w:szCs w:val="21"/>
        </w:rPr>
        <w:t>（5）事实依据；</w:t>
      </w:r>
    </w:p>
    <w:p>
      <w:pPr>
        <w:ind w:firstLine="420" w:firstLineChars="200"/>
        <w:rPr>
          <w:rFonts w:ascii="宋体" w:hAnsi="宋体"/>
          <w:szCs w:val="21"/>
        </w:rPr>
      </w:pPr>
      <w:r>
        <w:rPr>
          <w:rFonts w:hint="eastAsia" w:ascii="宋体" w:hAnsi="宋体"/>
          <w:szCs w:val="21"/>
        </w:rPr>
        <w:t>（6）必要的法律依据；</w:t>
      </w:r>
    </w:p>
    <w:p>
      <w:pPr>
        <w:ind w:firstLine="420" w:firstLineChars="200"/>
        <w:rPr>
          <w:rFonts w:ascii="宋体" w:hAnsi="宋体"/>
          <w:szCs w:val="21"/>
        </w:rPr>
      </w:pPr>
      <w:r>
        <w:rPr>
          <w:rFonts w:hint="eastAsia" w:ascii="宋体" w:hAnsi="宋体"/>
          <w:szCs w:val="21"/>
        </w:rPr>
        <w:t>（7）提出质疑的日期。</w:t>
      </w:r>
    </w:p>
    <w:p>
      <w:pPr>
        <w:ind w:firstLine="420" w:firstLineChars="200"/>
        <w:rPr>
          <w:rFonts w:ascii="宋体" w:hAnsi="宋体"/>
          <w:szCs w:val="21"/>
        </w:rPr>
      </w:pPr>
      <w:r>
        <w:rPr>
          <w:rFonts w:hint="eastAsia" w:ascii="宋体" w:hAnsi="宋体"/>
          <w:szCs w:val="21"/>
        </w:rPr>
        <w:t>供应商为自然人的，应当由本人签字；供应商为法人或者其他组织的，应当由法定代表人（负责人），或者其授权代理人签字或者盖章，并加盖公章。</w:t>
      </w:r>
    </w:p>
    <w:p>
      <w:pPr>
        <w:ind w:firstLine="420" w:firstLineChars="200"/>
        <w:rPr>
          <w:rFonts w:ascii="宋体" w:hAnsi="宋体"/>
          <w:szCs w:val="21"/>
        </w:rPr>
      </w:pPr>
      <w:r>
        <w:rPr>
          <w:rFonts w:hint="eastAsia" w:ascii="宋体" w:hAnsi="宋体"/>
          <w:szCs w:val="21"/>
        </w:rPr>
        <w:t>52.4提交</w:t>
      </w:r>
      <w:r>
        <w:rPr>
          <w:rFonts w:ascii="宋体" w:hAnsi="宋体"/>
          <w:szCs w:val="21"/>
        </w:rPr>
        <w:t>材料</w:t>
      </w:r>
    </w:p>
    <w:p>
      <w:pPr>
        <w:ind w:firstLine="420" w:firstLineChars="200"/>
        <w:rPr>
          <w:rFonts w:ascii="宋体" w:hAnsi="宋体"/>
          <w:szCs w:val="21"/>
        </w:rPr>
      </w:pPr>
      <w:r>
        <w:rPr>
          <w:rFonts w:hint="eastAsia" w:ascii="宋体" w:hAnsi="宋体"/>
          <w:szCs w:val="21"/>
        </w:rPr>
        <w:t>供应商质疑实行实名制。供应商为自然人的，应当提交本人身份证复印件；供应商为法人或者其他组织的，应当根据自身性质提交营业执照复印件或者其他证明文件（如事业单位法人证书等）复印件。</w:t>
      </w:r>
    </w:p>
    <w:p>
      <w:pPr>
        <w:ind w:firstLine="420" w:firstLineChars="200"/>
        <w:rPr>
          <w:rFonts w:ascii="宋体" w:hAnsi="宋体"/>
          <w:szCs w:val="21"/>
        </w:rPr>
      </w:pPr>
      <w:r>
        <w:rPr>
          <w:rFonts w:hint="eastAsia" w:ascii="宋体" w:hAnsi="宋体"/>
          <w:szCs w:val="21"/>
        </w:rPr>
        <w:t>供应商可以委托代理人进行质疑。</w:t>
      </w:r>
      <w:r>
        <w:rPr>
          <w:rFonts w:ascii="宋体" w:hAnsi="宋体"/>
          <w:szCs w:val="21"/>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pPr>
        <w:ind w:firstLine="420" w:firstLineChars="200"/>
        <w:rPr>
          <w:rFonts w:ascii="宋体" w:hAnsi="宋体"/>
          <w:szCs w:val="21"/>
        </w:rPr>
      </w:pPr>
      <w:r>
        <w:rPr>
          <w:rFonts w:hint="eastAsia" w:ascii="宋体" w:hAnsi="宋体"/>
          <w:szCs w:val="21"/>
        </w:rPr>
        <w:t>52.5收文地点</w:t>
      </w:r>
    </w:p>
    <w:p>
      <w:pPr>
        <w:ind w:firstLine="420" w:firstLineChars="200"/>
        <w:rPr>
          <w:rFonts w:ascii="宋体" w:hAnsi="宋体"/>
          <w:b/>
          <w:bCs/>
          <w:szCs w:val="21"/>
        </w:rPr>
      </w:pPr>
      <w:r>
        <w:rPr>
          <w:rFonts w:hint="eastAsia" w:ascii="宋体" w:hAnsi="宋体"/>
          <w:bCs/>
          <w:szCs w:val="21"/>
        </w:rPr>
        <w:t>地址：</w:t>
      </w:r>
      <w:r>
        <w:rPr>
          <w:rFonts w:hint="eastAsia" w:ascii="宋体" w:hAnsi="宋体"/>
          <w:szCs w:val="21"/>
        </w:rPr>
        <w:t>深圳交易集团有限公司政府采购业务分公司三楼309室，质疑咨询电话：0755-83948143。</w:t>
      </w:r>
    </w:p>
    <w:p>
      <w:pPr>
        <w:ind w:firstLine="420" w:firstLineChars="200"/>
        <w:rPr>
          <w:rFonts w:ascii="宋体" w:hAnsi="宋体"/>
          <w:szCs w:val="21"/>
        </w:rPr>
      </w:pPr>
      <w:r>
        <w:rPr>
          <w:rFonts w:hint="eastAsia" w:ascii="宋体" w:hAnsi="宋体"/>
          <w:szCs w:val="21"/>
        </w:rPr>
        <w:t>52.6收文办理</w:t>
      </w:r>
      <w:r>
        <w:rPr>
          <w:rFonts w:ascii="宋体" w:hAnsi="宋体"/>
          <w:szCs w:val="21"/>
        </w:rPr>
        <w:t>程序</w:t>
      </w:r>
    </w:p>
    <w:p>
      <w:pPr>
        <w:ind w:firstLine="420" w:firstLineChars="200"/>
        <w:rPr>
          <w:rFonts w:ascii="宋体" w:hAnsi="宋体"/>
          <w:szCs w:val="21"/>
        </w:rPr>
      </w:pPr>
      <w:r>
        <w:rPr>
          <w:rFonts w:hint="eastAsia" w:ascii="宋体" w:hAnsi="宋体"/>
          <w:szCs w:val="21"/>
        </w:rPr>
        <w:t>52.6.1供应商提交的质疑符合受理条件的，政府集中采购机构自收到质疑材料之日起即为受理，应当向供应商出具质疑函收文回执并可以要求其递交质疑的法定代表人（负责人）或者授权代理人签署质疑文书送达地址确认书。</w:t>
      </w:r>
    </w:p>
    <w:p>
      <w:pPr>
        <w:ind w:firstLine="420" w:firstLineChars="200"/>
        <w:rPr>
          <w:rFonts w:ascii="仿宋" w:hAnsi="仿宋" w:eastAsia="仿宋"/>
          <w:sz w:val="28"/>
          <w:szCs w:val="28"/>
        </w:rPr>
      </w:pPr>
      <w:r>
        <w:rPr>
          <w:rFonts w:hint="eastAsia" w:ascii="宋体" w:hAnsi="宋体"/>
          <w:szCs w:val="21"/>
        </w:rPr>
        <w:t>52.6.2供应商提交的质疑材料不符合质疑条件的，视情况处理：</w:t>
      </w:r>
    </w:p>
    <w:p>
      <w:pPr>
        <w:ind w:firstLine="420" w:firstLineChars="200"/>
        <w:rPr>
          <w:rFonts w:ascii="宋体" w:hAnsi="宋体"/>
          <w:szCs w:val="21"/>
        </w:rPr>
      </w:pPr>
      <w:r>
        <w:rPr>
          <w:rFonts w:hint="eastAsia" w:ascii="宋体" w:hAnsi="宋体"/>
          <w:szCs w:val="21"/>
        </w:rPr>
        <w:t>供应商提交的质疑材料不全或者未按要求签字或者盖章的，政府集中采购机构应当一次性告知供应商需补正的内容和补正期限。</w:t>
      </w:r>
    </w:p>
    <w:p>
      <w:pPr>
        <w:ind w:firstLine="420" w:firstLineChars="200"/>
        <w:rPr>
          <w:rFonts w:ascii="宋体" w:hAnsi="宋体"/>
          <w:szCs w:val="21"/>
        </w:rPr>
      </w:pPr>
      <w:r>
        <w:rPr>
          <w:rFonts w:hint="eastAsia" w:ascii="宋体" w:hAnsi="宋体"/>
          <w:szCs w:val="21"/>
        </w:rPr>
        <w:t>供应商提交的质疑存在下列情形之一的，不予受理：</w:t>
      </w:r>
    </w:p>
    <w:p>
      <w:pPr>
        <w:ind w:firstLine="420" w:firstLineChars="200"/>
        <w:rPr>
          <w:rFonts w:ascii="宋体" w:hAnsi="宋体"/>
          <w:szCs w:val="21"/>
        </w:rPr>
      </w:pPr>
      <w:r>
        <w:rPr>
          <w:rFonts w:hint="eastAsia" w:ascii="宋体" w:hAnsi="宋体"/>
          <w:szCs w:val="21"/>
        </w:rPr>
        <w:t>（1）质疑主体不满足要求的；</w:t>
      </w:r>
    </w:p>
    <w:p>
      <w:pPr>
        <w:ind w:firstLine="420" w:firstLineChars="200"/>
        <w:rPr>
          <w:rFonts w:ascii="宋体" w:hAnsi="宋体"/>
          <w:szCs w:val="21"/>
        </w:rPr>
      </w:pPr>
      <w:r>
        <w:rPr>
          <w:rFonts w:hint="eastAsia" w:ascii="宋体" w:hAnsi="宋体"/>
          <w:szCs w:val="21"/>
        </w:rPr>
        <w:t>（2）供应商自身权益未受到损害的；</w:t>
      </w:r>
    </w:p>
    <w:p>
      <w:pPr>
        <w:ind w:firstLine="420" w:firstLineChars="200"/>
        <w:rPr>
          <w:rFonts w:ascii="宋体" w:hAnsi="宋体"/>
          <w:szCs w:val="21"/>
        </w:rPr>
      </w:pPr>
      <w:r>
        <w:rPr>
          <w:rFonts w:hint="eastAsia" w:ascii="宋体" w:hAnsi="宋体"/>
          <w:szCs w:val="21"/>
        </w:rPr>
        <w:t>（3）供应商未在法定质疑期限内提出质疑的；</w:t>
      </w:r>
    </w:p>
    <w:p>
      <w:pPr>
        <w:ind w:firstLine="420" w:firstLineChars="200"/>
        <w:rPr>
          <w:rFonts w:ascii="宋体" w:hAnsi="宋体"/>
          <w:szCs w:val="21"/>
        </w:rPr>
      </w:pPr>
      <w:r>
        <w:rPr>
          <w:rFonts w:hint="eastAsia" w:ascii="宋体" w:hAnsi="宋体"/>
          <w:szCs w:val="21"/>
        </w:rPr>
        <w:t>（4）质疑材料不全或者未按要求签字或者盖章的情况下，要求补正后，逾期未补正或者补正后仍不符合规定的；</w:t>
      </w:r>
    </w:p>
    <w:p>
      <w:pPr>
        <w:ind w:firstLine="420" w:firstLineChars="200"/>
        <w:rPr>
          <w:rFonts w:ascii="宋体" w:hAnsi="宋体"/>
          <w:szCs w:val="21"/>
        </w:rPr>
      </w:pPr>
      <w:r>
        <w:rPr>
          <w:rFonts w:hint="eastAsia" w:ascii="宋体" w:hAnsi="宋体"/>
          <w:szCs w:val="21"/>
        </w:rPr>
        <w:t>（5）其他不符合受理条件情形的。</w:t>
      </w:r>
    </w:p>
    <w:p>
      <w:pPr>
        <w:ind w:firstLine="420" w:firstLineChars="200"/>
        <w:rPr>
          <w:rFonts w:ascii="宋体" w:hAnsi="宋体"/>
          <w:szCs w:val="21"/>
        </w:rPr>
      </w:pPr>
      <w:r>
        <w:rPr>
          <w:rFonts w:hint="eastAsia" w:ascii="宋体" w:hAnsi="宋体"/>
          <w:szCs w:val="21"/>
        </w:rPr>
        <w:t>质疑事项不予受理的，政府集中采购机构应当向供应商出具不符合质疑条件告知书。</w:t>
      </w:r>
    </w:p>
    <w:p>
      <w:pPr>
        <w:rPr>
          <w:rFonts w:ascii="宋体" w:hAnsi="宋体"/>
          <w:szCs w:val="21"/>
        </w:rPr>
      </w:pPr>
      <w:r>
        <w:rPr>
          <w:rFonts w:hint="eastAsia" w:ascii="宋体" w:hAnsi="宋体"/>
          <w:color w:val="FF0000"/>
          <w:szCs w:val="21"/>
        </w:rPr>
        <w:t xml:space="preserve">  </w:t>
      </w:r>
      <w:r>
        <w:rPr>
          <w:rFonts w:hint="eastAsia" w:ascii="宋体" w:hAnsi="宋体"/>
          <w:szCs w:val="21"/>
        </w:rPr>
        <w:t xml:space="preserve">  52.7质疑答复时限</w:t>
      </w:r>
    </w:p>
    <w:p>
      <w:pPr>
        <w:rPr>
          <w:rFonts w:ascii="宋体" w:hAnsi="宋体"/>
          <w:szCs w:val="21"/>
        </w:rPr>
      </w:pPr>
      <w:r>
        <w:rPr>
          <w:rFonts w:hint="eastAsia" w:ascii="宋体" w:hAnsi="宋体"/>
          <w:szCs w:val="21"/>
        </w:rPr>
        <w:t xml:space="preserve">    自收文之日起七个工作日内。</w:t>
      </w:r>
    </w:p>
    <w:p>
      <w:pPr>
        <w:rPr>
          <w:rFonts w:ascii="宋体" w:hAnsi="宋体"/>
          <w:szCs w:val="21"/>
        </w:rPr>
      </w:pPr>
      <w:r>
        <w:rPr>
          <w:rFonts w:hint="eastAsia" w:ascii="宋体" w:hAnsi="宋体"/>
          <w:szCs w:val="21"/>
        </w:rPr>
        <w:t xml:space="preserve">    52.8投诉</w:t>
      </w:r>
    </w:p>
    <w:p>
      <w:pPr>
        <w:rPr>
          <w:rFonts w:ascii="宋体" w:hAnsi="宋体"/>
          <w:szCs w:val="21"/>
        </w:rPr>
      </w:pPr>
      <w:r>
        <w:rPr>
          <w:rFonts w:hint="eastAsia" w:ascii="宋体" w:hAnsi="宋体"/>
          <w:szCs w:val="21"/>
        </w:rPr>
        <w:t xml:space="preserve">    对质疑答复不满意或者未在规定时间内答复的，提出质疑的供应商可以在答复期满后15个工作日内向同级财政部门投诉。</w:t>
      </w:r>
    </w:p>
    <w:p>
      <w:pPr>
        <w:rPr>
          <w:rFonts w:ascii="黑体" w:hAnsi="宋体" w:eastAsia="黑体"/>
          <w:sz w:val="24"/>
        </w:rPr>
      </w:pPr>
      <w:r>
        <w:rPr>
          <w:rFonts w:hint="eastAsia" w:ascii="黑体" w:hAnsi="宋体" w:eastAsia="黑体"/>
          <w:sz w:val="24"/>
        </w:rPr>
        <w:t>53. 质疑后续处理</w:t>
      </w:r>
    </w:p>
    <w:p>
      <w:pPr>
        <w:rPr>
          <w:rFonts w:ascii="宋体" w:hAnsi="宋体"/>
          <w:szCs w:val="21"/>
        </w:rPr>
      </w:pPr>
      <w:r>
        <w:rPr>
          <w:rFonts w:hint="eastAsia" w:ascii="宋体" w:hAnsi="宋体"/>
          <w:szCs w:val="21"/>
        </w:rPr>
        <w:t xml:space="preserve">    53.1供应商质疑不成立，或者成立但未对中标、成交结果构成影响的，继续开展采购活动。</w:t>
      </w:r>
    </w:p>
    <w:p>
      <w:pPr>
        <w:rPr>
          <w:rFonts w:ascii="宋体" w:hAnsi="宋体"/>
          <w:szCs w:val="21"/>
        </w:rPr>
      </w:pPr>
      <w:r>
        <w:rPr>
          <w:rFonts w:hint="eastAsia" w:ascii="宋体" w:hAnsi="宋体"/>
          <w:szCs w:val="21"/>
        </w:rPr>
        <w:t xml:space="preserve">    53.2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pPr>
        <w:jc w:val="center"/>
      </w:pPr>
      <w:r>
        <w:t>---- END ----</w:t>
      </w:r>
    </w:p>
    <w:bookmarkEnd w:id="104"/>
    <w:p/>
    <w:p>
      <w:pPr>
        <w:ind w:firstLine="420" w:firstLineChars="200"/>
        <w:rPr>
          <w:rFonts w:ascii="宋体" w:hAnsi="宋体"/>
          <w:szCs w:val="21"/>
        </w:rPr>
      </w:pPr>
    </w:p>
    <w:sectPr>
      <w:pgSz w:w="11907" w:h="16840"/>
      <w:pgMar w:top="1440" w:right="1797" w:bottom="1440" w:left="1797" w:header="851" w:footer="992" w:gutter="0"/>
      <w:cols w:space="425" w:num="1"/>
      <w:titlePg/>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Arial Unicode MS">
    <w:altName w:val="Arial"/>
    <w:panose1 w:val="020B06040202020202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长城仿宋">
    <w:altName w:val="仿宋"/>
    <w:panose1 w:val="00000000000000000000"/>
    <w:charset w:val="86"/>
    <w:family w:val="modern"/>
    <w:pitch w:val="default"/>
    <w:sig w:usb0="00000000" w:usb1="00000000" w:usb2="00000010" w:usb3="00000000" w:csb0="00040000" w:csb1="00000000"/>
  </w:font>
  <w:font w:name="Helvetica">
    <w:altName w:val="Arial"/>
    <w:panose1 w:val="020B0504020202030204"/>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文鼎粗黑">
    <w:altName w:val="黑体"/>
    <w:panose1 w:val="00000000000000000000"/>
    <w:charset w:val="86"/>
    <w:family w:val="modern"/>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9" w:usb3="00000000" w:csb0="000001FF" w:csb1="00000000"/>
  </w:font>
  <w:font w:name="Cambria">
    <w:panose1 w:val="02040503050406030204"/>
    <w:charset w:val="00"/>
    <w:family w:val="roman"/>
    <w:pitch w:val="default"/>
    <w:sig w:usb0="E00002FF" w:usb1="400004FF" w:usb2="0000000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
    <w:altName w:val="Times New Roman"/>
    <w:panose1 w:val="00000000000000000000"/>
    <w:charset w:val="01"/>
    <w:family w:val="auto"/>
    <w:pitch w:val="default"/>
    <w:sig w:usb0="00000000" w:usb1="00000000" w:usb2="00000000" w:usb3="00000000" w:csb0="00040001" w:csb1="00000000"/>
  </w:font>
  <w:font w:name="汉仪细等线简">
    <w:altName w:val="宋体"/>
    <w:panose1 w:val="00000000000000000000"/>
    <w:charset w:val="86"/>
    <w:family w:val="modern"/>
    <w:pitch w:val="default"/>
    <w:sig w:usb0="00000000" w:usb1="00000000" w:usb2="00000012" w:usb3="00000000" w:csb0="00040000" w:csb1="00000000"/>
  </w:font>
  <w:font w:name="H Yb 2gj">
    <w:altName w:val="黑体"/>
    <w:panose1 w:val="00000000000000000000"/>
    <w:charset w:val="86"/>
    <w:family w:val="auto"/>
    <w:pitch w:val="default"/>
    <w:sig w:usb0="00000000" w:usb1="00000000" w:usb2="00000010" w:usb3="00000000" w:csb0="00040000" w:csb1="00000000"/>
  </w:font>
  <w:font w:name="幼圆">
    <w:altName w:val="宋体"/>
    <w:panose1 w:val="0201050906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center" w:y="1"/>
      <w:rPr>
        <w:rStyle w:val="46"/>
      </w:rPr>
    </w:pPr>
    <w:r>
      <w:t xml:space="preserve">- </w:t>
    </w:r>
    <w:r>
      <w:fldChar w:fldCharType="begin"/>
    </w:r>
    <w:r>
      <w:instrText xml:space="preserve"> PAGE </w:instrText>
    </w:r>
    <w:r>
      <w:fldChar w:fldCharType="separate"/>
    </w:r>
    <w:r>
      <w:t>7</w:t>
    </w:r>
    <w:r>
      <w:fldChar w:fldCharType="end"/>
    </w:r>
    <w:r>
      <w:t xml:space="preserve"> -</w:t>
    </w:r>
  </w:p>
  <w:p>
    <w:pPr>
      <w:pStyle w:val="2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center" w:y="1"/>
      <w:rPr>
        <w:rStyle w:val="46"/>
      </w:rPr>
    </w:pPr>
    <w:r>
      <w:rPr>
        <w:rStyle w:val="46"/>
      </w:rPr>
      <w:fldChar w:fldCharType="begin"/>
    </w:r>
    <w:r>
      <w:rPr>
        <w:rStyle w:val="46"/>
      </w:rPr>
      <w:instrText xml:space="preserve">PAGE  </w:instrText>
    </w:r>
    <w:r>
      <w:rPr>
        <w:rStyle w:val="46"/>
      </w:rPr>
      <w:fldChar w:fldCharType="end"/>
    </w:r>
  </w:p>
  <w:p>
    <w:pPr>
      <w:pStyle w:val="2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57"/>
      <w:lvlText w:val="%1."/>
      <w:lvlJc w:val="left"/>
      <w:pPr>
        <w:tabs>
          <w:tab w:val="left" w:pos="2040"/>
        </w:tabs>
        <w:ind w:left="2040" w:leftChars="800" w:hanging="360" w:hangingChars="200"/>
      </w:pPr>
    </w:lvl>
  </w:abstractNum>
  <w:abstractNum w:abstractNumId="1">
    <w:nsid w:val="FFFFFF89"/>
    <w:multiLevelType w:val="singleLevel"/>
    <w:tmpl w:val="FFFFFF89"/>
    <w:lvl w:ilvl="0" w:tentative="0">
      <w:start w:val="1"/>
      <w:numFmt w:val="bullet"/>
      <w:pStyle w:val="14"/>
      <w:lvlText w:val=""/>
      <w:lvlJc w:val="left"/>
      <w:pPr>
        <w:tabs>
          <w:tab w:val="left" w:pos="360"/>
        </w:tabs>
        <w:ind w:left="360" w:hanging="360" w:hangingChars="200"/>
      </w:pPr>
      <w:rPr>
        <w:rFonts w:hint="default" w:ascii="Wingdings" w:hAnsi="Wingdings"/>
      </w:rPr>
    </w:lvl>
  </w:abstractNum>
  <w:abstractNum w:abstractNumId="2">
    <w:nsid w:val="09F81FD3"/>
    <w:multiLevelType w:val="multilevel"/>
    <w:tmpl w:val="09F81FD3"/>
    <w:lvl w:ilvl="0" w:tentative="0">
      <w:start w:val="1"/>
      <w:numFmt w:val="japaneseCounting"/>
      <w:lvlText w:val="第%1章"/>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BC1D681"/>
    <w:multiLevelType w:val="singleLevel"/>
    <w:tmpl w:val="0BC1D681"/>
    <w:lvl w:ilvl="0" w:tentative="0">
      <w:start w:val="2"/>
      <w:numFmt w:val="decimal"/>
      <w:suff w:val="nothing"/>
      <w:lvlText w:val="%1、"/>
      <w:lvlJc w:val="left"/>
    </w:lvl>
  </w:abstractNum>
  <w:abstractNum w:abstractNumId="4">
    <w:nsid w:val="12503483"/>
    <w:multiLevelType w:val="multilevel"/>
    <w:tmpl w:val="12503483"/>
    <w:lvl w:ilvl="0" w:tentative="0">
      <w:start w:val="1"/>
      <w:numFmt w:val="bullet"/>
      <w:pStyle w:val="104"/>
      <w:lvlText w:val=""/>
      <w:lvlJc w:val="left"/>
      <w:pPr>
        <w:tabs>
          <w:tab w:val="left" w:pos="420"/>
        </w:tabs>
        <w:ind w:left="420" w:hanging="420"/>
      </w:pPr>
      <w:rPr>
        <w:rFonts w:hint="default" w:ascii="Wingdings" w:hAnsi="Wingdings"/>
      </w:rPr>
    </w:lvl>
    <w:lvl w:ilvl="1" w:tentative="0">
      <w:start w:val="1"/>
      <w:numFmt w:val="bullet"/>
      <w:pStyle w:val="103"/>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5">
    <w:nsid w:val="160D20D0"/>
    <w:multiLevelType w:val="multilevel"/>
    <w:tmpl w:val="160D20D0"/>
    <w:lvl w:ilvl="0" w:tentative="0">
      <w:start w:val="1"/>
      <w:numFmt w:val="bullet"/>
      <w:pStyle w:val="72"/>
      <w:lvlText w:val=""/>
      <w:lvlJc w:val="left"/>
      <w:pPr>
        <w:tabs>
          <w:tab w:val="left" w:pos="840"/>
        </w:tabs>
        <w:ind w:left="840" w:hanging="420"/>
      </w:pPr>
      <w:rPr>
        <w:rFonts w:hint="default" w:ascii="Wingdings" w:hAnsi="Wingdings"/>
      </w:rPr>
    </w:lvl>
    <w:lvl w:ilvl="1" w:tentative="0">
      <w:start w:val="1"/>
      <w:numFmt w:val="bullet"/>
      <w:pStyle w:val="73"/>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6">
    <w:nsid w:val="1A9736F1"/>
    <w:multiLevelType w:val="multilevel"/>
    <w:tmpl w:val="1A9736F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2F395B7B"/>
    <w:multiLevelType w:val="multilevel"/>
    <w:tmpl w:val="2F395B7B"/>
    <w:lvl w:ilvl="0" w:tentative="0">
      <w:start w:val="1"/>
      <w:numFmt w:val="bullet"/>
      <w:pStyle w:val="164"/>
      <w:lvlText w:val=""/>
      <w:lvlJc w:val="left"/>
      <w:pPr>
        <w:tabs>
          <w:tab w:val="left" w:pos="360"/>
        </w:tabs>
        <w:ind w:left="360" w:hanging="360"/>
      </w:pPr>
      <w:rPr>
        <w:rFonts w:hint="default" w:ascii="Symbol" w:hAnsi="Symbol"/>
      </w:rPr>
    </w:lvl>
    <w:lvl w:ilvl="1" w:tentative="0">
      <w:start w:val="1"/>
      <w:numFmt w:val="bullet"/>
      <w:lvlText w:val=""/>
      <w:lvlJc w:val="left"/>
      <w:pPr>
        <w:tabs>
          <w:tab w:val="left" w:pos="1140"/>
        </w:tabs>
        <w:ind w:left="1140" w:hanging="420"/>
      </w:pPr>
      <w:rPr>
        <w:rFonts w:hint="default" w:ascii="Wingdings" w:hAnsi="Wingdings"/>
      </w:rPr>
    </w:lvl>
    <w:lvl w:ilvl="2" w:tentative="0">
      <w:start w:val="1"/>
      <w:numFmt w:val="bullet"/>
      <w:lvlText w:val=""/>
      <w:lvlJc w:val="left"/>
      <w:pPr>
        <w:tabs>
          <w:tab w:val="left" w:pos="1800"/>
        </w:tabs>
        <w:ind w:left="1800" w:hanging="360"/>
      </w:pPr>
      <w:rPr>
        <w:rFonts w:hint="default" w:ascii="Wingdings" w:hAnsi="Wingdings"/>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o"/>
      <w:lvlJc w:val="left"/>
      <w:pPr>
        <w:tabs>
          <w:tab w:val="left" w:pos="3240"/>
        </w:tabs>
        <w:ind w:left="3240" w:hanging="360"/>
      </w:pPr>
      <w:rPr>
        <w:rFonts w:hint="default" w:ascii="Courier New" w:hAnsi="Courier New" w:cs="Courier New"/>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o"/>
      <w:lvlJc w:val="left"/>
      <w:pPr>
        <w:tabs>
          <w:tab w:val="left" w:pos="5400"/>
        </w:tabs>
        <w:ind w:left="5400" w:hanging="360"/>
      </w:pPr>
      <w:rPr>
        <w:rFonts w:hint="default" w:ascii="Courier New" w:hAnsi="Courier New" w:cs="Courier New"/>
      </w:rPr>
    </w:lvl>
    <w:lvl w:ilvl="8" w:tentative="0">
      <w:start w:val="1"/>
      <w:numFmt w:val="bullet"/>
      <w:lvlText w:val=""/>
      <w:lvlJc w:val="left"/>
      <w:pPr>
        <w:tabs>
          <w:tab w:val="left" w:pos="6120"/>
        </w:tabs>
        <w:ind w:left="6120" w:hanging="360"/>
      </w:pPr>
      <w:rPr>
        <w:rFonts w:hint="default" w:ascii="Wingdings" w:hAnsi="Wingdings"/>
      </w:rPr>
    </w:lvl>
  </w:abstractNum>
  <w:abstractNum w:abstractNumId="8">
    <w:nsid w:val="32E81E6E"/>
    <w:multiLevelType w:val="multilevel"/>
    <w:tmpl w:val="32E81E6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3E61598D"/>
    <w:multiLevelType w:val="multilevel"/>
    <w:tmpl w:val="3E61598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41A81DE7"/>
    <w:multiLevelType w:val="multilevel"/>
    <w:tmpl w:val="41A81DE7"/>
    <w:lvl w:ilvl="0" w:tentative="0">
      <w:start w:val="1"/>
      <w:numFmt w:val="bullet"/>
      <w:lvlText w:val=""/>
      <w:lvlJc w:val="left"/>
      <w:pPr>
        <w:tabs>
          <w:tab w:val="left" w:pos="720"/>
        </w:tabs>
        <w:ind w:left="720" w:hanging="360"/>
      </w:pPr>
      <w:rPr>
        <w:rFonts w:hint="default" w:ascii="Wingdings" w:hAnsi="Wingdings"/>
        <w:sz w:val="20"/>
      </w:rPr>
    </w:lvl>
    <w:lvl w:ilvl="1" w:tentative="0">
      <w:start w:val="1"/>
      <w:numFmt w:val="bullet"/>
      <w:lvlText w:val=""/>
      <w:lvlJc w:val="left"/>
      <w:pPr>
        <w:tabs>
          <w:tab w:val="left" w:pos="1440"/>
        </w:tabs>
        <w:ind w:left="1440" w:hanging="360"/>
      </w:pPr>
      <w:rPr>
        <w:rFonts w:hint="default" w:ascii="Wingdings" w:hAnsi="Wingdings"/>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1">
    <w:nsid w:val="47390BA9"/>
    <w:multiLevelType w:val="multilevel"/>
    <w:tmpl w:val="47390BA9"/>
    <w:lvl w:ilvl="0" w:tentative="0">
      <w:start w:val="1"/>
      <w:numFmt w:val="decimal"/>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2">
    <w:nsid w:val="56F53628"/>
    <w:multiLevelType w:val="multilevel"/>
    <w:tmpl w:val="56F53628"/>
    <w:lvl w:ilvl="0" w:tentative="0">
      <w:start w:val="1"/>
      <w:numFmt w:val="decimal"/>
      <w:lvlText w:val="%1"/>
      <w:lvlJc w:val="left"/>
      <w:pPr>
        <w:ind w:left="480" w:hanging="480"/>
      </w:pPr>
      <w:rPr>
        <w:rFonts w:hint="eastAsia"/>
      </w:rPr>
    </w:lvl>
    <w:lvl w:ilvl="1" w:tentative="0">
      <w:start w:val="1"/>
      <w:numFmt w:val="decimal"/>
      <w:lvlText w:val="%2."/>
      <w:lvlJc w:val="left"/>
      <w:pPr>
        <w:ind w:left="840" w:hanging="360"/>
      </w:pPr>
      <w:rPr>
        <w:rFonts w:hint="default" w:cs="宋体"/>
      </w:r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lowerLetter"/>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lowerLetter"/>
      <w:lvlText w:val="%8)"/>
      <w:lvlJc w:val="left"/>
      <w:pPr>
        <w:ind w:left="3840" w:hanging="480"/>
      </w:pPr>
    </w:lvl>
    <w:lvl w:ilvl="8" w:tentative="0">
      <w:start w:val="1"/>
      <w:numFmt w:val="lowerRoman"/>
      <w:lvlText w:val="%9."/>
      <w:lvlJc w:val="right"/>
      <w:pPr>
        <w:ind w:left="4320" w:hanging="480"/>
      </w:pPr>
    </w:lvl>
  </w:abstractNum>
  <w:abstractNum w:abstractNumId="13">
    <w:nsid w:val="5B0B7543"/>
    <w:multiLevelType w:val="multilevel"/>
    <w:tmpl w:val="5B0B7543"/>
    <w:lvl w:ilvl="0" w:tentative="0">
      <w:start w:val="1"/>
      <w:numFmt w:val="bullet"/>
      <w:lvlText w:val=""/>
      <w:lvlJc w:val="left"/>
      <w:pPr>
        <w:tabs>
          <w:tab w:val="left" w:pos="720"/>
        </w:tabs>
        <w:ind w:left="720" w:hanging="360"/>
      </w:pPr>
      <w:rPr>
        <w:rFonts w:hint="default" w:ascii="Wingdings" w:hAnsi="Wingdings"/>
        <w:sz w:val="20"/>
      </w:rPr>
    </w:lvl>
    <w:lvl w:ilvl="1" w:tentative="0">
      <w:start w:val="1"/>
      <w:numFmt w:val="bullet"/>
      <w:lvlText w:val=""/>
      <w:lvlJc w:val="left"/>
      <w:pPr>
        <w:tabs>
          <w:tab w:val="left" w:pos="1440"/>
        </w:tabs>
        <w:ind w:left="1440" w:hanging="360"/>
      </w:pPr>
      <w:rPr>
        <w:rFonts w:hint="default" w:ascii="Wingdings" w:hAnsi="Wingdings"/>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4">
    <w:nsid w:val="62D605F5"/>
    <w:multiLevelType w:val="multilevel"/>
    <w:tmpl w:val="62D605F5"/>
    <w:lvl w:ilvl="0" w:tentative="0">
      <w:start w:val="1"/>
      <w:numFmt w:val="decimal"/>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5">
    <w:nsid w:val="67015EF0"/>
    <w:multiLevelType w:val="multilevel"/>
    <w:tmpl w:val="67015EF0"/>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7AEF7716"/>
    <w:multiLevelType w:val="multilevel"/>
    <w:tmpl w:val="7AEF7716"/>
    <w:lvl w:ilvl="0" w:tentative="0">
      <w:start w:val="1"/>
      <w:numFmt w:val="chineseCountingThousand"/>
      <w:pStyle w:val="117"/>
      <w:lvlText w:val="%1"/>
      <w:lvlJc w:val="left"/>
      <w:pPr>
        <w:tabs>
          <w:tab w:val="left" w:pos="1290"/>
        </w:tabs>
        <w:ind w:left="630" w:hanging="420"/>
      </w:pPr>
      <w:rPr>
        <w:rFonts w:hint="eastAsia"/>
        <w:sz w:val="32"/>
        <w:szCs w:val="32"/>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 w:numId="3">
    <w:abstractNumId w:val="5"/>
  </w:num>
  <w:num w:numId="4">
    <w:abstractNumId w:val="4"/>
  </w:num>
  <w:num w:numId="5">
    <w:abstractNumId w:val="16"/>
  </w:num>
  <w:num w:numId="6">
    <w:abstractNumId w:val="7"/>
  </w:num>
  <w:num w:numId="7">
    <w:abstractNumId w:val="13"/>
  </w:num>
  <w:num w:numId="8">
    <w:abstractNumId w:val="3"/>
  </w:num>
  <w:num w:numId="9">
    <w:abstractNumId w:val="6"/>
  </w:num>
  <w:num w:numId="10">
    <w:abstractNumId w:val="9"/>
  </w:num>
  <w:num w:numId="11">
    <w:abstractNumId w:val="8"/>
  </w:num>
  <w:num w:numId="12">
    <w:abstractNumId w:val="10"/>
  </w:num>
  <w:num w:numId="13">
    <w:abstractNumId w:val="12"/>
  </w:num>
  <w:num w:numId="14">
    <w:abstractNumId w:val="14"/>
  </w:num>
  <w:num w:numId="15">
    <w:abstractNumId w:val="11"/>
  </w:num>
  <w:num w:numId="16">
    <w:abstractNumId w:val="15"/>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WQ4MWVjNjUyMjQxYzNkZjM4ZjY1MTZjN2ExM2Q2YTQifQ=="/>
  </w:docVars>
  <w:rsids>
    <w:rsidRoot w:val="006C5683"/>
    <w:rsid w:val="00000AD9"/>
    <w:rsid w:val="000041AD"/>
    <w:rsid w:val="000043C0"/>
    <w:rsid w:val="000050CA"/>
    <w:rsid w:val="000051C6"/>
    <w:rsid w:val="00005215"/>
    <w:rsid w:val="00005A10"/>
    <w:rsid w:val="00005D3D"/>
    <w:rsid w:val="00006CA2"/>
    <w:rsid w:val="00006F7B"/>
    <w:rsid w:val="00007355"/>
    <w:rsid w:val="00007951"/>
    <w:rsid w:val="00007DB0"/>
    <w:rsid w:val="00010063"/>
    <w:rsid w:val="00010102"/>
    <w:rsid w:val="00011EA6"/>
    <w:rsid w:val="00012B21"/>
    <w:rsid w:val="00012CCE"/>
    <w:rsid w:val="0001300F"/>
    <w:rsid w:val="00013262"/>
    <w:rsid w:val="0001480D"/>
    <w:rsid w:val="00014A5C"/>
    <w:rsid w:val="00015388"/>
    <w:rsid w:val="00015BDD"/>
    <w:rsid w:val="00015C88"/>
    <w:rsid w:val="000162DC"/>
    <w:rsid w:val="000169F2"/>
    <w:rsid w:val="00016D97"/>
    <w:rsid w:val="0001716B"/>
    <w:rsid w:val="00017F81"/>
    <w:rsid w:val="00020691"/>
    <w:rsid w:val="000211EA"/>
    <w:rsid w:val="000234B2"/>
    <w:rsid w:val="00025AE4"/>
    <w:rsid w:val="0002684B"/>
    <w:rsid w:val="000269F0"/>
    <w:rsid w:val="00027645"/>
    <w:rsid w:val="00027DAC"/>
    <w:rsid w:val="000300AE"/>
    <w:rsid w:val="000300EE"/>
    <w:rsid w:val="000302B6"/>
    <w:rsid w:val="0003106D"/>
    <w:rsid w:val="00031700"/>
    <w:rsid w:val="00031F6E"/>
    <w:rsid w:val="0003277F"/>
    <w:rsid w:val="00032948"/>
    <w:rsid w:val="00032ACA"/>
    <w:rsid w:val="00032B0A"/>
    <w:rsid w:val="0003315D"/>
    <w:rsid w:val="00033DE7"/>
    <w:rsid w:val="0003541F"/>
    <w:rsid w:val="00035CD1"/>
    <w:rsid w:val="00036A2B"/>
    <w:rsid w:val="000377D2"/>
    <w:rsid w:val="00040D3C"/>
    <w:rsid w:val="00040E5A"/>
    <w:rsid w:val="000417D2"/>
    <w:rsid w:val="00042897"/>
    <w:rsid w:val="00042C84"/>
    <w:rsid w:val="00043739"/>
    <w:rsid w:val="00043A89"/>
    <w:rsid w:val="00045739"/>
    <w:rsid w:val="00046D30"/>
    <w:rsid w:val="000510B6"/>
    <w:rsid w:val="00051133"/>
    <w:rsid w:val="00051F3F"/>
    <w:rsid w:val="000521D8"/>
    <w:rsid w:val="00052BC1"/>
    <w:rsid w:val="00053A89"/>
    <w:rsid w:val="00054D1F"/>
    <w:rsid w:val="0005582B"/>
    <w:rsid w:val="00056247"/>
    <w:rsid w:val="00056292"/>
    <w:rsid w:val="00056C11"/>
    <w:rsid w:val="00057302"/>
    <w:rsid w:val="00057332"/>
    <w:rsid w:val="0005785A"/>
    <w:rsid w:val="00057D00"/>
    <w:rsid w:val="00057DC0"/>
    <w:rsid w:val="00060B1F"/>
    <w:rsid w:val="0006267A"/>
    <w:rsid w:val="00062D0D"/>
    <w:rsid w:val="0006335B"/>
    <w:rsid w:val="00063C25"/>
    <w:rsid w:val="00064231"/>
    <w:rsid w:val="000647AF"/>
    <w:rsid w:val="00064892"/>
    <w:rsid w:val="00064C7A"/>
    <w:rsid w:val="00066026"/>
    <w:rsid w:val="000661FF"/>
    <w:rsid w:val="00066537"/>
    <w:rsid w:val="0006660A"/>
    <w:rsid w:val="0006670C"/>
    <w:rsid w:val="00067960"/>
    <w:rsid w:val="0007003A"/>
    <w:rsid w:val="00070210"/>
    <w:rsid w:val="000707BF"/>
    <w:rsid w:val="000722CF"/>
    <w:rsid w:val="0007277D"/>
    <w:rsid w:val="000734CD"/>
    <w:rsid w:val="00074403"/>
    <w:rsid w:val="00074CF0"/>
    <w:rsid w:val="000750DC"/>
    <w:rsid w:val="00075735"/>
    <w:rsid w:val="0007583C"/>
    <w:rsid w:val="00076057"/>
    <w:rsid w:val="000770EC"/>
    <w:rsid w:val="00081E95"/>
    <w:rsid w:val="00082667"/>
    <w:rsid w:val="00082AD2"/>
    <w:rsid w:val="00083DC6"/>
    <w:rsid w:val="000840D4"/>
    <w:rsid w:val="00084857"/>
    <w:rsid w:val="00084F26"/>
    <w:rsid w:val="0008503C"/>
    <w:rsid w:val="000850AF"/>
    <w:rsid w:val="0008517A"/>
    <w:rsid w:val="000852EB"/>
    <w:rsid w:val="00086539"/>
    <w:rsid w:val="000869D8"/>
    <w:rsid w:val="00086CA6"/>
    <w:rsid w:val="00090213"/>
    <w:rsid w:val="000903AC"/>
    <w:rsid w:val="000904F3"/>
    <w:rsid w:val="0009152E"/>
    <w:rsid w:val="00092FC7"/>
    <w:rsid w:val="00093133"/>
    <w:rsid w:val="0009395E"/>
    <w:rsid w:val="00094603"/>
    <w:rsid w:val="000954D5"/>
    <w:rsid w:val="00095723"/>
    <w:rsid w:val="0009618D"/>
    <w:rsid w:val="0009709B"/>
    <w:rsid w:val="000975E3"/>
    <w:rsid w:val="00097B87"/>
    <w:rsid w:val="00097DDA"/>
    <w:rsid w:val="000A1DD1"/>
    <w:rsid w:val="000A21A5"/>
    <w:rsid w:val="000A2A76"/>
    <w:rsid w:val="000A3908"/>
    <w:rsid w:val="000A4C29"/>
    <w:rsid w:val="000A5EA4"/>
    <w:rsid w:val="000A69DB"/>
    <w:rsid w:val="000A6E2B"/>
    <w:rsid w:val="000A79D3"/>
    <w:rsid w:val="000A7F0F"/>
    <w:rsid w:val="000B05E2"/>
    <w:rsid w:val="000B0C99"/>
    <w:rsid w:val="000B0F8B"/>
    <w:rsid w:val="000B2213"/>
    <w:rsid w:val="000B2568"/>
    <w:rsid w:val="000B41BB"/>
    <w:rsid w:val="000B5357"/>
    <w:rsid w:val="000B5853"/>
    <w:rsid w:val="000B5918"/>
    <w:rsid w:val="000B597F"/>
    <w:rsid w:val="000B634D"/>
    <w:rsid w:val="000B7465"/>
    <w:rsid w:val="000B7E42"/>
    <w:rsid w:val="000C14CB"/>
    <w:rsid w:val="000C18BC"/>
    <w:rsid w:val="000C1EE4"/>
    <w:rsid w:val="000C1FF9"/>
    <w:rsid w:val="000C21C4"/>
    <w:rsid w:val="000C2BE8"/>
    <w:rsid w:val="000C4151"/>
    <w:rsid w:val="000C4425"/>
    <w:rsid w:val="000C4B12"/>
    <w:rsid w:val="000C4FCB"/>
    <w:rsid w:val="000C5EA0"/>
    <w:rsid w:val="000C5FA7"/>
    <w:rsid w:val="000C65E4"/>
    <w:rsid w:val="000C7E71"/>
    <w:rsid w:val="000D16AA"/>
    <w:rsid w:val="000D1A7D"/>
    <w:rsid w:val="000D2309"/>
    <w:rsid w:val="000D2CCA"/>
    <w:rsid w:val="000D366B"/>
    <w:rsid w:val="000D38F9"/>
    <w:rsid w:val="000D4664"/>
    <w:rsid w:val="000D5D6B"/>
    <w:rsid w:val="000D62C8"/>
    <w:rsid w:val="000D7A20"/>
    <w:rsid w:val="000E0BFC"/>
    <w:rsid w:val="000E0FD4"/>
    <w:rsid w:val="000E161C"/>
    <w:rsid w:val="000E266E"/>
    <w:rsid w:val="000E2B61"/>
    <w:rsid w:val="000E470B"/>
    <w:rsid w:val="000E4A66"/>
    <w:rsid w:val="000E4DE8"/>
    <w:rsid w:val="000E50F5"/>
    <w:rsid w:val="000E5906"/>
    <w:rsid w:val="000E5E99"/>
    <w:rsid w:val="000E73D9"/>
    <w:rsid w:val="000E7A2D"/>
    <w:rsid w:val="000F0C3B"/>
    <w:rsid w:val="000F0E9F"/>
    <w:rsid w:val="000F1540"/>
    <w:rsid w:val="000F2065"/>
    <w:rsid w:val="000F256D"/>
    <w:rsid w:val="000F2A88"/>
    <w:rsid w:val="000F2C23"/>
    <w:rsid w:val="000F2D1B"/>
    <w:rsid w:val="000F3658"/>
    <w:rsid w:val="000F3697"/>
    <w:rsid w:val="000F3B37"/>
    <w:rsid w:val="000F3F12"/>
    <w:rsid w:val="000F4478"/>
    <w:rsid w:val="000F565B"/>
    <w:rsid w:val="000F5C6C"/>
    <w:rsid w:val="000F5F3F"/>
    <w:rsid w:val="00100570"/>
    <w:rsid w:val="0010184B"/>
    <w:rsid w:val="00101CE5"/>
    <w:rsid w:val="00101DD0"/>
    <w:rsid w:val="00102555"/>
    <w:rsid w:val="001029C0"/>
    <w:rsid w:val="00102B4B"/>
    <w:rsid w:val="00103AB9"/>
    <w:rsid w:val="00103E80"/>
    <w:rsid w:val="00104CC6"/>
    <w:rsid w:val="001061A4"/>
    <w:rsid w:val="00107187"/>
    <w:rsid w:val="00107272"/>
    <w:rsid w:val="00107D54"/>
    <w:rsid w:val="00110B62"/>
    <w:rsid w:val="001110F0"/>
    <w:rsid w:val="00111581"/>
    <w:rsid w:val="00111CEB"/>
    <w:rsid w:val="00111F8F"/>
    <w:rsid w:val="0011245C"/>
    <w:rsid w:val="00114BCB"/>
    <w:rsid w:val="0011500F"/>
    <w:rsid w:val="00115A55"/>
    <w:rsid w:val="0011665D"/>
    <w:rsid w:val="00116AAC"/>
    <w:rsid w:val="0011754F"/>
    <w:rsid w:val="00117D55"/>
    <w:rsid w:val="001204B2"/>
    <w:rsid w:val="001212EF"/>
    <w:rsid w:val="001217DC"/>
    <w:rsid w:val="00121F81"/>
    <w:rsid w:val="0012203F"/>
    <w:rsid w:val="00123CC6"/>
    <w:rsid w:val="00125689"/>
    <w:rsid w:val="00125C8A"/>
    <w:rsid w:val="001261FC"/>
    <w:rsid w:val="00126CD7"/>
    <w:rsid w:val="001306FE"/>
    <w:rsid w:val="00130827"/>
    <w:rsid w:val="001308A2"/>
    <w:rsid w:val="00131140"/>
    <w:rsid w:val="001312D1"/>
    <w:rsid w:val="00132FD3"/>
    <w:rsid w:val="00133A61"/>
    <w:rsid w:val="001341E8"/>
    <w:rsid w:val="001345E9"/>
    <w:rsid w:val="001362BD"/>
    <w:rsid w:val="0013673A"/>
    <w:rsid w:val="00137F86"/>
    <w:rsid w:val="001410EB"/>
    <w:rsid w:val="00141B41"/>
    <w:rsid w:val="0014335A"/>
    <w:rsid w:val="00143554"/>
    <w:rsid w:val="00143653"/>
    <w:rsid w:val="00143934"/>
    <w:rsid w:val="00143B3A"/>
    <w:rsid w:val="00143E43"/>
    <w:rsid w:val="00143FFC"/>
    <w:rsid w:val="001453B3"/>
    <w:rsid w:val="00146ABB"/>
    <w:rsid w:val="00147338"/>
    <w:rsid w:val="00147A48"/>
    <w:rsid w:val="00150143"/>
    <w:rsid w:val="0015073C"/>
    <w:rsid w:val="001509AB"/>
    <w:rsid w:val="001529F9"/>
    <w:rsid w:val="00152E91"/>
    <w:rsid w:val="00153C18"/>
    <w:rsid w:val="0015460B"/>
    <w:rsid w:val="001566E7"/>
    <w:rsid w:val="00156CA9"/>
    <w:rsid w:val="00157465"/>
    <w:rsid w:val="0015771E"/>
    <w:rsid w:val="00157E23"/>
    <w:rsid w:val="00157FC3"/>
    <w:rsid w:val="00160ACE"/>
    <w:rsid w:val="00161C4F"/>
    <w:rsid w:val="00161C84"/>
    <w:rsid w:val="00161F2A"/>
    <w:rsid w:val="00161FDF"/>
    <w:rsid w:val="001626BD"/>
    <w:rsid w:val="00162C33"/>
    <w:rsid w:val="0016340E"/>
    <w:rsid w:val="001645C4"/>
    <w:rsid w:val="00164E23"/>
    <w:rsid w:val="0016595F"/>
    <w:rsid w:val="00166A2C"/>
    <w:rsid w:val="00166BF2"/>
    <w:rsid w:val="00166CC3"/>
    <w:rsid w:val="00166F71"/>
    <w:rsid w:val="00167DF2"/>
    <w:rsid w:val="001709DE"/>
    <w:rsid w:val="00170A9E"/>
    <w:rsid w:val="0017121A"/>
    <w:rsid w:val="00171401"/>
    <w:rsid w:val="00171777"/>
    <w:rsid w:val="001719FB"/>
    <w:rsid w:val="00172664"/>
    <w:rsid w:val="0017270B"/>
    <w:rsid w:val="00172B65"/>
    <w:rsid w:val="00172EF5"/>
    <w:rsid w:val="001732E1"/>
    <w:rsid w:val="00175189"/>
    <w:rsid w:val="00175D12"/>
    <w:rsid w:val="0017613E"/>
    <w:rsid w:val="00177167"/>
    <w:rsid w:val="00177F97"/>
    <w:rsid w:val="00181A71"/>
    <w:rsid w:val="0018261B"/>
    <w:rsid w:val="001834A7"/>
    <w:rsid w:val="0018373B"/>
    <w:rsid w:val="00183B40"/>
    <w:rsid w:val="00183C79"/>
    <w:rsid w:val="00183C8B"/>
    <w:rsid w:val="00183E75"/>
    <w:rsid w:val="001845CF"/>
    <w:rsid w:val="00185A98"/>
    <w:rsid w:val="001865BB"/>
    <w:rsid w:val="00187518"/>
    <w:rsid w:val="00187743"/>
    <w:rsid w:val="00187CEC"/>
    <w:rsid w:val="0019046F"/>
    <w:rsid w:val="0019096C"/>
    <w:rsid w:val="00191EA7"/>
    <w:rsid w:val="00192164"/>
    <w:rsid w:val="001928BD"/>
    <w:rsid w:val="00193EB7"/>
    <w:rsid w:val="00193F48"/>
    <w:rsid w:val="001944F0"/>
    <w:rsid w:val="00194ACA"/>
    <w:rsid w:val="00194C98"/>
    <w:rsid w:val="00194FB7"/>
    <w:rsid w:val="00196357"/>
    <w:rsid w:val="00196B4E"/>
    <w:rsid w:val="001975A1"/>
    <w:rsid w:val="001A027A"/>
    <w:rsid w:val="001A08E4"/>
    <w:rsid w:val="001A0D2C"/>
    <w:rsid w:val="001A11D8"/>
    <w:rsid w:val="001A12B5"/>
    <w:rsid w:val="001A174B"/>
    <w:rsid w:val="001A1C72"/>
    <w:rsid w:val="001A2976"/>
    <w:rsid w:val="001A3980"/>
    <w:rsid w:val="001A3B1B"/>
    <w:rsid w:val="001A422B"/>
    <w:rsid w:val="001A440A"/>
    <w:rsid w:val="001A47C6"/>
    <w:rsid w:val="001A4A55"/>
    <w:rsid w:val="001A5C6F"/>
    <w:rsid w:val="001A6A4F"/>
    <w:rsid w:val="001A76B7"/>
    <w:rsid w:val="001B015C"/>
    <w:rsid w:val="001B1339"/>
    <w:rsid w:val="001B1B58"/>
    <w:rsid w:val="001B1D3B"/>
    <w:rsid w:val="001B1F55"/>
    <w:rsid w:val="001B2049"/>
    <w:rsid w:val="001B2934"/>
    <w:rsid w:val="001B4A37"/>
    <w:rsid w:val="001B4BB2"/>
    <w:rsid w:val="001B6FAD"/>
    <w:rsid w:val="001C04B2"/>
    <w:rsid w:val="001C1FDE"/>
    <w:rsid w:val="001C2063"/>
    <w:rsid w:val="001C21E1"/>
    <w:rsid w:val="001C3426"/>
    <w:rsid w:val="001C4768"/>
    <w:rsid w:val="001C5839"/>
    <w:rsid w:val="001C583F"/>
    <w:rsid w:val="001C6431"/>
    <w:rsid w:val="001C6AF6"/>
    <w:rsid w:val="001C7129"/>
    <w:rsid w:val="001C77E1"/>
    <w:rsid w:val="001C7ADA"/>
    <w:rsid w:val="001D0FD3"/>
    <w:rsid w:val="001D121D"/>
    <w:rsid w:val="001D1C29"/>
    <w:rsid w:val="001D1E1B"/>
    <w:rsid w:val="001D237A"/>
    <w:rsid w:val="001D3543"/>
    <w:rsid w:val="001D35FD"/>
    <w:rsid w:val="001D3B85"/>
    <w:rsid w:val="001D3DF1"/>
    <w:rsid w:val="001D4151"/>
    <w:rsid w:val="001D4BB9"/>
    <w:rsid w:val="001D501B"/>
    <w:rsid w:val="001D58E5"/>
    <w:rsid w:val="001D5EAE"/>
    <w:rsid w:val="001E07AA"/>
    <w:rsid w:val="001E0FAB"/>
    <w:rsid w:val="001E1880"/>
    <w:rsid w:val="001E2502"/>
    <w:rsid w:val="001E292F"/>
    <w:rsid w:val="001E351C"/>
    <w:rsid w:val="001E38F8"/>
    <w:rsid w:val="001E474D"/>
    <w:rsid w:val="001E506D"/>
    <w:rsid w:val="001E5194"/>
    <w:rsid w:val="001E5746"/>
    <w:rsid w:val="001E5A81"/>
    <w:rsid w:val="001E62FB"/>
    <w:rsid w:val="001E6A0B"/>
    <w:rsid w:val="001E6B23"/>
    <w:rsid w:val="001E77DA"/>
    <w:rsid w:val="001E7A2F"/>
    <w:rsid w:val="001E7AB0"/>
    <w:rsid w:val="001E7DD0"/>
    <w:rsid w:val="001F0349"/>
    <w:rsid w:val="001F077B"/>
    <w:rsid w:val="001F0B74"/>
    <w:rsid w:val="001F2648"/>
    <w:rsid w:val="001F35BF"/>
    <w:rsid w:val="001F41B9"/>
    <w:rsid w:val="001F4BE8"/>
    <w:rsid w:val="001F4EB8"/>
    <w:rsid w:val="001F560A"/>
    <w:rsid w:val="001F6318"/>
    <w:rsid w:val="001F65B1"/>
    <w:rsid w:val="001F6B83"/>
    <w:rsid w:val="001F6F6A"/>
    <w:rsid w:val="001F7595"/>
    <w:rsid w:val="001F7C3B"/>
    <w:rsid w:val="001F7FE7"/>
    <w:rsid w:val="002000B8"/>
    <w:rsid w:val="00200B4C"/>
    <w:rsid w:val="00201D62"/>
    <w:rsid w:val="00203267"/>
    <w:rsid w:val="0020334D"/>
    <w:rsid w:val="00203897"/>
    <w:rsid w:val="0020391D"/>
    <w:rsid w:val="00205CDC"/>
    <w:rsid w:val="00205F9C"/>
    <w:rsid w:val="002060F7"/>
    <w:rsid w:val="00207BC6"/>
    <w:rsid w:val="00210771"/>
    <w:rsid w:val="00210C22"/>
    <w:rsid w:val="00211885"/>
    <w:rsid w:val="00212ADF"/>
    <w:rsid w:val="00212B9E"/>
    <w:rsid w:val="002134CF"/>
    <w:rsid w:val="00213A60"/>
    <w:rsid w:val="0021429B"/>
    <w:rsid w:val="00215699"/>
    <w:rsid w:val="002159DE"/>
    <w:rsid w:val="00215B1C"/>
    <w:rsid w:val="00215E99"/>
    <w:rsid w:val="002162E6"/>
    <w:rsid w:val="0021667D"/>
    <w:rsid w:val="002166A1"/>
    <w:rsid w:val="002166A6"/>
    <w:rsid w:val="00216BB6"/>
    <w:rsid w:val="0022048B"/>
    <w:rsid w:val="002207F8"/>
    <w:rsid w:val="0022175C"/>
    <w:rsid w:val="00222261"/>
    <w:rsid w:val="00222773"/>
    <w:rsid w:val="00223AB6"/>
    <w:rsid w:val="00223AC8"/>
    <w:rsid w:val="00223C96"/>
    <w:rsid w:val="00224852"/>
    <w:rsid w:val="00225935"/>
    <w:rsid w:val="0022634D"/>
    <w:rsid w:val="00226437"/>
    <w:rsid w:val="0022711A"/>
    <w:rsid w:val="00227512"/>
    <w:rsid w:val="0022766E"/>
    <w:rsid w:val="002278D5"/>
    <w:rsid w:val="00227C13"/>
    <w:rsid w:val="00227D49"/>
    <w:rsid w:val="00227FC7"/>
    <w:rsid w:val="00230C3C"/>
    <w:rsid w:val="00230F66"/>
    <w:rsid w:val="00233A54"/>
    <w:rsid w:val="00234440"/>
    <w:rsid w:val="002347C9"/>
    <w:rsid w:val="00234FD8"/>
    <w:rsid w:val="00235A73"/>
    <w:rsid w:val="00236E72"/>
    <w:rsid w:val="002411BD"/>
    <w:rsid w:val="00242209"/>
    <w:rsid w:val="00244711"/>
    <w:rsid w:val="00244AE4"/>
    <w:rsid w:val="00245EBE"/>
    <w:rsid w:val="00246305"/>
    <w:rsid w:val="00246C63"/>
    <w:rsid w:val="002472C1"/>
    <w:rsid w:val="002473F4"/>
    <w:rsid w:val="00250600"/>
    <w:rsid w:val="002506E1"/>
    <w:rsid w:val="00250F42"/>
    <w:rsid w:val="00252934"/>
    <w:rsid w:val="00252EBA"/>
    <w:rsid w:val="0025361A"/>
    <w:rsid w:val="002545EF"/>
    <w:rsid w:val="00254B44"/>
    <w:rsid w:val="00254E99"/>
    <w:rsid w:val="00255B9B"/>
    <w:rsid w:val="00256596"/>
    <w:rsid w:val="0026027A"/>
    <w:rsid w:val="00260533"/>
    <w:rsid w:val="002605CE"/>
    <w:rsid w:val="00261367"/>
    <w:rsid w:val="00261A54"/>
    <w:rsid w:val="00261C21"/>
    <w:rsid w:val="00261D37"/>
    <w:rsid w:val="00262D6B"/>
    <w:rsid w:val="00262ED0"/>
    <w:rsid w:val="00263607"/>
    <w:rsid w:val="002638EE"/>
    <w:rsid w:val="00263F9C"/>
    <w:rsid w:val="00264965"/>
    <w:rsid w:val="00264EB5"/>
    <w:rsid w:val="002656E1"/>
    <w:rsid w:val="00265CFF"/>
    <w:rsid w:val="002662AC"/>
    <w:rsid w:val="00267D21"/>
    <w:rsid w:val="00267F98"/>
    <w:rsid w:val="002707F2"/>
    <w:rsid w:val="00270B4E"/>
    <w:rsid w:val="00271500"/>
    <w:rsid w:val="00272E57"/>
    <w:rsid w:val="002734A9"/>
    <w:rsid w:val="00274663"/>
    <w:rsid w:val="00275641"/>
    <w:rsid w:val="0027569A"/>
    <w:rsid w:val="002767D9"/>
    <w:rsid w:val="0027757E"/>
    <w:rsid w:val="00280184"/>
    <w:rsid w:val="00280F4B"/>
    <w:rsid w:val="00281152"/>
    <w:rsid w:val="0028118D"/>
    <w:rsid w:val="002821E9"/>
    <w:rsid w:val="002827D2"/>
    <w:rsid w:val="00283488"/>
    <w:rsid w:val="002835B7"/>
    <w:rsid w:val="0028361E"/>
    <w:rsid w:val="00284B7C"/>
    <w:rsid w:val="00284C1F"/>
    <w:rsid w:val="002851AF"/>
    <w:rsid w:val="00286129"/>
    <w:rsid w:val="002873FD"/>
    <w:rsid w:val="0028787B"/>
    <w:rsid w:val="00287E1B"/>
    <w:rsid w:val="00290263"/>
    <w:rsid w:val="002908A7"/>
    <w:rsid w:val="00291768"/>
    <w:rsid w:val="00291796"/>
    <w:rsid w:val="00292C52"/>
    <w:rsid w:val="00292F66"/>
    <w:rsid w:val="0029315D"/>
    <w:rsid w:val="00293A33"/>
    <w:rsid w:val="00293CFB"/>
    <w:rsid w:val="0029449E"/>
    <w:rsid w:val="0029488D"/>
    <w:rsid w:val="00294E82"/>
    <w:rsid w:val="002951FD"/>
    <w:rsid w:val="0029530C"/>
    <w:rsid w:val="00296020"/>
    <w:rsid w:val="0029693F"/>
    <w:rsid w:val="002969C6"/>
    <w:rsid w:val="00296F46"/>
    <w:rsid w:val="00296F8A"/>
    <w:rsid w:val="00297AD1"/>
    <w:rsid w:val="00297CCD"/>
    <w:rsid w:val="002A11CE"/>
    <w:rsid w:val="002A13E2"/>
    <w:rsid w:val="002A180F"/>
    <w:rsid w:val="002A199B"/>
    <w:rsid w:val="002A1B36"/>
    <w:rsid w:val="002A2BC2"/>
    <w:rsid w:val="002A37E6"/>
    <w:rsid w:val="002A409A"/>
    <w:rsid w:val="002A4BFA"/>
    <w:rsid w:val="002A4D7B"/>
    <w:rsid w:val="002A4DFC"/>
    <w:rsid w:val="002B0660"/>
    <w:rsid w:val="002B18D6"/>
    <w:rsid w:val="002B1B98"/>
    <w:rsid w:val="002B22D4"/>
    <w:rsid w:val="002B3259"/>
    <w:rsid w:val="002B3984"/>
    <w:rsid w:val="002B4595"/>
    <w:rsid w:val="002B45EE"/>
    <w:rsid w:val="002B4BF3"/>
    <w:rsid w:val="002B55C8"/>
    <w:rsid w:val="002B5E4B"/>
    <w:rsid w:val="002B660D"/>
    <w:rsid w:val="002B6C0C"/>
    <w:rsid w:val="002B723D"/>
    <w:rsid w:val="002B7969"/>
    <w:rsid w:val="002B7D1C"/>
    <w:rsid w:val="002C0031"/>
    <w:rsid w:val="002C0485"/>
    <w:rsid w:val="002C0762"/>
    <w:rsid w:val="002C0C86"/>
    <w:rsid w:val="002C1397"/>
    <w:rsid w:val="002C257A"/>
    <w:rsid w:val="002C2BEC"/>
    <w:rsid w:val="002C30C0"/>
    <w:rsid w:val="002C4F4B"/>
    <w:rsid w:val="002C5836"/>
    <w:rsid w:val="002C6EC0"/>
    <w:rsid w:val="002C7A58"/>
    <w:rsid w:val="002D0356"/>
    <w:rsid w:val="002D07C0"/>
    <w:rsid w:val="002D08AE"/>
    <w:rsid w:val="002D0F98"/>
    <w:rsid w:val="002D18D7"/>
    <w:rsid w:val="002D1DFB"/>
    <w:rsid w:val="002D2F66"/>
    <w:rsid w:val="002D3196"/>
    <w:rsid w:val="002D45BF"/>
    <w:rsid w:val="002D4A85"/>
    <w:rsid w:val="002D4B65"/>
    <w:rsid w:val="002D5AFC"/>
    <w:rsid w:val="002D6162"/>
    <w:rsid w:val="002D64DF"/>
    <w:rsid w:val="002D71EF"/>
    <w:rsid w:val="002D7F4C"/>
    <w:rsid w:val="002E00F3"/>
    <w:rsid w:val="002E242E"/>
    <w:rsid w:val="002E255F"/>
    <w:rsid w:val="002E2CED"/>
    <w:rsid w:val="002E2FEC"/>
    <w:rsid w:val="002E38DB"/>
    <w:rsid w:val="002E4AB1"/>
    <w:rsid w:val="002E4F8A"/>
    <w:rsid w:val="002E505D"/>
    <w:rsid w:val="002E73B8"/>
    <w:rsid w:val="002E7558"/>
    <w:rsid w:val="002E7690"/>
    <w:rsid w:val="002F0823"/>
    <w:rsid w:val="002F113B"/>
    <w:rsid w:val="002F2471"/>
    <w:rsid w:val="002F2B7A"/>
    <w:rsid w:val="002F3105"/>
    <w:rsid w:val="002F4864"/>
    <w:rsid w:val="002F5E6C"/>
    <w:rsid w:val="002F6DD7"/>
    <w:rsid w:val="002F72FF"/>
    <w:rsid w:val="002F75CC"/>
    <w:rsid w:val="002F7987"/>
    <w:rsid w:val="002F79D4"/>
    <w:rsid w:val="003005C9"/>
    <w:rsid w:val="00300BF3"/>
    <w:rsid w:val="0030143F"/>
    <w:rsid w:val="00301894"/>
    <w:rsid w:val="00301BCD"/>
    <w:rsid w:val="003024C7"/>
    <w:rsid w:val="00302CD4"/>
    <w:rsid w:val="00303636"/>
    <w:rsid w:val="00303ACF"/>
    <w:rsid w:val="00303C6B"/>
    <w:rsid w:val="0030463E"/>
    <w:rsid w:val="003047AB"/>
    <w:rsid w:val="00304ED6"/>
    <w:rsid w:val="0030661C"/>
    <w:rsid w:val="00306D5D"/>
    <w:rsid w:val="00306FF4"/>
    <w:rsid w:val="003074C6"/>
    <w:rsid w:val="0030757F"/>
    <w:rsid w:val="00307A08"/>
    <w:rsid w:val="0031060A"/>
    <w:rsid w:val="00310EE1"/>
    <w:rsid w:val="003110CD"/>
    <w:rsid w:val="003122B0"/>
    <w:rsid w:val="00312390"/>
    <w:rsid w:val="0031309F"/>
    <w:rsid w:val="003138EB"/>
    <w:rsid w:val="0031450D"/>
    <w:rsid w:val="00315880"/>
    <w:rsid w:val="00315A06"/>
    <w:rsid w:val="0031678B"/>
    <w:rsid w:val="0031683C"/>
    <w:rsid w:val="00317146"/>
    <w:rsid w:val="003176EA"/>
    <w:rsid w:val="00317D36"/>
    <w:rsid w:val="00321473"/>
    <w:rsid w:val="003225FB"/>
    <w:rsid w:val="00323A7C"/>
    <w:rsid w:val="00323BE9"/>
    <w:rsid w:val="00323C32"/>
    <w:rsid w:val="00323CC7"/>
    <w:rsid w:val="003241C6"/>
    <w:rsid w:val="003242A8"/>
    <w:rsid w:val="00324827"/>
    <w:rsid w:val="00324A1D"/>
    <w:rsid w:val="00324C55"/>
    <w:rsid w:val="003250B4"/>
    <w:rsid w:val="00325607"/>
    <w:rsid w:val="00325742"/>
    <w:rsid w:val="0032631C"/>
    <w:rsid w:val="00327AB3"/>
    <w:rsid w:val="00327F9E"/>
    <w:rsid w:val="00330527"/>
    <w:rsid w:val="0033071E"/>
    <w:rsid w:val="003318A6"/>
    <w:rsid w:val="003321A8"/>
    <w:rsid w:val="00332EB1"/>
    <w:rsid w:val="003331BB"/>
    <w:rsid w:val="00333E63"/>
    <w:rsid w:val="00334044"/>
    <w:rsid w:val="0033497C"/>
    <w:rsid w:val="00334C1F"/>
    <w:rsid w:val="00334FA0"/>
    <w:rsid w:val="00335188"/>
    <w:rsid w:val="00335234"/>
    <w:rsid w:val="003373B8"/>
    <w:rsid w:val="00340402"/>
    <w:rsid w:val="003413F4"/>
    <w:rsid w:val="00342DC1"/>
    <w:rsid w:val="00342EF7"/>
    <w:rsid w:val="003432B6"/>
    <w:rsid w:val="00343F41"/>
    <w:rsid w:val="0034427F"/>
    <w:rsid w:val="00344BF3"/>
    <w:rsid w:val="00345CC1"/>
    <w:rsid w:val="00345EA7"/>
    <w:rsid w:val="0034629D"/>
    <w:rsid w:val="0034652C"/>
    <w:rsid w:val="00346606"/>
    <w:rsid w:val="0034680C"/>
    <w:rsid w:val="00346B62"/>
    <w:rsid w:val="00346E40"/>
    <w:rsid w:val="00346E73"/>
    <w:rsid w:val="00350219"/>
    <w:rsid w:val="00350368"/>
    <w:rsid w:val="0035067B"/>
    <w:rsid w:val="00350B6E"/>
    <w:rsid w:val="00351A4A"/>
    <w:rsid w:val="00351D95"/>
    <w:rsid w:val="00351E32"/>
    <w:rsid w:val="00351FB4"/>
    <w:rsid w:val="00352E52"/>
    <w:rsid w:val="00353860"/>
    <w:rsid w:val="00353C7B"/>
    <w:rsid w:val="00354CD9"/>
    <w:rsid w:val="003556C1"/>
    <w:rsid w:val="00355EEE"/>
    <w:rsid w:val="00356B23"/>
    <w:rsid w:val="003603E5"/>
    <w:rsid w:val="00360494"/>
    <w:rsid w:val="00360C00"/>
    <w:rsid w:val="00360E7E"/>
    <w:rsid w:val="00361935"/>
    <w:rsid w:val="0036239D"/>
    <w:rsid w:val="003626AE"/>
    <w:rsid w:val="003632AA"/>
    <w:rsid w:val="0036508D"/>
    <w:rsid w:val="003651C8"/>
    <w:rsid w:val="0036548D"/>
    <w:rsid w:val="00366321"/>
    <w:rsid w:val="003669F1"/>
    <w:rsid w:val="00366F10"/>
    <w:rsid w:val="003700A3"/>
    <w:rsid w:val="003706AA"/>
    <w:rsid w:val="00370B40"/>
    <w:rsid w:val="00371C15"/>
    <w:rsid w:val="003720AD"/>
    <w:rsid w:val="00372CDF"/>
    <w:rsid w:val="0037330D"/>
    <w:rsid w:val="00373411"/>
    <w:rsid w:val="00373D40"/>
    <w:rsid w:val="00373F52"/>
    <w:rsid w:val="003741F6"/>
    <w:rsid w:val="00374A29"/>
    <w:rsid w:val="00374DD6"/>
    <w:rsid w:val="00374FA4"/>
    <w:rsid w:val="003756C6"/>
    <w:rsid w:val="00375EF9"/>
    <w:rsid w:val="00375EFF"/>
    <w:rsid w:val="00376E35"/>
    <w:rsid w:val="003773E4"/>
    <w:rsid w:val="00377F6C"/>
    <w:rsid w:val="00380094"/>
    <w:rsid w:val="00380256"/>
    <w:rsid w:val="0038165D"/>
    <w:rsid w:val="00381812"/>
    <w:rsid w:val="00382BE9"/>
    <w:rsid w:val="00382D6B"/>
    <w:rsid w:val="00383071"/>
    <w:rsid w:val="00383BBC"/>
    <w:rsid w:val="0038418D"/>
    <w:rsid w:val="003849DF"/>
    <w:rsid w:val="00384F0A"/>
    <w:rsid w:val="00385444"/>
    <w:rsid w:val="00385717"/>
    <w:rsid w:val="00385F39"/>
    <w:rsid w:val="00386070"/>
    <w:rsid w:val="003863FD"/>
    <w:rsid w:val="003900A5"/>
    <w:rsid w:val="00390941"/>
    <w:rsid w:val="00390C0A"/>
    <w:rsid w:val="003917AD"/>
    <w:rsid w:val="00391FAB"/>
    <w:rsid w:val="00392539"/>
    <w:rsid w:val="00392677"/>
    <w:rsid w:val="00393431"/>
    <w:rsid w:val="00393633"/>
    <w:rsid w:val="003939C4"/>
    <w:rsid w:val="00393B41"/>
    <w:rsid w:val="003945E2"/>
    <w:rsid w:val="00394981"/>
    <w:rsid w:val="003953A8"/>
    <w:rsid w:val="003958E6"/>
    <w:rsid w:val="00395D76"/>
    <w:rsid w:val="0039637E"/>
    <w:rsid w:val="00396F7B"/>
    <w:rsid w:val="00396FA3"/>
    <w:rsid w:val="00397077"/>
    <w:rsid w:val="0039788E"/>
    <w:rsid w:val="00397BCF"/>
    <w:rsid w:val="00397F0D"/>
    <w:rsid w:val="003A0DC3"/>
    <w:rsid w:val="003A1CF5"/>
    <w:rsid w:val="003A2812"/>
    <w:rsid w:val="003A2D0C"/>
    <w:rsid w:val="003A3304"/>
    <w:rsid w:val="003A3551"/>
    <w:rsid w:val="003A38F0"/>
    <w:rsid w:val="003A443D"/>
    <w:rsid w:val="003A4708"/>
    <w:rsid w:val="003A4BAB"/>
    <w:rsid w:val="003A6A5A"/>
    <w:rsid w:val="003A72E9"/>
    <w:rsid w:val="003B06AD"/>
    <w:rsid w:val="003B06B9"/>
    <w:rsid w:val="003B0979"/>
    <w:rsid w:val="003B1033"/>
    <w:rsid w:val="003B15E9"/>
    <w:rsid w:val="003B175A"/>
    <w:rsid w:val="003B2FC6"/>
    <w:rsid w:val="003B3231"/>
    <w:rsid w:val="003B357A"/>
    <w:rsid w:val="003B4714"/>
    <w:rsid w:val="003B499C"/>
    <w:rsid w:val="003B4CCD"/>
    <w:rsid w:val="003B522D"/>
    <w:rsid w:val="003B53D4"/>
    <w:rsid w:val="003B7298"/>
    <w:rsid w:val="003C0036"/>
    <w:rsid w:val="003C0FF8"/>
    <w:rsid w:val="003C18C4"/>
    <w:rsid w:val="003C4333"/>
    <w:rsid w:val="003C43DA"/>
    <w:rsid w:val="003C4FD5"/>
    <w:rsid w:val="003C5585"/>
    <w:rsid w:val="003C57DD"/>
    <w:rsid w:val="003C582B"/>
    <w:rsid w:val="003C614D"/>
    <w:rsid w:val="003C77E9"/>
    <w:rsid w:val="003C7C63"/>
    <w:rsid w:val="003D152F"/>
    <w:rsid w:val="003D19EE"/>
    <w:rsid w:val="003D2333"/>
    <w:rsid w:val="003D2374"/>
    <w:rsid w:val="003D2B3A"/>
    <w:rsid w:val="003D3241"/>
    <w:rsid w:val="003D4419"/>
    <w:rsid w:val="003D4804"/>
    <w:rsid w:val="003D5413"/>
    <w:rsid w:val="003D73E4"/>
    <w:rsid w:val="003D7685"/>
    <w:rsid w:val="003D7E9A"/>
    <w:rsid w:val="003E0366"/>
    <w:rsid w:val="003E100C"/>
    <w:rsid w:val="003E1678"/>
    <w:rsid w:val="003E2C1D"/>
    <w:rsid w:val="003E2FFE"/>
    <w:rsid w:val="003E37AA"/>
    <w:rsid w:val="003E37BB"/>
    <w:rsid w:val="003E3871"/>
    <w:rsid w:val="003E411A"/>
    <w:rsid w:val="003E4310"/>
    <w:rsid w:val="003E47DE"/>
    <w:rsid w:val="003E4FFA"/>
    <w:rsid w:val="003E5682"/>
    <w:rsid w:val="003E6E11"/>
    <w:rsid w:val="003E72DC"/>
    <w:rsid w:val="003E7BA8"/>
    <w:rsid w:val="003F04B3"/>
    <w:rsid w:val="003F0536"/>
    <w:rsid w:val="003F10D3"/>
    <w:rsid w:val="003F1548"/>
    <w:rsid w:val="003F2B3D"/>
    <w:rsid w:val="003F2EDF"/>
    <w:rsid w:val="003F3105"/>
    <w:rsid w:val="003F3BBA"/>
    <w:rsid w:val="003F3C44"/>
    <w:rsid w:val="003F4091"/>
    <w:rsid w:val="003F4172"/>
    <w:rsid w:val="003F4249"/>
    <w:rsid w:val="003F4E3B"/>
    <w:rsid w:val="003F5086"/>
    <w:rsid w:val="003F5108"/>
    <w:rsid w:val="003F57AA"/>
    <w:rsid w:val="003F5D2C"/>
    <w:rsid w:val="003F64BC"/>
    <w:rsid w:val="003F6CAF"/>
    <w:rsid w:val="003F7679"/>
    <w:rsid w:val="003F78A0"/>
    <w:rsid w:val="004001D3"/>
    <w:rsid w:val="00400C13"/>
    <w:rsid w:val="00401A86"/>
    <w:rsid w:val="00401E65"/>
    <w:rsid w:val="00402311"/>
    <w:rsid w:val="0040239F"/>
    <w:rsid w:val="00402C97"/>
    <w:rsid w:val="00403364"/>
    <w:rsid w:val="00403411"/>
    <w:rsid w:val="004038BE"/>
    <w:rsid w:val="0040415C"/>
    <w:rsid w:val="00404AA4"/>
    <w:rsid w:val="00404C61"/>
    <w:rsid w:val="004050C9"/>
    <w:rsid w:val="004051F0"/>
    <w:rsid w:val="00406314"/>
    <w:rsid w:val="00406376"/>
    <w:rsid w:val="00406389"/>
    <w:rsid w:val="004063C0"/>
    <w:rsid w:val="0040682D"/>
    <w:rsid w:val="00406896"/>
    <w:rsid w:val="00411B37"/>
    <w:rsid w:val="004125ED"/>
    <w:rsid w:val="00412B4D"/>
    <w:rsid w:val="00413B39"/>
    <w:rsid w:val="00413D4D"/>
    <w:rsid w:val="0041450E"/>
    <w:rsid w:val="0041456E"/>
    <w:rsid w:val="00414BE5"/>
    <w:rsid w:val="00415370"/>
    <w:rsid w:val="00415781"/>
    <w:rsid w:val="00415F31"/>
    <w:rsid w:val="00416485"/>
    <w:rsid w:val="00416F40"/>
    <w:rsid w:val="00417769"/>
    <w:rsid w:val="004177B0"/>
    <w:rsid w:val="00417F0D"/>
    <w:rsid w:val="00417FE4"/>
    <w:rsid w:val="00421795"/>
    <w:rsid w:val="00421EF2"/>
    <w:rsid w:val="00422668"/>
    <w:rsid w:val="004252CD"/>
    <w:rsid w:val="0042602D"/>
    <w:rsid w:val="00427004"/>
    <w:rsid w:val="0042772E"/>
    <w:rsid w:val="00430CF3"/>
    <w:rsid w:val="00431AC1"/>
    <w:rsid w:val="00431DE1"/>
    <w:rsid w:val="004329C9"/>
    <w:rsid w:val="00432CD5"/>
    <w:rsid w:val="00433CDB"/>
    <w:rsid w:val="00435D29"/>
    <w:rsid w:val="00435E5A"/>
    <w:rsid w:val="004363FA"/>
    <w:rsid w:val="004364CC"/>
    <w:rsid w:val="00436829"/>
    <w:rsid w:val="00436C29"/>
    <w:rsid w:val="00437141"/>
    <w:rsid w:val="00437283"/>
    <w:rsid w:val="004405B0"/>
    <w:rsid w:val="00441905"/>
    <w:rsid w:val="00441FF9"/>
    <w:rsid w:val="0044382F"/>
    <w:rsid w:val="00443B96"/>
    <w:rsid w:val="00443E1D"/>
    <w:rsid w:val="004442EB"/>
    <w:rsid w:val="0044447B"/>
    <w:rsid w:val="00444A7F"/>
    <w:rsid w:val="00444FA3"/>
    <w:rsid w:val="00446553"/>
    <w:rsid w:val="004466DA"/>
    <w:rsid w:val="00446A92"/>
    <w:rsid w:val="00446CEB"/>
    <w:rsid w:val="00447664"/>
    <w:rsid w:val="0045016B"/>
    <w:rsid w:val="004501B4"/>
    <w:rsid w:val="0045082F"/>
    <w:rsid w:val="00450C00"/>
    <w:rsid w:val="0045135E"/>
    <w:rsid w:val="004522E5"/>
    <w:rsid w:val="00452434"/>
    <w:rsid w:val="00452C53"/>
    <w:rsid w:val="004539C7"/>
    <w:rsid w:val="00453F8A"/>
    <w:rsid w:val="00454597"/>
    <w:rsid w:val="004548E6"/>
    <w:rsid w:val="0045543A"/>
    <w:rsid w:val="00455880"/>
    <w:rsid w:val="00455D1D"/>
    <w:rsid w:val="004561F9"/>
    <w:rsid w:val="0045637C"/>
    <w:rsid w:val="004569A3"/>
    <w:rsid w:val="00456A7F"/>
    <w:rsid w:val="004578ED"/>
    <w:rsid w:val="00457B0C"/>
    <w:rsid w:val="004611B6"/>
    <w:rsid w:val="004615A1"/>
    <w:rsid w:val="00461997"/>
    <w:rsid w:val="00463F8B"/>
    <w:rsid w:val="004649AD"/>
    <w:rsid w:val="004650E7"/>
    <w:rsid w:val="0046687B"/>
    <w:rsid w:val="004674FB"/>
    <w:rsid w:val="00470418"/>
    <w:rsid w:val="004704DA"/>
    <w:rsid w:val="004704EA"/>
    <w:rsid w:val="00470567"/>
    <w:rsid w:val="0047056A"/>
    <w:rsid w:val="0047071D"/>
    <w:rsid w:val="00471464"/>
    <w:rsid w:val="004727C4"/>
    <w:rsid w:val="00473579"/>
    <w:rsid w:val="00474E5A"/>
    <w:rsid w:val="004754AE"/>
    <w:rsid w:val="0047558F"/>
    <w:rsid w:val="0047561A"/>
    <w:rsid w:val="00475FD5"/>
    <w:rsid w:val="0047770B"/>
    <w:rsid w:val="00477AFC"/>
    <w:rsid w:val="004812F4"/>
    <w:rsid w:val="0048231B"/>
    <w:rsid w:val="00482BD9"/>
    <w:rsid w:val="004838D4"/>
    <w:rsid w:val="004845AC"/>
    <w:rsid w:val="00484C31"/>
    <w:rsid w:val="00485E3C"/>
    <w:rsid w:val="00486F09"/>
    <w:rsid w:val="004877FB"/>
    <w:rsid w:val="004906DB"/>
    <w:rsid w:val="00490C0F"/>
    <w:rsid w:val="00491FF2"/>
    <w:rsid w:val="004925EE"/>
    <w:rsid w:val="00492735"/>
    <w:rsid w:val="004945E8"/>
    <w:rsid w:val="004946D8"/>
    <w:rsid w:val="00494FC9"/>
    <w:rsid w:val="00495228"/>
    <w:rsid w:val="004963B6"/>
    <w:rsid w:val="00497252"/>
    <w:rsid w:val="0049795E"/>
    <w:rsid w:val="004A1808"/>
    <w:rsid w:val="004A2013"/>
    <w:rsid w:val="004A201B"/>
    <w:rsid w:val="004A2B7A"/>
    <w:rsid w:val="004A3EB3"/>
    <w:rsid w:val="004A4377"/>
    <w:rsid w:val="004A4A51"/>
    <w:rsid w:val="004A57EB"/>
    <w:rsid w:val="004A5824"/>
    <w:rsid w:val="004A59D3"/>
    <w:rsid w:val="004A6D7C"/>
    <w:rsid w:val="004A6F11"/>
    <w:rsid w:val="004A74DD"/>
    <w:rsid w:val="004A7855"/>
    <w:rsid w:val="004B00D1"/>
    <w:rsid w:val="004B0B57"/>
    <w:rsid w:val="004B1245"/>
    <w:rsid w:val="004B1278"/>
    <w:rsid w:val="004B1CAB"/>
    <w:rsid w:val="004B2FF9"/>
    <w:rsid w:val="004B3506"/>
    <w:rsid w:val="004B36ED"/>
    <w:rsid w:val="004B3D73"/>
    <w:rsid w:val="004B40DB"/>
    <w:rsid w:val="004B47BC"/>
    <w:rsid w:val="004B4EF6"/>
    <w:rsid w:val="004B612E"/>
    <w:rsid w:val="004B623B"/>
    <w:rsid w:val="004B6554"/>
    <w:rsid w:val="004B6B22"/>
    <w:rsid w:val="004B6C50"/>
    <w:rsid w:val="004B77CB"/>
    <w:rsid w:val="004C0DA0"/>
    <w:rsid w:val="004C38BA"/>
    <w:rsid w:val="004C3E02"/>
    <w:rsid w:val="004C422D"/>
    <w:rsid w:val="004C4CEB"/>
    <w:rsid w:val="004C5CBA"/>
    <w:rsid w:val="004C60AC"/>
    <w:rsid w:val="004C6C09"/>
    <w:rsid w:val="004C6EA3"/>
    <w:rsid w:val="004C7C1E"/>
    <w:rsid w:val="004D000F"/>
    <w:rsid w:val="004D055D"/>
    <w:rsid w:val="004D0842"/>
    <w:rsid w:val="004D1240"/>
    <w:rsid w:val="004D133B"/>
    <w:rsid w:val="004D49EE"/>
    <w:rsid w:val="004D4AE0"/>
    <w:rsid w:val="004D4C0B"/>
    <w:rsid w:val="004D512D"/>
    <w:rsid w:val="004D6042"/>
    <w:rsid w:val="004D62C0"/>
    <w:rsid w:val="004D69FC"/>
    <w:rsid w:val="004D77BD"/>
    <w:rsid w:val="004D77DE"/>
    <w:rsid w:val="004D7BF4"/>
    <w:rsid w:val="004D7C92"/>
    <w:rsid w:val="004E0356"/>
    <w:rsid w:val="004E0D46"/>
    <w:rsid w:val="004E295C"/>
    <w:rsid w:val="004E38B2"/>
    <w:rsid w:val="004E3936"/>
    <w:rsid w:val="004E4277"/>
    <w:rsid w:val="004E490B"/>
    <w:rsid w:val="004E57F7"/>
    <w:rsid w:val="004E5D9C"/>
    <w:rsid w:val="004E6707"/>
    <w:rsid w:val="004E6985"/>
    <w:rsid w:val="004E6B8E"/>
    <w:rsid w:val="004F0543"/>
    <w:rsid w:val="004F126D"/>
    <w:rsid w:val="004F2385"/>
    <w:rsid w:val="004F3A97"/>
    <w:rsid w:val="004F486D"/>
    <w:rsid w:val="004F5591"/>
    <w:rsid w:val="004F5D14"/>
    <w:rsid w:val="004F68DC"/>
    <w:rsid w:val="004F7FAD"/>
    <w:rsid w:val="00500F7A"/>
    <w:rsid w:val="005012AD"/>
    <w:rsid w:val="005016E5"/>
    <w:rsid w:val="00501A56"/>
    <w:rsid w:val="00501ACA"/>
    <w:rsid w:val="00502317"/>
    <w:rsid w:val="005027BB"/>
    <w:rsid w:val="00503415"/>
    <w:rsid w:val="005037E1"/>
    <w:rsid w:val="00503B5C"/>
    <w:rsid w:val="0050456A"/>
    <w:rsid w:val="005068E1"/>
    <w:rsid w:val="005077C5"/>
    <w:rsid w:val="00507F3A"/>
    <w:rsid w:val="0051168A"/>
    <w:rsid w:val="005117D2"/>
    <w:rsid w:val="005118A6"/>
    <w:rsid w:val="005122F4"/>
    <w:rsid w:val="0051292D"/>
    <w:rsid w:val="005131DC"/>
    <w:rsid w:val="00513ADB"/>
    <w:rsid w:val="0051405F"/>
    <w:rsid w:val="0051444F"/>
    <w:rsid w:val="005148C5"/>
    <w:rsid w:val="005156A6"/>
    <w:rsid w:val="00516393"/>
    <w:rsid w:val="005179A5"/>
    <w:rsid w:val="00520B4F"/>
    <w:rsid w:val="00524AD7"/>
    <w:rsid w:val="005254FD"/>
    <w:rsid w:val="005268A9"/>
    <w:rsid w:val="0052720F"/>
    <w:rsid w:val="00527421"/>
    <w:rsid w:val="005275C4"/>
    <w:rsid w:val="00527D36"/>
    <w:rsid w:val="00531076"/>
    <w:rsid w:val="00531393"/>
    <w:rsid w:val="00531D28"/>
    <w:rsid w:val="005328A8"/>
    <w:rsid w:val="0053385A"/>
    <w:rsid w:val="00533920"/>
    <w:rsid w:val="00534F16"/>
    <w:rsid w:val="00535141"/>
    <w:rsid w:val="00535324"/>
    <w:rsid w:val="005363B4"/>
    <w:rsid w:val="0053712D"/>
    <w:rsid w:val="00537DA5"/>
    <w:rsid w:val="005403F4"/>
    <w:rsid w:val="00541136"/>
    <w:rsid w:val="00541C39"/>
    <w:rsid w:val="0054216F"/>
    <w:rsid w:val="00542F18"/>
    <w:rsid w:val="005439C6"/>
    <w:rsid w:val="00544853"/>
    <w:rsid w:val="00544CA5"/>
    <w:rsid w:val="005450E2"/>
    <w:rsid w:val="005459FD"/>
    <w:rsid w:val="00545B19"/>
    <w:rsid w:val="005462D7"/>
    <w:rsid w:val="005470DD"/>
    <w:rsid w:val="005476CE"/>
    <w:rsid w:val="00547BCB"/>
    <w:rsid w:val="0055035F"/>
    <w:rsid w:val="005507FD"/>
    <w:rsid w:val="005511C0"/>
    <w:rsid w:val="005518FE"/>
    <w:rsid w:val="0055232C"/>
    <w:rsid w:val="0055278E"/>
    <w:rsid w:val="005533E8"/>
    <w:rsid w:val="00553C8A"/>
    <w:rsid w:val="00555488"/>
    <w:rsid w:val="0055549A"/>
    <w:rsid w:val="00555B18"/>
    <w:rsid w:val="00555C9C"/>
    <w:rsid w:val="0055641F"/>
    <w:rsid w:val="00556A4D"/>
    <w:rsid w:val="00556B00"/>
    <w:rsid w:val="00556E87"/>
    <w:rsid w:val="00557319"/>
    <w:rsid w:val="0055764E"/>
    <w:rsid w:val="00560528"/>
    <w:rsid w:val="0056081F"/>
    <w:rsid w:val="00561923"/>
    <w:rsid w:val="005622F8"/>
    <w:rsid w:val="0056310A"/>
    <w:rsid w:val="00563236"/>
    <w:rsid w:val="0056336F"/>
    <w:rsid w:val="005636C6"/>
    <w:rsid w:val="00565366"/>
    <w:rsid w:val="00565AF7"/>
    <w:rsid w:val="005663EB"/>
    <w:rsid w:val="00570C34"/>
    <w:rsid w:val="00571020"/>
    <w:rsid w:val="0057189C"/>
    <w:rsid w:val="005719D3"/>
    <w:rsid w:val="00571BD2"/>
    <w:rsid w:val="00571CD7"/>
    <w:rsid w:val="00571D59"/>
    <w:rsid w:val="00572E3E"/>
    <w:rsid w:val="005732E0"/>
    <w:rsid w:val="005738F7"/>
    <w:rsid w:val="0057420B"/>
    <w:rsid w:val="005756C1"/>
    <w:rsid w:val="0057593B"/>
    <w:rsid w:val="0057799B"/>
    <w:rsid w:val="00580280"/>
    <w:rsid w:val="00580B9E"/>
    <w:rsid w:val="0058135A"/>
    <w:rsid w:val="00583358"/>
    <w:rsid w:val="00583726"/>
    <w:rsid w:val="005839BF"/>
    <w:rsid w:val="00584058"/>
    <w:rsid w:val="005844A5"/>
    <w:rsid w:val="005846B4"/>
    <w:rsid w:val="0058483F"/>
    <w:rsid w:val="005850E5"/>
    <w:rsid w:val="005851E0"/>
    <w:rsid w:val="00585571"/>
    <w:rsid w:val="005856F9"/>
    <w:rsid w:val="00585B91"/>
    <w:rsid w:val="00586BF1"/>
    <w:rsid w:val="00587DC4"/>
    <w:rsid w:val="005903E4"/>
    <w:rsid w:val="005907D5"/>
    <w:rsid w:val="005913EE"/>
    <w:rsid w:val="00592461"/>
    <w:rsid w:val="00592B29"/>
    <w:rsid w:val="00592B43"/>
    <w:rsid w:val="00592F2B"/>
    <w:rsid w:val="005950D6"/>
    <w:rsid w:val="0059519C"/>
    <w:rsid w:val="00595524"/>
    <w:rsid w:val="00597221"/>
    <w:rsid w:val="005974F3"/>
    <w:rsid w:val="0059751C"/>
    <w:rsid w:val="00597919"/>
    <w:rsid w:val="005A034E"/>
    <w:rsid w:val="005A0A5B"/>
    <w:rsid w:val="005A0B9F"/>
    <w:rsid w:val="005A0EFC"/>
    <w:rsid w:val="005A1692"/>
    <w:rsid w:val="005A21CF"/>
    <w:rsid w:val="005A286E"/>
    <w:rsid w:val="005A28BD"/>
    <w:rsid w:val="005A3DC0"/>
    <w:rsid w:val="005A44E7"/>
    <w:rsid w:val="005A5337"/>
    <w:rsid w:val="005A5D8E"/>
    <w:rsid w:val="005A63D8"/>
    <w:rsid w:val="005A6CC1"/>
    <w:rsid w:val="005A7C14"/>
    <w:rsid w:val="005A7C48"/>
    <w:rsid w:val="005A7DBE"/>
    <w:rsid w:val="005A7E1A"/>
    <w:rsid w:val="005B0476"/>
    <w:rsid w:val="005B0DE9"/>
    <w:rsid w:val="005B1482"/>
    <w:rsid w:val="005B152C"/>
    <w:rsid w:val="005B1C64"/>
    <w:rsid w:val="005B1DE8"/>
    <w:rsid w:val="005B2590"/>
    <w:rsid w:val="005B25BC"/>
    <w:rsid w:val="005B2807"/>
    <w:rsid w:val="005B3606"/>
    <w:rsid w:val="005B3BFF"/>
    <w:rsid w:val="005B3DCC"/>
    <w:rsid w:val="005B3E08"/>
    <w:rsid w:val="005B49B6"/>
    <w:rsid w:val="005B4E49"/>
    <w:rsid w:val="005B56EE"/>
    <w:rsid w:val="005B672C"/>
    <w:rsid w:val="005B747D"/>
    <w:rsid w:val="005B7733"/>
    <w:rsid w:val="005B7A22"/>
    <w:rsid w:val="005C0602"/>
    <w:rsid w:val="005C0D5D"/>
    <w:rsid w:val="005C0D70"/>
    <w:rsid w:val="005C191A"/>
    <w:rsid w:val="005C2AA9"/>
    <w:rsid w:val="005C330D"/>
    <w:rsid w:val="005C40C7"/>
    <w:rsid w:val="005C4114"/>
    <w:rsid w:val="005C4B98"/>
    <w:rsid w:val="005C4EFF"/>
    <w:rsid w:val="005C4F43"/>
    <w:rsid w:val="005D0B55"/>
    <w:rsid w:val="005D160D"/>
    <w:rsid w:val="005D356C"/>
    <w:rsid w:val="005D4A04"/>
    <w:rsid w:val="005D4ABA"/>
    <w:rsid w:val="005D4CF7"/>
    <w:rsid w:val="005D5347"/>
    <w:rsid w:val="005D5CC5"/>
    <w:rsid w:val="005D5F31"/>
    <w:rsid w:val="005D5FE6"/>
    <w:rsid w:val="005D61EA"/>
    <w:rsid w:val="005D6759"/>
    <w:rsid w:val="005D787B"/>
    <w:rsid w:val="005E031D"/>
    <w:rsid w:val="005E03AC"/>
    <w:rsid w:val="005E04B5"/>
    <w:rsid w:val="005E0D5C"/>
    <w:rsid w:val="005E12BE"/>
    <w:rsid w:val="005E191A"/>
    <w:rsid w:val="005E2C81"/>
    <w:rsid w:val="005E384C"/>
    <w:rsid w:val="005E4D3C"/>
    <w:rsid w:val="005E7158"/>
    <w:rsid w:val="005E7ECB"/>
    <w:rsid w:val="005E7F63"/>
    <w:rsid w:val="005F0C00"/>
    <w:rsid w:val="005F1037"/>
    <w:rsid w:val="005F2BF8"/>
    <w:rsid w:val="005F2EA8"/>
    <w:rsid w:val="005F4E3A"/>
    <w:rsid w:val="005F5573"/>
    <w:rsid w:val="005F5D1D"/>
    <w:rsid w:val="005F60C9"/>
    <w:rsid w:val="005F64C6"/>
    <w:rsid w:val="005F6F05"/>
    <w:rsid w:val="006008F1"/>
    <w:rsid w:val="00601714"/>
    <w:rsid w:val="00601735"/>
    <w:rsid w:val="00601A07"/>
    <w:rsid w:val="00602BD2"/>
    <w:rsid w:val="00604980"/>
    <w:rsid w:val="00605BDB"/>
    <w:rsid w:val="0060614D"/>
    <w:rsid w:val="00606392"/>
    <w:rsid w:val="00607C27"/>
    <w:rsid w:val="00607E54"/>
    <w:rsid w:val="0061005A"/>
    <w:rsid w:val="006101C5"/>
    <w:rsid w:val="00610871"/>
    <w:rsid w:val="00610E48"/>
    <w:rsid w:val="0061160D"/>
    <w:rsid w:val="0061286C"/>
    <w:rsid w:val="00612E83"/>
    <w:rsid w:val="00613C47"/>
    <w:rsid w:val="00615086"/>
    <w:rsid w:val="00615B0A"/>
    <w:rsid w:val="00615D40"/>
    <w:rsid w:val="00616201"/>
    <w:rsid w:val="00616225"/>
    <w:rsid w:val="00616917"/>
    <w:rsid w:val="0061705E"/>
    <w:rsid w:val="00617A8B"/>
    <w:rsid w:val="00620C43"/>
    <w:rsid w:val="00621904"/>
    <w:rsid w:val="00622248"/>
    <w:rsid w:val="00622FEA"/>
    <w:rsid w:val="00623CDF"/>
    <w:rsid w:val="00623DB1"/>
    <w:rsid w:val="00623DB4"/>
    <w:rsid w:val="006245F3"/>
    <w:rsid w:val="00624DBE"/>
    <w:rsid w:val="00625450"/>
    <w:rsid w:val="0062624F"/>
    <w:rsid w:val="006319C1"/>
    <w:rsid w:val="006319CA"/>
    <w:rsid w:val="00632D91"/>
    <w:rsid w:val="00633B3E"/>
    <w:rsid w:val="00634B64"/>
    <w:rsid w:val="00634EC0"/>
    <w:rsid w:val="006351C3"/>
    <w:rsid w:val="0063627F"/>
    <w:rsid w:val="0063642A"/>
    <w:rsid w:val="0063736E"/>
    <w:rsid w:val="006376C4"/>
    <w:rsid w:val="006378DC"/>
    <w:rsid w:val="0064009E"/>
    <w:rsid w:val="006403E7"/>
    <w:rsid w:val="00642D72"/>
    <w:rsid w:val="006443CB"/>
    <w:rsid w:val="006448B8"/>
    <w:rsid w:val="00644F80"/>
    <w:rsid w:val="00645874"/>
    <w:rsid w:val="006458E5"/>
    <w:rsid w:val="00646E5D"/>
    <w:rsid w:val="006472B4"/>
    <w:rsid w:val="00650B30"/>
    <w:rsid w:val="00650F81"/>
    <w:rsid w:val="00650FC7"/>
    <w:rsid w:val="006531B0"/>
    <w:rsid w:val="00653C24"/>
    <w:rsid w:val="00653D68"/>
    <w:rsid w:val="00654275"/>
    <w:rsid w:val="0065446D"/>
    <w:rsid w:val="00654894"/>
    <w:rsid w:val="00656067"/>
    <w:rsid w:val="00657381"/>
    <w:rsid w:val="0065746B"/>
    <w:rsid w:val="00660693"/>
    <w:rsid w:val="00660D86"/>
    <w:rsid w:val="006611D6"/>
    <w:rsid w:val="00661918"/>
    <w:rsid w:val="006623F6"/>
    <w:rsid w:val="00662A5A"/>
    <w:rsid w:val="0066335C"/>
    <w:rsid w:val="006636D0"/>
    <w:rsid w:val="00663834"/>
    <w:rsid w:val="006647D7"/>
    <w:rsid w:val="00664F1B"/>
    <w:rsid w:val="006653D7"/>
    <w:rsid w:val="00665BFF"/>
    <w:rsid w:val="006665BA"/>
    <w:rsid w:val="00666A4F"/>
    <w:rsid w:val="00666B7F"/>
    <w:rsid w:val="00666DEC"/>
    <w:rsid w:val="00667477"/>
    <w:rsid w:val="006703D9"/>
    <w:rsid w:val="00670ADE"/>
    <w:rsid w:val="006714B8"/>
    <w:rsid w:val="00672DFC"/>
    <w:rsid w:val="00672F5B"/>
    <w:rsid w:val="00673BD7"/>
    <w:rsid w:val="00673DEE"/>
    <w:rsid w:val="006744F6"/>
    <w:rsid w:val="006745F8"/>
    <w:rsid w:val="00674E69"/>
    <w:rsid w:val="00675A33"/>
    <w:rsid w:val="0067602A"/>
    <w:rsid w:val="006763ED"/>
    <w:rsid w:val="00676433"/>
    <w:rsid w:val="0067720F"/>
    <w:rsid w:val="0067738E"/>
    <w:rsid w:val="00677F23"/>
    <w:rsid w:val="0068081B"/>
    <w:rsid w:val="00680936"/>
    <w:rsid w:val="00680BBE"/>
    <w:rsid w:val="00680D8C"/>
    <w:rsid w:val="00680D99"/>
    <w:rsid w:val="006821B2"/>
    <w:rsid w:val="00682221"/>
    <w:rsid w:val="00682725"/>
    <w:rsid w:val="00682A1B"/>
    <w:rsid w:val="00682D73"/>
    <w:rsid w:val="00682ED3"/>
    <w:rsid w:val="006843F8"/>
    <w:rsid w:val="006846E8"/>
    <w:rsid w:val="0068541E"/>
    <w:rsid w:val="00685E9D"/>
    <w:rsid w:val="00685EBD"/>
    <w:rsid w:val="0068605C"/>
    <w:rsid w:val="006861AC"/>
    <w:rsid w:val="006861C3"/>
    <w:rsid w:val="0068639D"/>
    <w:rsid w:val="00686AF3"/>
    <w:rsid w:val="00690F1F"/>
    <w:rsid w:val="006915BD"/>
    <w:rsid w:val="00691A6B"/>
    <w:rsid w:val="00692582"/>
    <w:rsid w:val="00692592"/>
    <w:rsid w:val="00692A2F"/>
    <w:rsid w:val="0069322C"/>
    <w:rsid w:val="00693652"/>
    <w:rsid w:val="006939E7"/>
    <w:rsid w:val="00693D3E"/>
    <w:rsid w:val="006942F7"/>
    <w:rsid w:val="006956FB"/>
    <w:rsid w:val="00695BC7"/>
    <w:rsid w:val="006969AD"/>
    <w:rsid w:val="00696F7B"/>
    <w:rsid w:val="0069796F"/>
    <w:rsid w:val="006A01FB"/>
    <w:rsid w:val="006A1093"/>
    <w:rsid w:val="006A1D3D"/>
    <w:rsid w:val="006A2150"/>
    <w:rsid w:val="006A2216"/>
    <w:rsid w:val="006A241D"/>
    <w:rsid w:val="006A3288"/>
    <w:rsid w:val="006A43E6"/>
    <w:rsid w:val="006A4442"/>
    <w:rsid w:val="006A4AEE"/>
    <w:rsid w:val="006A526F"/>
    <w:rsid w:val="006A70BE"/>
    <w:rsid w:val="006A7934"/>
    <w:rsid w:val="006B0001"/>
    <w:rsid w:val="006B04AF"/>
    <w:rsid w:val="006B059F"/>
    <w:rsid w:val="006B0A56"/>
    <w:rsid w:val="006B2048"/>
    <w:rsid w:val="006B20A6"/>
    <w:rsid w:val="006B21EB"/>
    <w:rsid w:val="006B32D5"/>
    <w:rsid w:val="006B342E"/>
    <w:rsid w:val="006B3812"/>
    <w:rsid w:val="006B3B80"/>
    <w:rsid w:val="006B6870"/>
    <w:rsid w:val="006B6F32"/>
    <w:rsid w:val="006B7130"/>
    <w:rsid w:val="006B73CC"/>
    <w:rsid w:val="006B7695"/>
    <w:rsid w:val="006B7C0F"/>
    <w:rsid w:val="006C0176"/>
    <w:rsid w:val="006C2994"/>
    <w:rsid w:val="006C35EC"/>
    <w:rsid w:val="006C4150"/>
    <w:rsid w:val="006C4382"/>
    <w:rsid w:val="006C5683"/>
    <w:rsid w:val="006C5E33"/>
    <w:rsid w:val="006C5E48"/>
    <w:rsid w:val="006C6434"/>
    <w:rsid w:val="006C6984"/>
    <w:rsid w:val="006C6CD8"/>
    <w:rsid w:val="006C70BB"/>
    <w:rsid w:val="006C7528"/>
    <w:rsid w:val="006C7EB1"/>
    <w:rsid w:val="006D013F"/>
    <w:rsid w:val="006D017F"/>
    <w:rsid w:val="006D08BD"/>
    <w:rsid w:val="006D0F8E"/>
    <w:rsid w:val="006D1414"/>
    <w:rsid w:val="006D1416"/>
    <w:rsid w:val="006D1D3F"/>
    <w:rsid w:val="006D253B"/>
    <w:rsid w:val="006D325A"/>
    <w:rsid w:val="006D407B"/>
    <w:rsid w:val="006D4242"/>
    <w:rsid w:val="006D44E6"/>
    <w:rsid w:val="006D45F0"/>
    <w:rsid w:val="006D4C8F"/>
    <w:rsid w:val="006D52A0"/>
    <w:rsid w:val="006D57CB"/>
    <w:rsid w:val="006D5819"/>
    <w:rsid w:val="006D5E6F"/>
    <w:rsid w:val="006D693F"/>
    <w:rsid w:val="006D6CDD"/>
    <w:rsid w:val="006D7604"/>
    <w:rsid w:val="006D765E"/>
    <w:rsid w:val="006E03D1"/>
    <w:rsid w:val="006E0455"/>
    <w:rsid w:val="006E150D"/>
    <w:rsid w:val="006E3289"/>
    <w:rsid w:val="006E33E4"/>
    <w:rsid w:val="006E4238"/>
    <w:rsid w:val="006E5F01"/>
    <w:rsid w:val="006E5F88"/>
    <w:rsid w:val="006E7404"/>
    <w:rsid w:val="006E7A36"/>
    <w:rsid w:val="006E7B97"/>
    <w:rsid w:val="006F12C8"/>
    <w:rsid w:val="006F1DE7"/>
    <w:rsid w:val="006F1EA3"/>
    <w:rsid w:val="006F2627"/>
    <w:rsid w:val="006F2BF8"/>
    <w:rsid w:val="006F31E2"/>
    <w:rsid w:val="006F3568"/>
    <w:rsid w:val="006F40AD"/>
    <w:rsid w:val="006F4A5F"/>
    <w:rsid w:val="006F4D7B"/>
    <w:rsid w:val="006F6360"/>
    <w:rsid w:val="006F6436"/>
    <w:rsid w:val="006F65C5"/>
    <w:rsid w:val="006F687A"/>
    <w:rsid w:val="006F68EF"/>
    <w:rsid w:val="006F6D38"/>
    <w:rsid w:val="006F6D4C"/>
    <w:rsid w:val="006F6E67"/>
    <w:rsid w:val="006F7157"/>
    <w:rsid w:val="006F78E0"/>
    <w:rsid w:val="00701210"/>
    <w:rsid w:val="00702B1B"/>
    <w:rsid w:val="00702ED6"/>
    <w:rsid w:val="007032B3"/>
    <w:rsid w:val="00703C62"/>
    <w:rsid w:val="00704164"/>
    <w:rsid w:val="007044BF"/>
    <w:rsid w:val="00706388"/>
    <w:rsid w:val="00706A58"/>
    <w:rsid w:val="00707517"/>
    <w:rsid w:val="007078ED"/>
    <w:rsid w:val="00710187"/>
    <w:rsid w:val="007110E1"/>
    <w:rsid w:val="00711B18"/>
    <w:rsid w:val="00714394"/>
    <w:rsid w:val="00714ED6"/>
    <w:rsid w:val="007151B7"/>
    <w:rsid w:val="007153FC"/>
    <w:rsid w:val="00715E8D"/>
    <w:rsid w:val="0071648F"/>
    <w:rsid w:val="00716D8A"/>
    <w:rsid w:val="00717854"/>
    <w:rsid w:val="00721C26"/>
    <w:rsid w:val="00721F7E"/>
    <w:rsid w:val="00722C0F"/>
    <w:rsid w:val="00722E29"/>
    <w:rsid w:val="00723ECB"/>
    <w:rsid w:val="00724606"/>
    <w:rsid w:val="00724A36"/>
    <w:rsid w:val="00724A60"/>
    <w:rsid w:val="00724E85"/>
    <w:rsid w:val="00725113"/>
    <w:rsid w:val="0072525D"/>
    <w:rsid w:val="00725A26"/>
    <w:rsid w:val="00726E8A"/>
    <w:rsid w:val="00727047"/>
    <w:rsid w:val="00727C5E"/>
    <w:rsid w:val="00734510"/>
    <w:rsid w:val="00734887"/>
    <w:rsid w:val="00736530"/>
    <w:rsid w:val="007365B6"/>
    <w:rsid w:val="007373C8"/>
    <w:rsid w:val="007401E2"/>
    <w:rsid w:val="00740205"/>
    <w:rsid w:val="00740D67"/>
    <w:rsid w:val="007411E5"/>
    <w:rsid w:val="00741605"/>
    <w:rsid w:val="00742AD3"/>
    <w:rsid w:val="00742F72"/>
    <w:rsid w:val="00743319"/>
    <w:rsid w:val="007436F2"/>
    <w:rsid w:val="0074436D"/>
    <w:rsid w:val="007446DA"/>
    <w:rsid w:val="007462C2"/>
    <w:rsid w:val="00746772"/>
    <w:rsid w:val="00746951"/>
    <w:rsid w:val="00746F65"/>
    <w:rsid w:val="00746FFF"/>
    <w:rsid w:val="007472C3"/>
    <w:rsid w:val="0074791E"/>
    <w:rsid w:val="0075028E"/>
    <w:rsid w:val="00750948"/>
    <w:rsid w:val="0075115D"/>
    <w:rsid w:val="00751A33"/>
    <w:rsid w:val="00751F77"/>
    <w:rsid w:val="00752C5F"/>
    <w:rsid w:val="007535D4"/>
    <w:rsid w:val="00753890"/>
    <w:rsid w:val="007555DF"/>
    <w:rsid w:val="007569DC"/>
    <w:rsid w:val="00756D6A"/>
    <w:rsid w:val="0075711E"/>
    <w:rsid w:val="007579F2"/>
    <w:rsid w:val="007602CB"/>
    <w:rsid w:val="00761434"/>
    <w:rsid w:val="00761FD5"/>
    <w:rsid w:val="007620C9"/>
    <w:rsid w:val="00762372"/>
    <w:rsid w:val="00762BB6"/>
    <w:rsid w:val="0076341D"/>
    <w:rsid w:val="0076446D"/>
    <w:rsid w:val="007647EF"/>
    <w:rsid w:val="0076542B"/>
    <w:rsid w:val="00765DD8"/>
    <w:rsid w:val="00766B33"/>
    <w:rsid w:val="00766D36"/>
    <w:rsid w:val="007671DC"/>
    <w:rsid w:val="00767607"/>
    <w:rsid w:val="00767ACD"/>
    <w:rsid w:val="00767C0D"/>
    <w:rsid w:val="00767E70"/>
    <w:rsid w:val="007705B5"/>
    <w:rsid w:val="00770B08"/>
    <w:rsid w:val="007720B8"/>
    <w:rsid w:val="0077270D"/>
    <w:rsid w:val="00773874"/>
    <w:rsid w:val="00774B47"/>
    <w:rsid w:val="00775D3B"/>
    <w:rsid w:val="0077615A"/>
    <w:rsid w:val="00777483"/>
    <w:rsid w:val="007806A0"/>
    <w:rsid w:val="00782346"/>
    <w:rsid w:val="007828DB"/>
    <w:rsid w:val="007838CD"/>
    <w:rsid w:val="007840F3"/>
    <w:rsid w:val="00784EC7"/>
    <w:rsid w:val="00785491"/>
    <w:rsid w:val="007858C0"/>
    <w:rsid w:val="00785C4E"/>
    <w:rsid w:val="00786128"/>
    <w:rsid w:val="00786662"/>
    <w:rsid w:val="0078679A"/>
    <w:rsid w:val="007871FE"/>
    <w:rsid w:val="007902AD"/>
    <w:rsid w:val="00790606"/>
    <w:rsid w:val="007908ED"/>
    <w:rsid w:val="00790F74"/>
    <w:rsid w:val="007912E8"/>
    <w:rsid w:val="00791AD0"/>
    <w:rsid w:val="00792288"/>
    <w:rsid w:val="00792447"/>
    <w:rsid w:val="007928C6"/>
    <w:rsid w:val="007929C0"/>
    <w:rsid w:val="007951F4"/>
    <w:rsid w:val="0079694C"/>
    <w:rsid w:val="00797AF9"/>
    <w:rsid w:val="00797FBD"/>
    <w:rsid w:val="007A0187"/>
    <w:rsid w:val="007A0B97"/>
    <w:rsid w:val="007A19AC"/>
    <w:rsid w:val="007A2640"/>
    <w:rsid w:val="007A268F"/>
    <w:rsid w:val="007A4A53"/>
    <w:rsid w:val="007A4C93"/>
    <w:rsid w:val="007A4E17"/>
    <w:rsid w:val="007A5936"/>
    <w:rsid w:val="007A5AC6"/>
    <w:rsid w:val="007A6A01"/>
    <w:rsid w:val="007A7D0A"/>
    <w:rsid w:val="007A7F6D"/>
    <w:rsid w:val="007B0799"/>
    <w:rsid w:val="007B0FBD"/>
    <w:rsid w:val="007B1BAF"/>
    <w:rsid w:val="007B2393"/>
    <w:rsid w:val="007B2FE8"/>
    <w:rsid w:val="007B30DB"/>
    <w:rsid w:val="007B30F2"/>
    <w:rsid w:val="007B35F7"/>
    <w:rsid w:val="007B4DD5"/>
    <w:rsid w:val="007B4F72"/>
    <w:rsid w:val="007B5148"/>
    <w:rsid w:val="007B5A16"/>
    <w:rsid w:val="007B5FC9"/>
    <w:rsid w:val="007B64D8"/>
    <w:rsid w:val="007B660D"/>
    <w:rsid w:val="007B7219"/>
    <w:rsid w:val="007C03FE"/>
    <w:rsid w:val="007C0E04"/>
    <w:rsid w:val="007C17D3"/>
    <w:rsid w:val="007C1E98"/>
    <w:rsid w:val="007C1FA2"/>
    <w:rsid w:val="007C2823"/>
    <w:rsid w:val="007C2827"/>
    <w:rsid w:val="007C3536"/>
    <w:rsid w:val="007C3A26"/>
    <w:rsid w:val="007C4032"/>
    <w:rsid w:val="007C4CE1"/>
    <w:rsid w:val="007C537A"/>
    <w:rsid w:val="007C563F"/>
    <w:rsid w:val="007C57D1"/>
    <w:rsid w:val="007C6B3E"/>
    <w:rsid w:val="007C6F13"/>
    <w:rsid w:val="007C7130"/>
    <w:rsid w:val="007C74E5"/>
    <w:rsid w:val="007C7DAB"/>
    <w:rsid w:val="007C7F57"/>
    <w:rsid w:val="007D0348"/>
    <w:rsid w:val="007D0E43"/>
    <w:rsid w:val="007D13E7"/>
    <w:rsid w:val="007D153B"/>
    <w:rsid w:val="007D1E37"/>
    <w:rsid w:val="007D358B"/>
    <w:rsid w:val="007D4624"/>
    <w:rsid w:val="007D563E"/>
    <w:rsid w:val="007D5A49"/>
    <w:rsid w:val="007D5FC1"/>
    <w:rsid w:val="007D6E81"/>
    <w:rsid w:val="007D6EB6"/>
    <w:rsid w:val="007D715A"/>
    <w:rsid w:val="007D789C"/>
    <w:rsid w:val="007E0161"/>
    <w:rsid w:val="007E08DB"/>
    <w:rsid w:val="007E0B17"/>
    <w:rsid w:val="007E0D90"/>
    <w:rsid w:val="007E0E9E"/>
    <w:rsid w:val="007E0EBF"/>
    <w:rsid w:val="007E12DC"/>
    <w:rsid w:val="007E1760"/>
    <w:rsid w:val="007E21FB"/>
    <w:rsid w:val="007E3B9D"/>
    <w:rsid w:val="007E420B"/>
    <w:rsid w:val="007E46BC"/>
    <w:rsid w:val="007E4932"/>
    <w:rsid w:val="007E4CAD"/>
    <w:rsid w:val="007E502C"/>
    <w:rsid w:val="007E516A"/>
    <w:rsid w:val="007E5BD7"/>
    <w:rsid w:val="007E6761"/>
    <w:rsid w:val="007E75F0"/>
    <w:rsid w:val="007E7968"/>
    <w:rsid w:val="007E7992"/>
    <w:rsid w:val="007E79C4"/>
    <w:rsid w:val="007F013A"/>
    <w:rsid w:val="007F0730"/>
    <w:rsid w:val="007F1D54"/>
    <w:rsid w:val="007F20A0"/>
    <w:rsid w:val="007F2A15"/>
    <w:rsid w:val="007F2D90"/>
    <w:rsid w:val="007F321F"/>
    <w:rsid w:val="007F3D9B"/>
    <w:rsid w:val="007F3F6F"/>
    <w:rsid w:val="007F48A9"/>
    <w:rsid w:val="007F4A1F"/>
    <w:rsid w:val="007F4E28"/>
    <w:rsid w:val="007F4E6E"/>
    <w:rsid w:val="007F4F82"/>
    <w:rsid w:val="007F6D96"/>
    <w:rsid w:val="007F7CFA"/>
    <w:rsid w:val="0080033E"/>
    <w:rsid w:val="00801D7A"/>
    <w:rsid w:val="008020F2"/>
    <w:rsid w:val="00802462"/>
    <w:rsid w:val="008036FC"/>
    <w:rsid w:val="00803F74"/>
    <w:rsid w:val="00804653"/>
    <w:rsid w:val="00804C48"/>
    <w:rsid w:val="0080505A"/>
    <w:rsid w:val="00805478"/>
    <w:rsid w:val="00806639"/>
    <w:rsid w:val="008066AC"/>
    <w:rsid w:val="00806A84"/>
    <w:rsid w:val="008073A4"/>
    <w:rsid w:val="00807C6C"/>
    <w:rsid w:val="00807C7A"/>
    <w:rsid w:val="008101E4"/>
    <w:rsid w:val="008115ED"/>
    <w:rsid w:val="00811A42"/>
    <w:rsid w:val="0081254B"/>
    <w:rsid w:val="008132BB"/>
    <w:rsid w:val="0081340B"/>
    <w:rsid w:val="00813788"/>
    <w:rsid w:val="00813F40"/>
    <w:rsid w:val="00814FED"/>
    <w:rsid w:val="00815822"/>
    <w:rsid w:val="00815B93"/>
    <w:rsid w:val="00815BA2"/>
    <w:rsid w:val="00816585"/>
    <w:rsid w:val="00816AD2"/>
    <w:rsid w:val="00817364"/>
    <w:rsid w:val="00817BB4"/>
    <w:rsid w:val="00817E4F"/>
    <w:rsid w:val="00820F5B"/>
    <w:rsid w:val="00821021"/>
    <w:rsid w:val="008214BB"/>
    <w:rsid w:val="00821B58"/>
    <w:rsid w:val="00822136"/>
    <w:rsid w:val="008227DC"/>
    <w:rsid w:val="00822D4E"/>
    <w:rsid w:val="00822FBA"/>
    <w:rsid w:val="0082398C"/>
    <w:rsid w:val="00824FAD"/>
    <w:rsid w:val="00824FF1"/>
    <w:rsid w:val="00825196"/>
    <w:rsid w:val="00826173"/>
    <w:rsid w:val="00826F4C"/>
    <w:rsid w:val="008302D6"/>
    <w:rsid w:val="008305FD"/>
    <w:rsid w:val="00831573"/>
    <w:rsid w:val="00832AF3"/>
    <w:rsid w:val="00833BBE"/>
    <w:rsid w:val="00833C51"/>
    <w:rsid w:val="008349A6"/>
    <w:rsid w:val="00835271"/>
    <w:rsid w:val="00835679"/>
    <w:rsid w:val="008360DF"/>
    <w:rsid w:val="008365D4"/>
    <w:rsid w:val="0083731C"/>
    <w:rsid w:val="008377DA"/>
    <w:rsid w:val="00837BD7"/>
    <w:rsid w:val="008403A7"/>
    <w:rsid w:val="00840591"/>
    <w:rsid w:val="0084119A"/>
    <w:rsid w:val="00841F21"/>
    <w:rsid w:val="00842991"/>
    <w:rsid w:val="008429B0"/>
    <w:rsid w:val="00843900"/>
    <w:rsid w:val="00844C5B"/>
    <w:rsid w:val="00845083"/>
    <w:rsid w:val="0084581F"/>
    <w:rsid w:val="00845898"/>
    <w:rsid w:val="00845A15"/>
    <w:rsid w:val="0084632F"/>
    <w:rsid w:val="00852528"/>
    <w:rsid w:val="008541F1"/>
    <w:rsid w:val="008543F7"/>
    <w:rsid w:val="008545DC"/>
    <w:rsid w:val="00854A7E"/>
    <w:rsid w:val="00854A98"/>
    <w:rsid w:val="00855209"/>
    <w:rsid w:val="00855B06"/>
    <w:rsid w:val="00856B95"/>
    <w:rsid w:val="00856D1A"/>
    <w:rsid w:val="00857D29"/>
    <w:rsid w:val="008605FA"/>
    <w:rsid w:val="0086161C"/>
    <w:rsid w:val="0086225C"/>
    <w:rsid w:val="008629A8"/>
    <w:rsid w:val="00863225"/>
    <w:rsid w:val="00863ADA"/>
    <w:rsid w:val="00864BF6"/>
    <w:rsid w:val="00865266"/>
    <w:rsid w:val="00865BAA"/>
    <w:rsid w:val="008677CB"/>
    <w:rsid w:val="0087056E"/>
    <w:rsid w:val="00870CB6"/>
    <w:rsid w:val="00870CC5"/>
    <w:rsid w:val="00870DD7"/>
    <w:rsid w:val="008737AE"/>
    <w:rsid w:val="00873F17"/>
    <w:rsid w:val="00873FEA"/>
    <w:rsid w:val="0087419B"/>
    <w:rsid w:val="00874592"/>
    <w:rsid w:val="008750AF"/>
    <w:rsid w:val="008751C1"/>
    <w:rsid w:val="00876C1B"/>
    <w:rsid w:val="00876E70"/>
    <w:rsid w:val="008804E1"/>
    <w:rsid w:val="00880E30"/>
    <w:rsid w:val="008815B6"/>
    <w:rsid w:val="008818F6"/>
    <w:rsid w:val="00881D45"/>
    <w:rsid w:val="008829F8"/>
    <w:rsid w:val="0088398E"/>
    <w:rsid w:val="00885182"/>
    <w:rsid w:val="0088647E"/>
    <w:rsid w:val="00887E02"/>
    <w:rsid w:val="00890382"/>
    <w:rsid w:val="0089046A"/>
    <w:rsid w:val="00891106"/>
    <w:rsid w:val="008916CB"/>
    <w:rsid w:val="00892833"/>
    <w:rsid w:val="00893479"/>
    <w:rsid w:val="0089375D"/>
    <w:rsid w:val="008943CB"/>
    <w:rsid w:val="008946B9"/>
    <w:rsid w:val="008960A2"/>
    <w:rsid w:val="00896E62"/>
    <w:rsid w:val="008979BC"/>
    <w:rsid w:val="008A056E"/>
    <w:rsid w:val="008A0882"/>
    <w:rsid w:val="008A10C1"/>
    <w:rsid w:val="008A181A"/>
    <w:rsid w:val="008A1A6F"/>
    <w:rsid w:val="008A1C47"/>
    <w:rsid w:val="008A2289"/>
    <w:rsid w:val="008A26F5"/>
    <w:rsid w:val="008A3766"/>
    <w:rsid w:val="008A4F66"/>
    <w:rsid w:val="008A525C"/>
    <w:rsid w:val="008A5290"/>
    <w:rsid w:val="008A593A"/>
    <w:rsid w:val="008A6A60"/>
    <w:rsid w:val="008A6B89"/>
    <w:rsid w:val="008A6C5A"/>
    <w:rsid w:val="008A6CCA"/>
    <w:rsid w:val="008B1417"/>
    <w:rsid w:val="008B1B85"/>
    <w:rsid w:val="008B1B8C"/>
    <w:rsid w:val="008B2170"/>
    <w:rsid w:val="008B25B1"/>
    <w:rsid w:val="008B2C59"/>
    <w:rsid w:val="008B2DF3"/>
    <w:rsid w:val="008B353B"/>
    <w:rsid w:val="008B3761"/>
    <w:rsid w:val="008B376A"/>
    <w:rsid w:val="008B444E"/>
    <w:rsid w:val="008B569F"/>
    <w:rsid w:val="008B7220"/>
    <w:rsid w:val="008C0669"/>
    <w:rsid w:val="008C08A5"/>
    <w:rsid w:val="008C1DD7"/>
    <w:rsid w:val="008C26FA"/>
    <w:rsid w:val="008C36BB"/>
    <w:rsid w:val="008C38A4"/>
    <w:rsid w:val="008C4566"/>
    <w:rsid w:val="008C46B6"/>
    <w:rsid w:val="008C46C3"/>
    <w:rsid w:val="008C522A"/>
    <w:rsid w:val="008C5E71"/>
    <w:rsid w:val="008C64E3"/>
    <w:rsid w:val="008C6A8B"/>
    <w:rsid w:val="008C77F7"/>
    <w:rsid w:val="008D00EA"/>
    <w:rsid w:val="008D0D1E"/>
    <w:rsid w:val="008D1175"/>
    <w:rsid w:val="008D13C7"/>
    <w:rsid w:val="008D1627"/>
    <w:rsid w:val="008D1DA0"/>
    <w:rsid w:val="008D284E"/>
    <w:rsid w:val="008D4D90"/>
    <w:rsid w:val="008D4ED3"/>
    <w:rsid w:val="008D54BF"/>
    <w:rsid w:val="008D5DC6"/>
    <w:rsid w:val="008D6A11"/>
    <w:rsid w:val="008E0D4B"/>
    <w:rsid w:val="008E1A5C"/>
    <w:rsid w:val="008E1C27"/>
    <w:rsid w:val="008E1E54"/>
    <w:rsid w:val="008E2057"/>
    <w:rsid w:val="008E264D"/>
    <w:rsid w:val="008E2DA6"/>
    <w:rsid w:val="008E31EC"/>
    <w:rsid w:val="008E3512"/>
    <w:rsid w:val="008E3C88"/>
    <w:rsid w:val="008E4E17"/>
    <w:rsid w:val="008E5337"/>
    <w:rsid w:val="008E610D"/>
    <w:rsid w:val="008E6F8D"/>
    <w:rsid w:val="008E78F2"/>
    <w:rsid w:val="008E7B12"/>
    <w:rsid w:val="008F022C"/>
    <w:rsid w:val="008F0377"/>
    <w:rsid w:val="008F0E38"/>
    <w:rsid w:val="008F2A60"/>
    <w:rsid w:val="008F310D"/>
    <w:rsid w:val="008F3758"/>
    <w:rsid w:val="008F3888"/>
    <w:rsid w:val="008F3A90"/>
    <w:rsid w:val="008F3B22"/>
    <w:rsid w:val="008F43C7"/>
    <w:rsid w:val="008F4823"/>
    <w:rsid w:val="008F551B"/>
    <w:rsid w:val="008F606D"/>
    <w:rsid w:val="008F6597"/>
    <w:rsid w:val="008F7150"/>
    <w:rsid w:val="008F71CC"/>
    <w:rsid w:val="008F721C"/>
    <w:rsid w:val="008F757D"/>
    <w:rsid w:val="00900662"/>
    <w:rsid w:val="00900BFF"/>
    <w:rsid w:val="00901953"/>
    <w:rsid w:val="00901DF8"/>
    <w:rsid w:val="00902166"/>
    <w:rsid w:val="00902A0C"/>
    <w:rsid w:val="009040A1"/>
    <w:rsid w:val="009043AA"/>
    <w:rsid w:val="0090473B"/>
    <w:rsid w:val="0090487F"/>
    <w:rsid w:val="00904A1E"/>
    <w:rsid w:val="00905282"/>
    <w:rsid w:val="00905908"/>
    <w:rsid w:val="00905F22"/>
    <w:rsid w:val="00906C96"/>
    <w:rsid w:val="009075A4"/>
    <w:rsid w:val="009101AF"/>
    <w:rsid w:val="00910400"/>
    <w:rsid w:val="00911808"/>
    <w:rsid w:val="00912F37"/>
    <w:rsid w:val="009131C8"/>
    <w:rsid w:val="009145FB"/>
    <w:rsid w:val="00914811"/>
    <w:rsid w:val="00915283"/>
    <w:rsid w:val="00915786"/>
    <w:rsid w:val="00917141"/>
    <w:rsid w:val="0091746C"/>
    <w:rsid w:val="00917D06"/>
    <w:rsid w:val="009207DB"/>
    <w:rsid w:val="00921879"/>
    <w:rsid w:val="00922024"/>
    <w:rsid w:val="009233CE"/>
    <w:rsid w:val="00923C3F"/>
    <w:rsid w:val="00924853"/>
    <w:rsid w:val="009252E0"/>
    <w:rsid w:val="00925501"/>
    <w:rsid w:val="00926982"/>
    <w:rsid w:val="00926B5A"/>
    <w:rsid w:val="00926D4C"/>
    <w:rsid w:val="009270C4"/>
    <w:rsid w:val="00931743"/>
    <w:rsid w:val="00931AF8"/>
    <w:rsid w:val="009325F7"/>
    <w:rsid w:val="00932BCF"/>
    <w:rsid w:val="00933396"/>
    <w:rsid w:val="00933761"/>
    <w:rsid w:val="00934D73"/>
    <w:rsid w:val="00935042"/>
    <w:rsid w:val="00936CC6"/>
    <w:rsid w:val="0093740F"/>
    <w:rsid w:val="00937B4A"/>
    <w:rsid w:val="00937BE9"/>
    <w:rsid w:val="00937C1D"/>
    <w:rsid w:val="00940804"/>
    <w:rsid w:val="00940E9B"/>
    <w:rsid w:val="00940FC3"/>
    <w:rsid w:val="009410B3"/>
    <w:rsid w:val="0094131D"/>
    <w:rsid w:val="0094166C"/>
    <w:rsid w:val="00942120"/>
    <w:rsid w:val="009425F7"/>
    <w:rsid w:val="00943827"/>
    <w:rsid w:val="00943BC0"/>
    <w:rsid w:val="00943E23"/>
    <w:rsid w:val="00944BF0"/>
    <w:rsid w:val="00944F29"/>
    <w:rsid w:val="00946136"/>
    <w:rsid w:val="00946CD9"/>
    <w:rsid w:val="00947046"/>
    <w:rsid w:val="00947A00"/>
    <w:rsid w:val="009505F4"/>
    <w:rsid w:val="00951216"/>
    <w:rsid w:val="0095279B"/>
    <w:rsid w:val="00953006"/>
    <w:rsid w:val="0095316C"/>
    <w:rsid w:val="00954282"/>
    <w:rsid w:val="00954427"/>
    <w:rsid w:val="009545B9"/>
    <w:rsid w:val="0095520E"/>
    <w:rsid w:val="009564ED"/>
    <w:rsid w:val="00956CA2"/>
    <w:rsid w:val="00960310"/>
    <w:rsid w:val="00960385"/>
    <w:rsid w:val="0096079B"/>
    <w:rsid w:val="00960CA9"/>
    <w:rsid w:val="00961D3A"/>
    <w:rsid w:val="0096218D"/>
    <w:rsid w:val="00964509"/>
    <w:rsid w:val="00964525"/>
    <w:rsid w:val="0096501B"/>
    <w:rsid w:val="0096627F"/>
    <w:rsid w:val="0096662B"/>
    <w:rsid w:val="009666AF"/>
    <w:rsid w:val="00967180"/>
    <w:rsid w:val="0096797D"/>
    <w:rsid w:val="00967B7F"/>
    <w:rsid w:val="00970704"/>
    <w:rsid w:val="00970B65"/>
    <w:rsid w:val="00971127"/>
    <w:rsid w:val="0097119E"/>
    <w:rsid w:val="00971E87"/>
    <w:rsid w:val="00971EB0"/>
    <w:rsid w:val="0097272C"/>
    <w:rsid w:val="009734B8"/>
    <w:rsid w:val="00973514"/>
    <w:rsid w:val="009741E7"/>
    <w:rsid w:val="00974EEC"/>
    <w:rsid w:val="00975B47"/>
    <w:rsid w:val="00975C75"/>
    <w:rsid w:val="00975E5B"/>
    <w:rsid w:val="0097681E"/>
    <w:rsid w:val="00977506"/>
    <w:rsid w:val="0098177A"/>
    <w:rsid w:val="00982633"/>
    <w:rsid w:val="00983583"/>
    <w:rsid w:val="00983EFD"/>
    <w:rsid w:val="009855B0"/>
    <w:rsid w:val="009859A8"/>
    <w:rsid w:val="00985A7D"/>
    <w:rsid w:val="00986257"/>
    <w:rsid w:val="0098658A"/>
    <w:rsid w:val="00986861"/>
    <w:rsid w:val="00987CBC"/>
    <w:rsid w:val="00990E34"/>
    <w:rsid w:val="00991EB0"/>
    <w:rsid w:val="0099212B"/>
    <w:rsid w:val="0099245F"/>
    <w:rsid w:val="009928FA"/>
    <w:rsid w:val="009937B4"/>
    <w:rsid w:val="009940B6"/>
    <w:rsid w:val="00994B5F"/>
    <w:rsid w:val="00995768"/>
    <w:rsid w:val="00996326"/>
    <w:rsid w:val="00996B7D"/>
    <w:rsid w:val="00996F95"/>
    <w:rsid w:val="009976A3"/>
    <w:rsid w:val="00997745"/>
    <w:rsid w:val="00997EA5"/>
    <w:rsid w:val="009A07D5"/>
    <w:rsid w:val="009A1BC9"/>
    <w:rsid w:val="009A1CDF"/>
    <w:rsid w:val="009A1FE7"/>
    <w:rsid w:val="009A28D9"/>
    <w:rsid w:val="009A2967"/>
    <w:rsid w:val="009A36B7"/>
    <w:rsid w:val="009A3720"/>
    <w:rsid w:val="009A42CF"/>
    <w:rsid w:val="009A44E8"/>
    <w:rsid w:val="009A4A49"/>
    <w:rsid w:val="009A581E"/>
    <w:rsid w:val="009A679E"/>
    <w:rsid w:val="009B0460"/>
    <w:rsid w:val="009B1DA5"/>
    <w:rsid w:val="009B1E1D"/>
    <w:rsid w:val="009B2602"/>
    <w:rsid w:val="009B28FD"/>
    <w:rsid w:val="009B2AD6"/>
    <w:rsid w:val="009B3172"/>
    <w:rsid w:val="009B4575"/>
    <w:rsid w:val="009B45C7"/>
    <w:rsid w:val="009B461D"/>
    <w:rsid w:val="009B5594"/>
    <w:rsid w:val="009B59ED"/>
    <w:rsid w:val="009B6EE8"/>
    <w:rsid w:val="009B729E"/>
    <w:rsid w:val="009B7498"/>
    <w:rsid w:val="009C0191"/>
    <w:rsid w:val="009C264B"/>
    <w:rsid w:val="009C34F1"/>
    <w:rsid w:val="009C381A"/>
    <w:rsid w:val="009C3B80"/>
    <w:rsid w:val="009C3D84"/>
    <w:rsid w:val="009C48C6"/>
    <w:rsid w:val="009C5D76"/>
    <w:rsid w:val="009C5DFB"/>
    <w:rsid w:val="009C5FDE"/>
    <w:rsid w:val="009C6C92"/>
    <w:rsid w:val="009C7B1D"/>
    <w:rsid w:val="009C7F10"/>
    <w:rsid w:val="009C7FF8"/>
    <w:rsid w:val="009D03F1"/>
    <w:rsid w:val="009D07CE"/>
    <w:rsid w:val="009D0921"/>
    <w:rsid w:val="009D101B"/>
    <w:rsid w:val="009D118E"/>
    <w:rsid w:val="009D1CF4"/>
    <w:rsid w:val="009D2A26"/>
    <w:rsid w:val="009D2C21"/>
    <w:rsid w:val="009D380F"/>
    <w:rsid w:val="009D57A7"/>
    <w:rsid w:val="009D6546"/>
    <w:rsid w:val="009D65EE"/>
    <w:rsid w:val="009D6FE7"/>
    <w:rsid w:val="009E0393"/>
    <w:rsid w:val="009E04BB"/>
    <w:rsid w:val="009E0525"/>
    <w:rsid w:val="009E05A9"/>
    <w:rsid w:val="009E1370"/>
    <w:rsid w:val="009E20A6"/>
    <w:rsid w:val="009E233F"/>
    <w:rsid w:val="009E2F30"/>
    <w:rsid w:val="009E323A"/>
    <w:rsid w:val="009E328B"/>
    <w:rsid w:val="009E396A"/>
    <w:rsid w:val="009E4130"/>
    <w:rsid w:val="009E6122"/>
    <w:rsid w:val="009E6DD0"/>
    <w:rsid w:val="009E6DEE"/>
    <w:rsid w:val="009E6E87"/>
    <w:rsid w:val="009E700C"/>
    <w:rsid w:val="009F082A"/>
    <w:rsid w:val="009F0BD9"/>
    <w:rsid w:val="009F12B4"/>
    <w:rsid w:val="009F33FA"/>
    <w:rsid w:val="009F347C"/>
    <w:rsid w:val="009F4A46"/>
    <w:rsid w:val="009F4D19"/>
    <w:rsid w:val="009F54D7"/>
    <w:rsid w:val="009F6619"/>
    <w:rsid w:val="009F68FF"/>
    <w:rsid w:val="009F6FEE"/>
    <w:rsid w:val="009F768E"/>
    <w:rsid w:val="009F7F88"/>
    <w:rsid w:val="00A00E77"/>
    <w:rsid w:val="00A01A4C"/>
    <w:rsid w:val="00A01C1F"/>
    <w:rsid w:val="00A01C98"/>
    <w:rsid w:val="00A04B6F"/>
    <w:rsid w:val="00A054CB"/>
    <w:rsid w:val="00A05DF4"/>
    <w:rsid w:val="00A05E8F"/>
    <w:rsid w:val="00A0690B"/>
    <w:rsid w:val="00A06A54"/>
    <w:rsid w:val="00A0787D"/>
    <w:rsid w:val="00A07D31"/>
    <w:rsid w:val="00A10423"/>
    <w:rsid w:val="00A10498"/>
    <w:rsid w:val="00A10A6F"/>
    <w:rsid w:val="00A118B4"/>
    <w:rsid w:val="00A129C6"/>
    <w:rsid w:val="00A14BDD"/>
    <w:rsid w:val="00A15A52"/>
    <w:rsid w:val="00A16698"/>
    <w:rsid w:val="00A1706F"/>
    <w:rsid w:val="00A1721D"/>
    <w:rsid w:val="00A17791"/>
    <w:rsid w:val="00A17A42"/>
    <w:rsid w:val="00A17F01"/>
    <w:rsid w:val="00A20EDD"/>
    <w:rsid w:val="00A210DB"/>
    <w:rsid w:val="00A21667"/>
    <w:rsid w:val="00A220FB"/>
    <w:rsid w:val="00A223A5"/>
    <w:rsid w:val="00A22536"/>
    <w:rsid w:val="00A244A1"/>
    <w:rsid w:val="00A24BC5"/>
    <w:rsid w:val="00A2504C"/>
    <w:rsid w:val="00A26747"/>
    <w:rsid w:val="00A26E5D"/>
    <w:rsid w:val="00A276A6"/>
    <w:rsid w:val="00A276FF"/>
    <w:rsid w:val="00A30C82"/>
    <w:rsid w:val="00A31A01"/>
    <w:rsid w:val="00A31B33"/>
    <w:rsid w:val="00A321B3"/>
    <w:rsid w:val="00A32211"/>
    <w:rsid w:val="00A3287C"/>
    <w:rsid w:val="00A33758"/>
    <w:rsid w:val="00A33FDC"/>
    <w:rsid w:val="00A34114"/>
    <w:rsid w:val="00A34C81"/>
    <w:rsid w:val="00A34E19"/>
    <w:rsid w:val="00A34FF0"/>
    <w:rsid w:val="00A35165"/>
    <w:rsid w:val="00A35BE0"/>
    <w:rsid w:val="00A35C90"/>
    <w:rsid w:val="00A362F9"/>
    <w:rsid w:val="00A36F35"/>
    <w:rsid w:val="00A373CC"/>
    <w:rsid w:val="00A3760C"/>
    <w:rsid w:val="00A37704"/>
    <w:rsid w:val="00A37E59"/>
    <w:rsid w:val="00A40108"/>
    <w:rsid w:val="00A40D0C"/>
    <w:rsid w:val="00A41302"/>
    <w:rsid w:val="00A41C59"/>
    <w:rsid w:val="00A42310"/>
    <w:rsid w:val="00A4350C"/>
    <w:rsid w:val="00A43644"/>
    <w:rsid w:val="00A4383B"/>
    <w:rsid w:val="00A44BB6"/>
    <w:rsid w:val="00A45734"/>
    <w:rsid w:val="00A45B90"/>
    <w:rsid w:val="00A461B1"/>
    <w:rsid w:val="00A462F7"/>
    <w:rsid w:val="00A46659"/>
    <w:rsid w:val="00A46F1A"/>
    <w:rsid w:val="00A47029"/>
    <w:rsid w:val="00A477C3"/>
    <w:rsid w:val="00A50299"/>
    <w:rsid w:val="00A5067A"/>
    <w:rsid w:val="00A533D5"/>
    <w:rsid w:val="00A53A31"/>
    <w:rsid w:val="00A53C68"/>
    <w:rsid w:val="00A5510E"/>
    <w:rsid w:val="00A559F4"/>
    <w:rsid w:val="00A56308"/>
    <w:rsid w:val="00A56547"/>
    <w:rsid w:val="00A57079"/>
    <w:rsid w:val="00A570E0"/>
    <w:rsid w:val="00A606A0"/>
    <w:rsid w:val="00A6077B"/>
    <w:rsid w:val="00A60A60"/>
    <w:rsid w:val="00A61263"/>
    <w:rsid w:val="00A614AD"/>
    <w:rsid w:val="00A61886"/>
    <w:rsid w:val="00A61E92"/>
    <w:rsid w:val="00A621AB"/>
    <w:rsid w:val="00A62757"/>
    <w:rsid w:val="00A62DAB"/>
    <w:rsid w:val="00A639E0"/>
    <w:rsid w:val="00A63D89"/>
    <w:rsid w:val="00A64368"/>
    <w:rsid w:val="00A64393"/>
    <w:rsid w:val="00A647EC"/>
    <w:rsid w:val="00A6526E"/>
    <w:rsid w:val="00A65DA4"/>
    <w:rsid w:val="00A66E04"/>
    <w:rsid w:val="00A67194"/>
    <w:rsid w:val="00A671B3"/>
    <w:rsid w:val="00A6735F"/>
    <w:rsid w:val="00A676F1"/>
    <w:rsid w:val="00A67968"/>
    <w:rsid w:val="00A7040E"/>
    <w:rsid w:val="00A70D5A"/>
    <w:rsid w:val="00A71E1C"/>
    <w:rsid w:val="00A734F2"/>
    <w:rsid w:val="00A73DEE"/>
    <w:rsid w:val="00A74678"/>
    <w:rsid w:val="00A75AEA"/>
    <w:rsid w:val="00A75EA3"/>
    <w:rsid w:val="00A76063"/>
    <w:rsid w:val="00A767EB"/>
    <w:rsid w:val="00A771BF"/>
    <w:rsid w:val="00A77299"/>
    <w:rsid w:val="00A803C1"/>
    <w:rsid w:val="00A805F1"/>
    <w:rsid w:val="00A815B6"/>
    <w:rsid w:val="00A81953"/>
    <w:rsid w:val="00A827C9"/>
    <w:rsid w:val="00A83BF3"/>
    <w:rsid w:val="00A85B31"/>
    <w:rsid w:val="00A860FD"/>
    <w:rsid w:val="00A861F3"/>
    <w:rsid w:val="00A866EA"/>
    <w:rsid w:val="00A86C48"/>
    <w:rsid w:val="00A90DB1"/>
    <w:rsid w:val="00A9147B"/>
    <w:rsid w:val="00A9177F"/>
    <w:rsid w:val="00A91BA8"/>
    <w:rsid w:val="00A91EF1"/>
    <w:rsid w:val="00A91EF2"/>
    <w:rsid w:val="00A9325C"/>
    <w:rsid w:val="00A93680"/>
    <w:rsid w:val="00A9430B"/>
    <w:rsid w:val="00A94483"/>
    <w:rsid w:val="00A94529"/>
    <w:rsid w:val="00A94C42"/>
    <w:rsid w:val="00A959CA"/>
    <w:rsid w:val="00A96FC6"/>
    <w:rsid w:val="00A971AF"/>
    <w:rsid w:val="00A97A16"/>
    <w:rsid w:val="00A97B61"/>
    <w:rsid w:val="00A97C2E"/>
    <w:rsid w:val="00A97CE3"/>
    <w:rsid w:val="00A97E0C"/>
    <w:rsid w:val="00AA01DA"/>
    <w:rsid w:val="00AA0925"/>
    <w:rsid w:val="00AA11BA"/>
    <w:rsid w:val="00AA182B"/>
    <w:rsid w:val="00AA2394"/>
    <w:rsid w:val="00AA2D62"/>
    <w:rsid w:val="00AA2E2C"/>
    <w:rsid w:val="00AA2E90"/>
    <w:rsid w:val="00AA3077"/>
    <w:rsid w:val="00AA3312"/>
    <w:rsid w:val="00AA36B9"/>
    <w:rsid w:val="00AA375B"/>
    <w:rsid w:val="00AA38AF"/>
    <w:rsid w:val="00AA41DE"/>
    <w:rsid w:val="00AA450C"/>
    <w:rsid w:val="00AA4B62"/>
    <w:rsid w:val="00AA571A"/>
    <w:rsid w:val="00AA5EB3"/>
    <w:rsid w:val="00AA6916"/>
    <w:rsid w:val="00AB022F"/>
    <w:rsid w:val="00AB110E"/>
    <w:rsid w:val="00AB11BE"/>
    <w:rsid w:val="00AB11CF"/>
    <w:rsid w:val="00AB1287"/>
    <w:rsid w:val="00AB1CE8"/>
    <w:rsid w:val="00AB2470"/>
    <w:rsid w:val="00AB3EC9"/>
    <w:rsid w:val="00AB3FCD"/>
    <w:rsid w:val="00AB43FC"/>
    <w:rsid w:val="00AB4506"/>
    <w:rsid w:val="00AB5190"/>
    <w:rsid w:val="00AB5513"/>
    <w:rsid w:val="00AB6DFC"/>
    <w:rsid w:val="00AB6E0F"/>
    <w:rsid w:val="00AB7354"/>
    <w:rsid w:val="00AB75DD"/>
    <w:rsid w:val="00AB7C46"/>
    <w:rsid w:val="00AC071C"/>
    <w:rsid w:val="00AC2076"/>
    <w:rsid w:val="00AC3637"/>
    <w:rsid w:val="00AC3D4F"/>
    <w:rsid w:val="00AC3D5B"/>
    <w:rsid w:val="00AC3DB7"/>
    <w:rsid w:val="00AC4699"/>
    <w:rsid w:val="00AC57CD"/>
    <w:rsid w:val="00AC59DF"/>
    <w:rsid w:val="00AC5E6B"/>
    <w:rsid w:val="00AC63A8"/>
    <w:rsid w:val="00AC72C7"/>
    <w:rsid w:val="00AC7899"/>
    <w:rsid w:val="00AD13D6"/>
    <w:rsid w:val="00AD2C42"/>
    <w:rsid w:val="00AD4087"/>
    <w:rsid w:val="00AD5BEE"/>
    <w:rsid w:val="00AD6466"/>
    <w:rsid w:val="00AD6A21"/>
    <w:rsid w:val="00AD6BE0"/>
    <w:rsid w:val="00AD752F"/>
    <w:rsid w:val="00AE05DD"/>
    <w:rsid w:val="00AE0C8D"/>
    <w:rsid w:val="00AE0E2A"/>
    <w:rsid w:val="00AE1131"/>
    <w:rsid w:val="00AE1411"/>
    <w:rsid w:val="00AE2071"/>
    <w:rsid w:val="00AE2330"/>
    <w:rsid w:val="00AE27D6"/>
    <w:rsid w:val="00AE3354"/>
    <w:rsid w:val="00AE55BC"/>
    <w:rsid w:val="00AE5A99"/>
    <w:rsid w:val="00AE62E7"/>
    <w:rsid w:val="00AE686D"/>
    <w:rsid w:val="00AE6B27"/>
    <w:rsid w:val="00AE77AC"/>
    <w:rsid w:val="00AF0DC0"/>
    <w:rsid w:val="00AF0F96"/>
    <w:rsid w:val="00AF17E4"/>
    <w:rsid w:val="00AF1CE6"/>
    <w:rsid w:val="00AF21D7"/>
    <w:rsid w:val="00AF282C"/>
    <w:rsid w:val="00AF28EB"/>
    <w:rsid w:val="00AF31BA"/>
    <w:rsid w:val="00AF36B6"/>
    <w:rsid w:val="00AF42CB"/>
    <w:rsid w:val="00AF4803"/>
    <w:rsid w:val="00AF4D10"/>
    <w:rsid w:val="00AF58CB"/>
    <w:rsid w:val="00AF5DB8"/>
    <w:rsid w:val="00AF641A"/>
    <w:rsid w:val="00AF7217"/>
    <w:rsid w:val="00AF726F"/>
    <w:rsid w:val="00AF783F"/>
    <w:rsid w:val="00B00506"/>
    <w:rsid w:val="00B005E2"/>
    <w:rsid w:val="00B00673"/>
    <w:rsid w:val="00B00AE7"/>
    <w:rsid w:val="00B00ED5"/>
    <w:rsid w:val="00B02315"/>
    <w:rsid w:val="00B02BF0"/>
    <w:rsid w:val="00B034DD"/>
    <w:rsid w:val="00B03AB4"/>
    <w:rsid w:val="00B04C3C"/>
    <w:rsid w:val="00B05B91"/>
    <w:rsid w:val="00B06ED4"/>
    <w:rsid w:val="00B077CC"/>
    <w:rsid w:val="00B07A28"/>
    <w:rsid w:val="00B07C8A"/>
    <w:rsid w:val="00B1123F"/>
    <w:rsid w:val="00B11A4E"/>
    <w:rsid w:val="00B13397"/>
    <w:rsid w:val="00B1400D"/>
    <w:rsid w:val="00B144AA"/>
    <w:rsid w:val="00B147C9"/>
    <w:rsid w:val="00B15BB2"/>
    <w:rsid w:val="00B1666B"/>
    <w:rsid w:val="00B16CEE"/>
    <w:rsid w:val="00B16EBE"/>
    <w:rsid w:val="00B20655"/>
    <w:rsid w:val="00B20BD6"/>
    <w:rsid w:val="00B21443"/>
    <w:rsid w:val="00B21D0E"/>
    <w:rsid w:val="00B22C57"/>
    <w:rsid w:val="00B23A50"/>
    <w:rsid w:val="00B23C76"/>
    <w:rsid w:val="00B23EEE"/>
    <w:rsid w:val="00B25E1E"/>
    <w:rsid w:val="00B27298"/>
    <w:rsid w:val="00B27384"/>
    <w:rsid w:val="00B276E4"/>
    <w:rsid w:val="00B27A6D"/>
    <w:rsid w:val="00B30442"/>
    <w:rsid w:val="00B309F9"/>
    <w:rsid w:val="00B30DAD"/>
    <w:rsid w:val="00B31593"/>
    <w:rsid w:val="00B31782"/>
    <w:rsid w:val="00B34709"/>
    <w:rsid w:val="00B34F80"/>
    <w:rsid w:val="00B36928"/>
    <w:rsid w:val="00B37293"/>
    <w:rsid w:val="00B4076A"/>
    <w:rsid w:val="00B413EB"/>
    <w:rsid w:val="00B4253E"/>
    <w:rsid w:val="00B426B6"/>
    <w:rsid w:val="00B42C20"/>
    <w:rsid w:val="00B42F93"/>
    <w:rsid w:val="00B43AD9"/>
    <w:rsid w:val="00B443D5"/>
    <w:rsid w:val="00B44482"/>
    <w:rsid w:val="00B4498A"/>
    <w:rsid w:val="00B44CAB"/>
    <w:rsid w:val="00B45012"/>
    <w:rsid w:val="00B450D9"/>
    <w:rsid w:val="00B45D36"/>
    <w:rsid w:val="00B46FF2"/>
    <w:rsid w:val="00B539EB"/>
    <w:rsid w:val="00B54B76"/>
    <w:rsid w:val="00B55AE3"/>
    <w:rsid w:val="00B560E5"/>
    <w:rsid w:val="00B576E1"/>
    <w:rsid w:val="00B6088D"/>
    <w:rsid w:val="00B608F1"/>
    <w:rsid w:val="00B60A96"/>
    <w:rsid w:val="00B60F79"/>
    <w:rsid w:val="00B617E2"/>
    <w:rsid w:val="00B6252C"/>
    <w:rsid w:val="00B62653"/>
    <w:rsid w:val="00B62CBE"/>
    <w:rsid w:val="00B62EFD"/>
    <w:rsid w:val="00B63999"/>
    <w:rsid w:val="00B63B4A"/>
    <w:rsid w:val="00B63DA0"/>
    <w:rsid w:val="00B64F8D"/>
    <w:rsid w:val="00B6533C"/>
    <w:rsid w:val="00B6731A"/>
    <w:rsid w:val="00B673CA"/>
    <w:rsid w:val="00B678A4"/>
    <w:rsid w:val="00B70316"/>
    <w:rsid w:val="00B70903"/>
    <w:rsid w:val="00B70930"/>
    <w:rsid w:val="00B7108D"/>
    <w:rsid w:val="00B7117A"/>
    <w:rsid w:val="00B7128A"/>
    <w:rsid w:val="00B713F0"/>
    <w:rsid w:val="00B71BD7"/>
    <w:rsid w:val="00B72053"/>
    <w:rsid w:val="00B72B7F"/>
    <w:rsid w:val="00B73D1E"/>
    <w:rsid w:val="00B74530"/>
    <w:rsid w:val="00B74E4D"/>
    <w:rsid w:val="00B75D3F"/>
    <w:rsid w:val="00B75D4C"/>
    <w:rsid w:val="00B76F2C"/>
    <w:rsid w:val="00B774EE"/>
    <w:rsid w:val="00B77723"/>
    <w:rsid w:val="00B77863"/>
    <w:rsid w:val="00B80008"/>
    <w:rsid w:val="00B801AC"/>
    <w:rsid w:val="00B809E2"/>
    <w:rsid w:val="00B815D3"/>
    <w:rsid w:val="00B81BB3"/>
    <w:rsid w:val="00B8270D"/>
    <w:rsid w:val="00B827E7"/>
    <w:rsid w:val="00B82B33"/>
    <w:rsid w:val="00B8384C"/>
    <w:rsid w:val="00B84030"/>
    <w:rsid w:val="00B843A1"/>
    <w:rsid w:val="00B854BE"/>
    <w:rsid w:val="00B85704"/>
    <w:rsid w:val="00B8577D"/>
    <w:rsid w:val="00B868D6"/>
    <w:rsid w:val="00B86965"/>
    <w:rsid w:val="00B86D0A"/>
    <w:rsid w:val="00B8748B"/>
    <w:rsid w:val="00B87B3F"/>
    <w:rsid w:val="00B91818"/>
    <w:rsid w:val="00B922D6"/>
    <w:rsid w:val="00B93E18"/>
    <w:rsid w:val="00B93E2C"/>
    <w:rsid w:val="00B948E8"/>
    <w:rsid w:val="00B94BE5"/>
    <w:rsid w:val="00B9556B"/>
    <w:rsid w:val="00B96069"/>
    <w:rsid w:val="00B968F3"/>
    <w:rsid w:val="00B96E78"/>
    <w:rsid w:val="00BA0A76"/>
    <w:rsid w:val="00BA11A9"/>
    <w:rsid w:val="00BA30C2"/>
    <w:rsid w:val="00BA31C6"/>
    <w:rsid w:val="00BA4B0A"/>
    <w:rsid w:val="00BA699B"/>
    <w:rsid w:val="00BA76AB"/>
    <w:rsid w:val="00BA7A5F"/>
    <w:rsid w:val="00BB0225"/>
    <w:rsid w:val="00BB0423"/>
    <w:rsid w:val="00BB0F8B"/>
    <w:rsid w:val="00BB1482"/>
    <w:rsid w:val="00BB1D73"/>
    <w:rsid w:val="00BB1EBD"/>
    <w:rsid w:val="00BB2CE4"/>
    <w:rsid w:val="00BB3C27"/>
    <w:rsid w:val="00BB4008"/>
    <w:rsid w:val="00BB42D2"/>
    <w:rsid w:val="00BB4EB0"/>
    <w:rsid w:val="00BB5449"/>
    <w:rsid w:val="00BB5C00"/>
    <w:rsid w:val="00BB6ECF"/>
    <w:rsid w:val="00BB74B3"/>
    <w:rsid w:val="00BB777A"/>
    <w:rsid w:val="00BB7E0B"/>
    <w:rsid w:val="00BC0560"/>
    <w:rsid w:val="00BC06FE"/>
    <w:rsid w:val="00BC1765"/>
    <w:rsid w:val="00BC1FD6"/>
    <w:rsid w:val="00BC25D7"/>
    <w:rsid w:val="00BC320C"/>
    <w:rsid w:val="00BC43C2"/>
    <w:rsid w:val="00BC464D"/>
    <w:rsid w:val="00BC4883"/>
    <w:rsid w:val="00BC5454"/>
    <w:rsid w:val="00BC5F7F"/>
    <w:rsid w:val="00BC74EE"/>
    <w:rsid w:val="00BC777E"/>
    <w:rsid w:val="00BC7E23"/>
    <w:rsid w:val="00BD219A"/>
    <w:rsid w:val="00BD2C42"/>
    <w:rsid w:val="00BD2EF9"/>
    <w:rsid w:val="00BD2F1D"/>
    <w:rsid w:val="00BD3997"/>
    <w:rsid w:val="00BD5D7E"/>
    <w:rsid w:val="00BD62E5"/>
    <w:rsid w:val="00BD68BB"/>
    <w:rsid w:val="00BD6EF9"/>
    <w:rsid w:val="00BD754C"/>
    <w:rsid w:val="00BD78C6"/>
    <w:rsid w:val="00BD7F54"/>
    <w:rsid w:val="00BE01E1"/>
    <w:rsid w:val="00BE0849"/>
    <w:rsid w:val="00BE15DA"/>
    <w:rsid w:val="00BE19AD"/>
    <w:rsid w:val="00BE1B2F"/>
    <w:rsid w:val="00BE369C"/>
    <w:rsid w:val="00BE4FBC"/>
    <w:rsid w:val="00BE5338"/>
    <w:rsid w:val="00BE534A"/>
    <w:rsid w:val="00BE5921"/>
    <w:rsid w:val="00BE5A5B"/>
    <w:rsid w:val="00BE5B7C"/>
    <w:rsid w:val="00BE61C4"/>
    <w:rsid w:val="00BE72FD"/>
    <w:rsid w:val="00BE733C"/>
    <w:rsid w:val="00BE73D4"/>
    <w:rsid w:val="00BE791F"/>
    <w:rsid w:val="00BE7AF2"/>
    <w:rsid w:val="00BF1EF8"/>
    <w:rsid w:val="00BF25A9"/>
    <w:rsid w:val="00BF2DE5"/>
    <w:rsid w:val="00BF39B7"/>
    <w:rsid w:val="00BF4111"/>
    <w:rsid w:val="00BF486D"/>
    <w:rsid w:val="00BF4C49"/>
    <w:rsid w:val="00BF4D1A"/>
    <w:rsid w:val="00BF5168"/>
    <w:rsid w:val="00BF5A5B"/>
    <w:rsid w:val="00BF6338"/>
    <w:rsid w:val="00BF6D56"/>
    <w:rsid w:val="00BF7CE1"/>
    <w:rsid w:val="00C00D03"/>
    <w:rsid w:val="00C00D9C"/>
    <w:rsid w:val="00C01DFC"/>
    <w:rsid w:val="00C02513"/>
    <w:rsid w:val="00C0270E"/>
    <w:rsid w:val="00C0282B"/>
    <w:rsid w:val="00C044E4"/>
    <w:rsid w:val="00C047A4"/>
    <w:rsid w:val="00C05013"/>
    <w:rsid w:val="00C053B5"/>
    <w:rsid w:val="00C06299"/>
    <w:rsid w:val="00C067AD"/>
    <w:rsid w:val="00C067E0"/>
    <w:rsid w:val="00C06FD9"/>
    <w:rsid w:val="00C071C7"/>
    <w:rsid w:val="00C0773D"/>
    <w:rsid w:val="00C1025D"/>
    <w:rsid w:val="00C110C7"/>
    <w:rsid w:val="00C11733"/>
    <w:rsid w:val="00C12CC1"/>
    <w:rsid w:val="00C12D93"/>
    <w:rsid w:val="00C12EE2"/>
    <w:rsid w:val="00C13103"/>
    <w:rsid w:val="00C137B0"/>
    <w:rsid w:val="00C139DE"/>
    <w:rsid w:val="00C13B55"/>
    <w:rsid w:val="00C13CB8"/>
    <w:rsid w:val="00C141A1"/>
    <w:rsid w:val="00C14CD4"/>
    <w:rsid w:val="00C151CE"/>
    <w:rsid w:val="00C15BBB"/>
    <w:rsid w:val="00C16439"/>
    <w:rsid w:val="00C206DC"/>
    <w:rsid w:val="00C2092E"/>
    <w:rsid w:val="00C20F37"/>
    <w:rsid w:val="00C211AE"/>
    <w:rsid w:val="00C213FD"/>
    <w:rsid w:val="00C21C42"/>
    <w:rsid w:val="00C22441"/>
    <w:rsid w:val="00C23520"/>
    <w:rsid w:val="00C23FE1"/>
    <w:rsid w:val="00C24AE3"/>
    <w:rsid w:val="00C24F88"/>
    <w:rsid w:val="00C25082"/>
    <w:rsid w:val="00C2570A"/>
    <w:rsid w:val="00C25B91"/>
    <w:rsid w:val="00C265D4"/>
    <w:rsid w:val="00C26DC6"/>
    <w:rsid w:val="00C27447"/>
    <w:rsid w:val="00C275FC"/>
    <w:rsid w:val="00C2772B"/>
    <w:rsid w:val="00C3030F"/>
    <w:rsid w:val="00C30615"/>
    <w:rsid w:val="00C30715"/>
    <w:rsid w:val="00C30D84"/>
    <w:rsid w:val="00C3131B"/>
    <w:rsid w:val="00C317A7"/>
    <w:rsid w:val="00C31B0E"/>
    <w:rsid w:val="00C33383"/>
    <w:rsid w:val="00C33614"/>
    <w:rsid w:val="00C33AEC"/>
    <w:rsid w:val="00C35493"/>
    <w:rsid w:val="00C35C8E"/>
    <w:rsid w:val="00C361E9"/>
    <w:rsid w:val="00C3671E"/>
    <w:rsid w:val="00C36B1D"/>
    <w:rsid w:val="00C373A2"/>
    <w:rsid w:val="00C3742C"/>
    <w:rsid w:val="00C37661"/>
    <w:rsid w:val="00C37F81"/>
    <w:rsid w:val="00C410D2"/>
    <w:rsid w:val="00C411E0"/>
    <w:rsid w:val="00C41363"/>
    <w:rsid w:val="00C42209"/>
    <w:rsid w:val="00C429D5"/>
    <w:rsid w:val="00C42A78"/>
    <w:rsid w:val="00C42AD9"/>
    <w:rsid w:val="00C42DC9"/>
    <w:rsid w:val="00C437D6"/>
    <w:rsid w:val="00C455BE"/>
    <w:rsid w:val="00C45897"/>
    <w:rsid w:val="00C4601D"/>
    <w:rsid w:val="00C470F6"/>
    <w:rsid w:val="00C47B1C"/>
    <w:rsid w:val="00C504EF"/>
    <w:rsid w:val="00C509D2"/>
    <w:rsid w:val="00C51CCA"/>
    <w:rsid w:val="00C5273D"/>
    <w:rsid w:val="00C52FDA"/>
    <w:rsid w:val="00C53131"/>
    <w:rsid w:val="00C54473"/>
    <w:rsid w:val="00C55693"/>
    <w:rsid w:val="00C55945"/>
    <w:rsid w:val="00C55D94"/>
    <w:rsid w:val="00C55DCB"/>
    <w:rsid w:val="00C55FBB"/>
    <w:rsid w:val="00C56DCE"/>
    <w:rsid w:val="00C57582"/>
    <w:rsid w:val="00C57E37"/>
    <w:rsid w:val="00C608EF"/>
    <w:rsid w:val="00C60E9C"/>
    <w:rsid w:val="00C612BB"/>
    <w:rsid w:val="00C612BF"/>
    <w:rsid w:val="00C61338"/>
    <w:rsid w:val="00C6207E"/>
    <w:rsid w:val="00C62A28"/>
    <w:rsid w:val="00C6324D"/>
    <w:rsid w:val="00C64FAE"/>
    <w:rsid w:val="00C653CC"/>
    <w:rsid w:val="00C66344"/>
    <w:rsid w:val="00C66EDC"/>
    <w:rsid w:val="00C674F7"/>
    <w:rsid w:val="00C67D05"/>
    <w:rsid w:val="00C714EE"/>
    <w:rsid w:val="00C731E1"/>
    <w:rsid w:val="00C7335A"/>
    <w:rsid w:val="00C741A7"/>
    <w:rsid w:val="00C745D7"/>
    <w:rsid w:val="00C74DFB"/>
    <w:rsid w:val="00C74F7C"/>
    <w:rsid w:val="00C75F87"/>
    <w:rsid w:val="00C7702A"/>
    <w:rsid w:val="00C773C8"/>
    <w:rsid w:val="00C773CE"/>
    <w:rsid w:val="00C806B8"/>
    <w:rsid w:val="00C80A25"/>
    <w:rsid w:val="00C80E5E"/>
    <w:rsid w:val="00C81C07"/>
    <w:rsid w:val="00C82930"/>
    <w:rsid w:val="00C82C9E"/>
    <w:rsid w:val="00C83945"/>
    <w:rsid w:val="00C83DB7"/>
    <w:rsid w:val="00C83EE2"/>
    <w:rsid w:val="00C841BF"/>
    <w:rsid w:val="00C84BF3"/>
    <w:rsid w:val="00C8531E"/>
    <w:rsid w:val="00C85560"/>
    <w:rsid w:val="00C85A50"/>
    <w:rsid w:val="00C85B6C"/>
    <w:rsid w:val="00C85ECE"/>
    <w:rsid w:val="00C85F1C"/>
    <w:rsid w:val="00C86BFE"/>
    <w:rsid w:val="00C86D8A"/>
    <w:rsid w:val="00C86FF3"/>
    <w:rsid w:val="00C8757D"/>
    <w:rsid w:val="00C87E2F"/>
    <w:rsid w:val="00C900B0"/>
    <w:rsid w:val="00C900ED"/>
    <w:rsid w:val="00C9080B"/>
    <w:rsid w:val="00C90EA7"/>
    <w:rsid w:val="00C90EF9"/>
    <w:rsid w:val="00C9146C"/>
    <w:rsid w:val="00C9164E"/>
    <w:rsid w:val="00C92931"/>
    <w:rsid w:val="00C92949"/>
    <w:rsid w:val="00C9312F"/>
    <w:rsid w:val="00C93A97"/>
    <w:rsid w:val="00C94499"/>
    <w:rsid w:val="00C9491A"/>
    <w:rsid w:val="00C94BE9"/>
    <w:rsid w:val="00C95DD7"/>
    <w:rsid w:val="00C95ED6"/>
    <w:rsid w:val="00C965B2"/>
    <w:rsid w:val="00C96BBB"/>
    <w:rsid w:val="00CA04D5"/>
    <w:rsid w:val="00CA1AC8"/>
    <w:rsid w:val="00CA1FB0"/>
    <w:rsid w:val="00CA24D1"/>
    <w:rsid w:val="00CA381C"/>
    <w:rsid w:val="00CA39CC"/>
    <w:rsid w:val="00CA403D"/>
    <w:rsid w:val="00CA4743"/>
    <w:rsid w:val="00CA4818"/>
    <w:rsid w:val="00CA57FE"/>
    <w:rsid w:val="00CA5FF6"/>
    <w:rsid w:val="00CA6F32"/>
    <w:rsid w:val="00CA735E"/>
    <w:rsid w:val="00CA7BEE"/>
    <w:rsid w:val="00CB01B1"/>
    <w:rsid w:val="00CB0B34"/>
    <w:rsid w:val="00CB0EE0"/>
    <w:rsid w:val="00CB138F"/>
    <w:rsid w:val="00CB13CF"/>
    <w:rsid w:val="00CB13E0"/>
    <w:rsid w:val="00CB2343"/>
    <w:rsid w:val="00CB2F02"/>
    <w:rsid w:val="00CB387F"/>
    <w:rsid w:val="00CB44CC"/>
    <w:rsid w:val="00CB4506"/>
    <w:rsid w:val="00CB4522"/>
    <w:rsid w:val="00CB4741"/>
    <w:rsid w:val="00CB7145"/>
    <w:rsid w:val="00CB76B8"/>
    <w:rsid w:val="00CB7703"/>
    <w:rsid w:val="00CB77EE"/>
    <w:rsid w:val="00CB783B"/>
    <w:rsid w:val="00CB7AE2"/>
    <w:rsid w:val="00CC1C1E"/>
    <w:rsid w:val="00CC2611"/>
    <w:rsid w:val="00CC2803"/>
    <w:rsid w:val="00CC2813"/>
    <w:rsid w:val="00CC295E"/>
    <w:rsid w:val="00CC48D6"/>
    <w:rsid w:val="00CC544C"/>
    <w:rsid w:val="00CC559E"/>
    <w:rsid w:val="00CC707F"/>
    <w:rsid w:val="00CC708A"/>
    <w:rsid w:val="00CC79CD"/>
    <w:rsid w:val="00CD0E5B"/>
    <w:rsid w:val="00CD1841"/>
    <w:rsid w:val="00CD1BF1"/>
    <w:rsid w:val="00CD27CD"/>
    <w:rsid w:val="00CD34A5"/>
    <w:rsid w:val="00CD42CF"/>
    <w:rsid w:val="00CD4BF8"/>
    <w:rsid w:val="00CD4E98"/>
    <w:rsid w:val="00CD52CD"/>
    <w:rsid w:val="00CD58F5"/>
    <w:rsid w:val="00CD644F"/>
    <w:rsid w:val="00CD6525"/>
    <w:rsid w:val="00CD652E"/>
    <w:rsid w:val="00CD68DD"/>
    <w:rsid w:val="00CD6A0A"/>
    <w:rsid w:val="00CD6EF2"/>
    <w:rsid w:val="00CD786B"/>
    <w:rsid w:val="00CD7B8B"/>
    <w:rsid w:val="00CE01F8"/>
    <w:rsid w:val="00CE08BB"/>
    <w:rsid w:val="00CE0D51"/>
    <w:rsid w:val="00CE1657"/>
    <w:rsid w:val="00CE24B9"/>
    <w:rsid w:val="00CE2ADD"/>
    <w:rsid w:val="00CE2B04"/>
    <w:rsid w:val="00CE2C27"/>
    <w:rsid w:val="00CE2C87"/>
    <w:rsid w:val="00CE3E8B"/>
    <w:rsid w:val="00CE47DC"/>
    <w:rsid w:val="00CE5298"/>
    <w:rsid w:val="00CE5322"/>
    <w:rsid w:val="00CE58EB"/>
    <w:rsid w:val="00CE69E4"/>
    <w:rsid w:val="00CF0041"/>
    <w:rsid w:val="00CF02F9"/>
    <w:rsid w:val="00CF0D4B"/>
    <w:rsid w:val="00CF12AE"/>
    <w:rsid w:val="00CF2605"/>
    <w:rsid w:val="00CF2804"/>
    <w:rsid w:val="00CF35B2"/>
    <w:rsid w:val="00CF38D4"/>
    <w:rsid w:val="00CF3D4C"/>
    <w:rsid w:val="00CF5C07"/>
    <w:rsid w:val="00CF5CFC"/>
    <w:rsid w:val="00D00655"/>
    <w:rsid w:val="00D00AF5"/>
    <w:rsid w:val="00D00E75"/>
    <w:rsid w:val="00D01917"/>
    <w:rsid w:val="00D01EBC"/>
    <w:rsid w:val="00D03DE1"/>
    <w:rsid w:val="00D03EDD"/>
    <w:rsid w:val="00D03EEF"/>
    <w:rsid w:val="00D03F69"/>
    <w:rsid w:val="00D04F08"/>
    <w:rsid w:val="00D050BB"/>
    <w:rsid w:val="00D07087"/>
    <w:rsid w:val="00D07A1B"/>
    <w:rsid w:val="00D07ACD"/>
    <w:rsid w:val="00D07DE3"/>
    <w:rsid w:val="00D07E2A"/>
    <w:rsid w:val="00D07EA6"/>
    <w:rsid w:val="00D11582"/>
    <w:rsid w:val="00D11666"/>
    <w:rsid w:val="00D11D07"/>
    <w:rsid w:val="00D124D3"/>
    <w:rsid w:val="00D138F2"/>
    <w:rsid w:val="00D1489F"/>
    <w:rsid w:val="00D1491B"/>
    <w:rsid w:val="00D159F8"/>
    <w:rsid w:val="00D15DD2"/>
    <w:rsid w:val="00D16E55"/>
    <w:rsid w:val="00D16ECF"/>
    <w:rsid w:val="00D17C04"/>
    <w:rsid w:val="00D17CFB"/>
    <w:rsid w:val="00D17E3E"/>
    <w:rsid w:val="00D2046D"/>
    <w:rsid w:val="00D21820"/>
    <w:rsid w:val="00D21F48"/>
    <w:rsid w:val="00D2255E"/>
    <w:rsid w:val="00D226B9"/>
    <w:rsid w:val="00D23437"/>
    <w:rsid w:val="00D2372E"/>
    <w:rsid w:val="00D2373E"/>
    <w:rsid w:val="00D239F4"/>
    <w:rsid w:val="00D2459A"/>
    <w:rsid w:val="00D248D9"/>
    <w:rsid w:val="00D24CD7"/>
    <w:rsid w:val="00D259E0"/>
    <w:rsid w:val="00D27131"/>
    <w:rsid w:val="00D27DDD"/>
    <w:rsid w:val="00D31AD0"/>
    <w:rsid w:val="00D31B9E"/>
    <w:rsid w:val="00D31BBD"/>
    <w:rsid w:val="00D3214E"/>
    <w:rsid w:val="00D32658"/>
    <w:rsid w:val="00D34E83"/>
    <w:rsid w:val="00D35189"/>
    <w:rsid w:val="00D352D0"/>
    <w:rsid w:val="00D35F44"/>
    <w:rsid w:val="00D3701D"/>
    <w:rsid w:val="00D37354"/>
    <w:rsid w:val="00D404B1"/>
    <w:rsid w:val="00D40C33"/>
    <w:rsid w:val="00D4104F"/>
    <w:rsid w:val="00D41EE5"/>
    <w:rsid w:val="00D4313E"/>
    <w:rsid w:val="00D43988"/>
    <w:rsid w:val="00D4707E"/>
    <w:rsid w:val="00D47238"/>
    <w:rsid w:val="00D4761E"/>
    <w:rsid w:val="00D4762C"/>
    <w:rsid w:val="00D47867"/>
    <w:rsid w:val="00D47EAF"/>
    <w:rsid w:val="00D50B2A"/>
    <w:rsid w:val="00D5132A"/>
    <w:rsid w:val="00D51517"/>
    <w:rsid w:val="00D52D7F"/>
    <w:rsid w:val="00D53034"/>
    <w:rsid w:val="00D53103"/>
    <w:rsid w:val="00D53D32"/>
    <w:rsid w:val="00D541A8"/>
    <w:rsid w:val="00D54E13"/>
    <w:rsid w:val="00D54F79"/>
    <w:rsid w:val="00D55A05"/>
    <w:rsid w:val="00D562A8"/>
    <w:rsid w:val="00D56D22"/>
    <w:rsid w:val="00D5724E"/>
    <w:rsid w:val="00D60210"/>
    <w:rsid w:val="00D61A9F"/>
    <w:rsid w:val="00D61EDD"/>
    <w:rsid w:val="00D628AF"/>
    <w:rsid w:val="00D6294B"/>
    <w:rsid w:val="00D62A4A"/>
    <w:rsid w:val="00D62A88"/>
    <w:rsid w:val="00D654F8"/>
    <w:rsid w:val="00D66697"/>
    <w:rsid w:val="00D6732B"/>
    <w:rsid w:val="00D676B3"/>
    <w:rsid w:val="00D6787A"/>
    <w:rsid w:val="00D67ACA"/>
    <w:rsid w:val="00D67F69"/>
    <w:rsid w:val="00D71103"/>
    <w:rsid w:val="00D71213"/>
    <w:rsid w:val="00D713E4"/>
    <w:rsid w:val="00D72207"/>
    <w:rsid w:val="00D72BF9"/>
    <w:rsid w:val="00D72FAD"/>
    <w:rsid w:val="00D7314F"/>
    <w:rsid w:val="00D73259"/>
    <w:rsid w:val="00D73AF1"/>
    <w:rsid w:val="00D73E64"/>
    <w:rsid w:val="00D74504"/>
    <w:rsid w:val="00D74639"/>
    <w:rsid w:val="00D74926"/>
    <w:rsid w:val="00D74E38"/>
    <w:rsid w:val="00D75449"/>
    <w:rsid w:val="00D770D5"/>
    <w:rsid w:val="00D809B7"/>
    <w:rsid w:val="00D81004"/>
    <w:rsid w:val="00D812A9"/>
    <w:rsid w:val="00D813B0"/>
    <w:rsid w:val="00D8141C"/>
    <w:rsid w:val="00D81A57"/>
    <w:rsid w:val="00D82664"/>
    <w:rsid w:val="00D8269A"/>
    <w:rsid w:val="00D82962"/>
    <w:rsid w:val="00D82A4C"/>
    <w:rsid w:val="00D83A65"/>
    <w:rsid w:val="00D843DF"/>
    <w:rsid w:val="00D846CF"/>
    <w:rsid w:val="00D85498"/>
    <w:rsid w:val="00D85683"/>
    <w:rsid w:val="00D86320"/>
    <w:rsid w:val="00D86D21"/>
    <w:rsid w:val="00D86D72"/>
    <w:rsid w:val="00D8772B"/>
    <w:rsid w:val="00D90114"/>
    <w:rsid w:val="00D90679"/>
    <w:rsid w:val="00D90F20"/>
    <w:rsid w:val="00D90F8A"/>
    <w:rsid w:val="00D91621"/>
    <w:rsid w:val="00D916E9"/>
    <w:rsid w:val="00D9180B"/>
    <w:rsid w:val="00D925BC"/>
    <w:rsid w:val="00D929B7"/>
    <w:rsid w:val="00D9330D"/>
    <w:rsid w:val="00D94EB6"/>
    <w:rsid w:val="00D95111"/>
    <w:rsid w:val="00D954B6"/>
    <w:rsid w:val="00D9553A"/>
    <w:rsid w:val="00D958D2"/>
    <w:rsid w:val="00D95A4C"/>
    <w:rsid w:val="00D95C5C"/>
    <w:rsid w:val="00D9623F"/>
    <w:rsid w:val="00D964B0"/>
    <w:rsid w:val="00D96B91"/>
    <w:rsid w:val="00D9740F"/>
    <w:rsid w:val="00D97545"/>
    <w:rsid w:val="00D9770C"/>
    <w:rsid w:val="00D977A2"/>
    <w:rsid w:val="00D9787B"/>
    <w:rsid w:val="00D97BA1"/>
    <w:rsid w:val="00D97F28"/>
    <w:rsid w:val="00DA09FC"/>
    <w:rsid w:val="00DA28A7"/>
    <w:rsid w:val="00DA2BB0"/>
    <w:rsid w:val="00DA2BCC"/>
    <w:rsid w:val="00DA2FCA"/>
    <w:rsid w:val="00DA348E"/>
    <w:rsid w:val="00DA373A"/>
    <w:rsid w:val="00DA456A"/>
    <w:rsid w:val="00DA5162"/>
    <w:rsid w:val="00DA59D2"/>
    <w:rsid w:val="00DA5A9C"/>
    <w:rsid w:val="00DA5F60"/>
    <w:rsid w:val="00DA6E30"/>
    <w:rsid w:val="00DA6E9D"/>
    <w:rsid w:val="00DA6FF3"/>
    <w:rsid w:val="00DA7525"/>
    <w:rsid w:val="00DB1595"/>
    <w:rsid w:val="00DB2329"/>
    <w:rsid w:val="00DB297D"/>
    <w:rsid w:val="00DB2B7E"/>
    <w:rsid w:val="00DB2BA7"/>
    <w:rsid w:val="00DB2F6C"/>
    <w:rsid w:val="00DB345D"/>
    <w:rsid w:val="00DB53A2"/>
    <w:rsid w:val="00DB5719"/>
    <w:rsid w:val="00DB624E"/>
    <w:rsid w:val="00DB7C6B"/>
    <w:rsid w:val="00DC02EA"/>
    <w:rsid w:val="00DC0860"/>
    <w:rsid w:val="00DC1309"/>
    <w:rsid w:val="00DC16F9"/>
    <w:rsid w:val="00DC1CA6"/>
    <w:rsid w:val="00DC20CF"/>
    <w:rsid w:val="00DC27E3"/>
    <w:rsid w:val="00DC3472"/>
    <w:rsid w:val="00DC4B44"/>
    <w:rsid w:val="00DC5C38"/>
    <w:rsid w:val="00DC5C39"/>
    <w:rsid w:val="00DC61A3"/>
    <w:rsid w:val="00DC6EB6"/>
    <w:rsid w:val="00DC7E69"/>
    <w:rsid w:val="00DD0467"/>
    <w:rsid w:val="00DD15EF"/>
    <w:rsid w:val="00DD1738"/>
    <w:rsid w:val="00DD190E"/>
    <w:rsid w:val="00DD2547"/>
    <w:rsid w:val="00DD3316"/>
    <w:rsid w:val="00DD3E02"/>
    <w:rsid w:val="00DD5654"/>
    <w:rsid w:val="00DD594C"/>
    <w:rsid w:val="00DD5E57"/>
    <w:rsid w:val="00DD5E97"/>
    <w:rsid w:val="00DD5F57"/>
    <w:rsid w:val="00DD60E3"/>
    <w:rsid w:val="00DD7F9B"/>
    <w:rsid w:val="00DE2E1E"/>
    <w:rsid w:val="00DE3385"/>
    <w:rsid w:val="00DE3503"/>
    <w:rsid w:val="00DE3CA1"/>
    <w:rsid w:val="00DE4007"/>
    <w:rsid w:val="00DE4171"/>
    <w:rsid w:val="00DE4638"/>
    <w:rsid w:val="00DE4651"/>
    <w:rsid w:val="00DE47B6"/>
    <w:rsid w:val="00DE534A"/>
    <w:rsid w:val="00DE55FD"/>
    <w:rsid w:val="00DE7265"/>
    <w:rsid w:val="00DE7525"/>
    <w:rsid w:val="00DF2247"/>
    <w:rsid w:val="00DF2353"/>
    <w:rsid w:val="00DF387D"/>
    <w:rsid w:val="00DF3AB2"/>
    <w:rsid w:val="00DF5784"/>
    <w:rsid w:val="00DF58B8"/>
    <w:rsid w:val="00DF5FF8"/>
    <w:rsid w:val="00DF6EE5"/>
    <w:rsid w:val="00E0077B"/>
    <w:rsid w:val="00E00898"/>
    <w:rsid w:val="00E029E1"/>
    <w:rsid w:val="00E03634"/>
    <w:rsid w:val="00E050B6"/>
    <w:rsid w:val="00E0557E"/>
    <w:rsid w:val="00E05D14"/>
    <w:rsid w:val="00E0628E"/>
    <w:rsid w:val="00E06460"/>
    <w:rsid w:val="00E073CF"/>
    <w:rsid w:val="00E074A3"/>
    <w:rsid w:val="00E07997"/>
    <w:rsid w:val="00E07A6A"/>
    <w:rsid w:val="00E07EB8"/>
    <w:rsid w:val="00E10388"/>
    <w:rsid w:val="00E107B2"/>
    <w:rsid w:val="00E10EB1"/>
    <w:rsid w:val="00E114CF"/>
    <w:rsid w:val="00E115E0"/>
    <w:rsid w:val="00E1200C"/>
    <w:rsid w:val="00E120E4"/>
    <w:rsid w:val="00E12928"/>
    <w:rsid w:val="00E13636"/>
    <w:rsid w:val="00E13D02"/>
    <w:rsid w:val="00E149F4"/>
    <w:rsid w:val="00E174FE"/>
    <w:rsid w:val="00E17ECD"/>
    <w:rsid w:val="00E17F53"/>
    <w:rsid w:val="00E20354"/>
    <w:rsid w:val="00E207DB"/>
    <w:rsid w:val="00E21F5A"/>
    <w:rsid w:val="00E234C7"/>
    <w:rsid w:val="00E24EC1"/>
    <w:rsid w:val="00E25124"/>
    <w:rsid w:val="00E25A4F"/>
    <w:rsid w:val="00E261F8"/>
    <w:rsid w:val="00E26B25"/>
    <w:rsid w:val="00E26BD5"/>
    <w:rsid w:val="00E26E25"/>
    <w:rsid w:val="00E27DF3"/>
    <w:rsid w:val="00E3110A"/>
    <w:rsid w:val="00E319CB"/>
    <w:rsid w:val="00E319DC"/>
    <w:rsid w:val="00E324AD"/>
    <w:rsid w:val="00E3342D"/>
    <w:rsid w:val="00E33683"/>
    <w:rsid w:val="00E33734"/>
    <w:rsid w:val="00E34AA9"/>
    <w:rsid w:val="00E368F3"/>
    <w:rsid w:val="00E36A4F"/>
    <w:rsid w:val="00E37D5F"/>
    <w:rsid w:val="00E40942"/>
    <w:rsid w:val="00E4125E"/>
    <w:rsid w:val="00E41E22"/>
    <w:rsid w:val="00E4239D"/>
    <w:rsid w:val="00E429A0"/>
    <w:rsid w:val="00E42D39"/>
    <w:rsid w:val="00E4337B"/>
    <w:rsid w:val="00E44CD4"/>
    <w:rsid w:val="00E45B91"/>
    <w:rsid w:val="00E46804"/>
    <w:rsid w:val="00E46C57"/>
    <w:rsid w:val="00E47A7B"/>
    <w:rsid w:val="00E513EE"/>
    <w:rsid w:val="00E5176B"/>
    <w:rsid w:val="00E51813"/>
    <w:rsid w:val="00E527C9"/>
    <w:rsid w:val="00E528BA"/>
    <w:rsid w:val="00E53497"/>
    <w:rsid w:val="00E534DF"/>
    <w:rsid w:val="00E537A9"/>
    <w:rsid w:val="00E55A50"/>
    <w:rsid w:val="00E565C2"/>
    <w:rsid w:val="00E56D70"/>
    <w:rsid w:val="00E56E1E"/>
    <w:rsid w:val="00E60269"/>
    <w:rsid w:val="00E60887"/>
    <w:rsid w:val="00E60C32"/>
    <w:rsid w:val="00E61582"/>
    <w:rsid w:val="00E61619"/>
    <w:rsid w:val="00E61E25"/>
    <w:rsid w:val="00E6272B"/>
    <w:rsid w:val="00E627F6"/>
    <w:rsid w:val="00E62CF0"/>
    <w:rsid w:val="00E62F1A"/>
    <w:rsid w:val="00E63F1D"/>
    <w:rsid w:val="00E63FA5"/>
    <w:rsid w:val="00E646D5"/>
    <w:rsid w:val="00E64964"/>
    <w:rsid w:val="00E64EEE"/>
    <w:rsid w:val="00E663AD"/>
    <w:rsid w:val="00E66F49"/>
    <w:rsid w:val="00E67F4F"/>
    <w:rsid w:val="00E721A9"/>
    <w:rsid w:val="00E727F8"/>
    <w:rsid w:val="00E73549"/>
    <w:rsid w:val="00E74861"/>
    <w:rsid w:val="00E748DD"/>
    <w:rsid w:val="00E74EC9"/>
    <w:rsid w:val="00E750A5"/>
    <w:rsid w:val="00E75733"/>
    <w:rsid w:val="00E75A9D"/>
    <w:rsid w:val="00E76B19"/>
    <w:rsid w:val="00E80CF7"/>
    <w:rsid w:val="00E81581"/>
    <w:rsid w:val="00E81B8E"/>
    <w:rsid w:val="00E81ED7"/>
    <w:rsid w:val="00E82FC0"/>
    <w:rsid w:val="00E8369B"/>
    <w:rsid w:val="00E8377F"/>
    <w:rsid w:val="00E83850"/>
    <w:rsid w:val="00E85244"/>
    <w:rsid w:val="00E86159"/>
    <w:rsid w:val="00E86741"/>
    <w:rsid w:val="00E86DCB"/>
    <w:rsid w:val="00E87032"/>
    <w:rsid w:val="00E87AE4"/>
    <w:rsid w:val="00E90C1F"/>
    <w:rsid w:val="00E9124A"/>
    <w:rsid w:val="00E91A8F"/>
    <w:rsid w:val="00E9222C"/>
    <w:rsid w:val="00E92AA5"/>
    <w:rsid w:val="00E9314A"/>
    <w:rsid w:val="00E9558B"/>
    <w:rsid w:val="00E95D1B"/>
    <w:rsid w:val="00E9735C"/>
    <w:rsid w:val="00EA234B"/>
    <w:rsid w:val="00EA267F"/>
    <w:rsid w:val="00EA274B"/>
    <w:rsid w:val="00EA2EFA"/>
    <w:rsid w:val="00EA3184"/>
    <w:rsid w:val="00EA3732"/>
    <w:rsid w:val="00EA3CDD"/>
    <w:rsid w:val="00EA415C"/>
    <w:rsid w:val="00EA5028"/>
    <w:rsid w:val="00EA50D6"/>
    <w:rsid w:val="00EA5714"/>
    <w:rsid w:val="00EA60EF"/>
    <w:rsid w:val="00EA6A30"/>
    <w:rsid w:val="00EA6A41"/>
    <w:rsid w:val="00EA7662"/>
    <w:rsid w:val="00EA7CC3"/>
    <w:rsid w:val="00EB016F"/>
    <w:rsid w:val="00EB04F4"/>
    <w:rsid w:val="00EB1EAC"/>
    <w:rsid w:val="00EB2216"/>
    <w:rsid w:val="00EB27D1"/>
    <w:rsid w:val="00EB33F4"/>
    <w:rsid w:val="00EB3B9C"/>
    <w:rsid w:val="00EB3CFC"/>
    <w:rsid w:val="00EB3D8C"/>
    <w:rsid w:val="00EB4C04"/>
    <w:rsid w:val="00EB5513"/>
    <w:rsid w:val="00EB55AF"/>
    <w:rsid w:val="00EB57BD"/>
    <w:rsid w:val="00EB623E"/>
    <w:rsid w:val="00EB6502"/>
    <w:rsid w:val="00EB6787"/>
    <w:rsid w:val="00EB7271"/>
    <w:rsid w:val="00EB7D9C"/>
    <w:rsid w:val="00EC1076"/>
    <w:rsid w:val="00EC1406"/>
    <w:rsid w:val="00EC1526"/>
    <w:rsid w:val="00EC16C0"/>
    <w:rsid w:val="00EC1B26"/>
    <w:rsid w:val="00EC23F3"/>
    <w:rsid w:val="00EC2677"/>
    <w:rsid w:val="00EC2AB5"/>
    <w:rsid w:val="00EC36F2"/>
    <w:rsid w:val="00EC46CC"/>
    <w:rsid w:val="00EC4856"/>
    <w:rsid w:val="00EC4B79"/>
    <w:rsid w:val="00EC4F33"/>
    <w:rsid w:val="00EC5115"/>
    <w:rsid w:val="00EC74BA"/>
    <w:rsid w:val="00EC79C5"/>
    <w:rsid w:val="00EC7E82"/>
    <w:rsid w:val="00EC7E91"/>
    <w:rsid w:val="00ED0B81"/>
    <w:rsid w:val="00ED166B"/>
    <w:rsid w:val="00ED1A64"/>
    <w:rsid w:val="00ED28DD"/>
    <w:rsid w:val="00ED2E31"/>
    <w:rsid w:val="00ED3133"/>
    <w:rsid w:val="00ED35A0"/>
    <w:rsid w:val="00ED43A6"/>
    <w:rsid w:val="00ED468B"/>
    <w:rsid w:val="00ED4965"/>
    <w:rsid w:val="00ED5E43"/>
    <w:rsid w:val="00ED5F66"/>
    <w:rsid w:val="00ED69B3"/>
    <w:rsid w:val="00ED6FB9"/>
    <w:rsid w:val="00ED7371"/>
    <w:rsid w:val="00ED7E2F"/>
    <w:rsid w:val="00ED7EA8"/>
    <w:rsid w:val="00EE02A3"/>
    <w:rsid w:val="00EE0650"/>
    <w:rsid w:val="00EE1313"/>
    <w:rsid w:val="00EE1F82"/>
    <w:rsid w:val="00EE2126"/>
    <w:rsid w:val="00EE3363"/>
    <w:rsid w:val="00EE4C7E"/>
    <w:rsid w:val="00EE556D"/>
    <w:rsid w:val="00EE5E81"/>
    <w:rsid w:val="00EE6184"/>
    <w:rsid w:val="00EE641E"/>
    <w:rsid w:val="00EE7A2C"/>
    <w:rsid w:val="00EF09D3"/>
    <w:rsid w:val="00EF108A"/>
    <w:rsid w:val="00EF1240"/>
    <w:rsid w:val="00EF1F75"/>
    <w:rsid w:val="00EF2240"/>
    <w:rsid w:val="00EF3069"/>
    <w:rsid w:val="00EF31A5"/>
    <w:rsid w:val="00EF3700"/>
    <w:rsid w:val="00EF3EB5"/>
    <w:rsid w:val="00EF4939"/>
    <w:rsid w:val="00EF57B9"/>
    <w:rsid w:val="00EF57DF"/>
    <w:rsid w:val="00EF6556"/>
    <w:rsid w:val="00EF71DF"/>
    <w:rsid w:val="00F0252E"/>
    <w:rsid w:val="00F02BAD"/>
    <w:rsid w:val="00F0319D"/>
    <w:rsid w:val="00F0441A"/>
    <w:rsid w:val="00F07063"/>
    <w:rsid w:val="00F071D5"/>
    <w:rsid w:val="00F11635"/>
    <w:rsid w:val="00F12D86"/>
    <w:rsid w:val="00F131AA"/>
    <w:rsid w:val="00F131FD"/>
    <w:rsid w:val="00F1350B"/>
    <w:rsid w:val="00F13B05"/>
    <w:rsid w:val="00F13B5A"/>
    <w:rsid w:val="00F13EA5"/>
    <w:rsid w:val="00F13EED"/>
    <w:rsid w:val="00F13FD7"/>
    <w:rsid w:val="00F14263"/>
    <w:rsid w:val="00F14AAB"/>
    <w:rsid w:val="00F15AF2"/>
    <w:rsid w:val="00F162CA"/>
    <w:rsid w:val="00F1673D"/>
    <w:rsid w:val="00F17C70"/>
    <w:rsid w:val="00F21290"/>
    <w:rsid w:val="00F220D3"/>
    <w:rsid w:val="00F2299F"/>
    <w:rsid w:val="00F231F0"/>
    <w:rsid w:val="00F24787"/>
    <w:rsid w:val="00F24D39"/>
    <w:rsid w:val="00F251E2"/>
    <w:rsid w:val="00F2586D"/>
    <w:rsid w:val="00F259A5"/>
    <w:rsid w:val="00F25EF1"/>
    <w:rsid w:val="00F263E5"/>
    <w:rsid w:val="00F301E0"/>
    <w:rsid w:val="00F307CC"/>
    <w:rsid w:val="00F30BBA"/>
    <w:rsid w:val="00F31630"/>
    <w:rsid w:val="00F31A8F"/>
    <w:rsid w:val="00F320C0"/>
    <w:rsid w:val="00F32318"/>
    <w:rsid w:val="00F32D63"/>
    <w:rsid w:val="00F34012"/>
    <w:rsid w:val="00F343A3"/>
    <w:rsid w:val="00F34C99"/>
    <w:rsid w:val="00F3531A"/>
    <w:rsid w:val="00F36350"/>
    <w:rsid w:val="00F36E97"/>
    <w:rsid w:val="00F4173F"/>
    <w:rsid w:val="00F41DB0"/>
    <w:rsid w:val="00F42D15"/>
    <w:rsid w:val="00F439BB"/>
    <w:rsid w:val="00F43CEB"/>
    <w:rsid w:val="00F449D7"/>
    <w:rsid w:val="00F461AE"/>
    <w:rsid w:val="00F467F9"/>
    <w:rsid w:val="00F4703C"/>
    <w:rsid w:val="00F50A96"/>
    <w:rsid w:val="00F5184D"/>
    <w:rsid w:val="00F51B88"/>
    <w:rsid w:val="00F51CB2"/>
    <w:rsid w:val="00F526F5"/>
    <w:rsid w:val="00F534D3"/>
    <w:rsid w:val="00F5421D"/>
    <w:rsid w:val="00F55022"/>
    <w:rsid w:val="00F55184"/>
    <w:rsid w:val="00F560C9"/>
    <w:rsid w:val="00F568B1"/>
    <w:rsid w:val="00F56A91"/>
    <w:rsid w:val="00F5704A"/>
    <w:rsid w:val="00F57FA7"/>
    <w:rsid w:val="00F60DF3"/>
    <w:rsid w:val="00F62057"/>
    <w:rsid w:val="00F6264B"/>
    <w:rsid w:val="00F62837"/>
    <w:rsid w:val="00F6290C"/>
    <w:rsid w:val="00F64433"/>
    <w:rsid w:val="00F646C8"/>
    <w:rsid w:val="00F66721"/>
    <w:rsid w:val="00F6773C"/>
    <w:rsid w:val="00F67988"/>
    <w:rsid w:val="00F67C01"/>
    <w:rsid w:val="00F70909"/>
    <w:rsid w:val="00F70D66"/>
    <w:rsid w:val="00F7114B"/>
    <w:rsid w:val="00F714BE"/>
    <w:rsid w:val="00F71D85"/>
    <w:rsid w:val="00F721EF"/>
    <w:rsid w:val="00F72AAF"/>
    <w:rsid w:val="00F72AC2"/>
    <w:rsid w:val="00F72B81"/>
    <w:rsid w:val="00F72F17"/>
    <w:rsid w:val="00F73923"/>
    <w:rsid w:val="00F73D91"/>
    <w:rsid w:val="00F74168"/>
    <w:rsid w:val="00F742F1"/>
    <w:rsid w:val="00F7470C"/>
    <w:rsid w:val="00F74942"/>
    <w:rsid w:val="00F76037"/>
    <w:rsid w:val="00F76171"/>
    <w:rsid w:val="00F761E0"/>
    <w:rsid w:val="00F76832"/>
    <w:rsid w:val="00F76B53"/>
    <w:rsid w:val="00F7761D"/>
    <w:rsid w:val="00F77724"/>
    <w:rsid w:val="00F77839"/>
    <w:rsid w:val="00F77AF3"/>
    <w:rsid w:val="00F77CE6"/>
    <w:rsid w:val="00F77DD1"/>
    <w:rsid w:val="00F77E8E"/>
    <w:rsid w:val="00F8023F"/>
    <w:rsid w:val="00F81349"/>
    <w:rsid w:val="00F82021"/>
    <w:rsid w:val="00F82080"/>
    <w:rsid w:val="00F82566"/>
    <w:rsid w:val="00F82A7B"/>
    <w:rsid w:val="00F8476C"/>
    <w:rsid w:val="00F84D67"/>
    <w:rsid w:val="00F850A1"/>
    <w:rsid w:val="00F855B8"/>
    <w:rsid w:val="00F85CBD"/>
    <w:rsid w:val="00F86B84"/>
    <w:rsid w:val="00F905B8"/>
    <w:rsid w:val="00F90B64"/>
    <w:rsid w:val="00F91164"/>
    <w:rsid w:val="00F9181F"/>
    <w:rsid w:val="00F91D47"/>
    <w:rsid w:val="00F92B0F"/>
    <w:rsid w:val="00F9354E"/>
    <w:rsid w:val="00F941FC"/>
    <w:rsid w:val="00F96365"/>
    <w:rsid w:val="00F96D24"/>
    <w:rsid w:val="00F97093"/>
    <w:rsid w:val="00F97FF3"/>
    <w:rsid w:val="00FA0091"/>
    <w:rsid w:val="00FA0426"/>
    <w:rsid w:val="00FA1AA9"/>
    <w:rsid w:val="00FA2C8B"/>
    <w:rsid w:val="00FA2CE3"/>
    <w:rsid w:val="00FA3E0C"/>
    <w:rsid w:val="00FA4F9B"/>
    <w:rsid w:val="00FA4FBA"/>
    <w:rsid w:val="00FA5580"/>
    <w:rsid w:val="00FA655A"/>
    <w:rsid w:val="00FA69C3"/>
    <w:rsid w:val="00FA6AAC"/>
    <w:rsid w:val="00FA6CBC"/>
    <w:rsid w:val="00FA6D48"/>
    <w:rsid w:val="00FA7027"/>
    <w:rsid w:val="00FA7206"/>
    <w:rsid w:val="00FA7EC0"/>
    <w:rsid w:val="00FB1729"/>
    <w:rsid w:val="00FB2DB8"/>
    <w:rsid w:val="00FB30A2"/>
    <w:rsid w:val="00FB429B"/>
    <w:rsid w:val="00FB5119"/>
    <w:rsid w:val="00FB6970"/>
    <w:rsid w:val="00FC072E"/>
    <w:rsid w:val="00FC3497"/>
    <w:rsid w:val="00FC4323"/>
    <w:rsid w:val="00FC51AE"/>
    <w:rsid w:val="00FC550A"/>
    <w:rsid w:val="00FC551E"/>
    <w:rsid w:val="00FC5790"/>
    <w:rsid w:val="00FC5C41"/>
    <w:rsid w:val="00FC6275"/>
    <w:rsid w:val="00FD039F"/>
    <w:rsid w:val="00FD053B"/>
    <w:rsid w:val="00FD0AF0"/>
    <w:rsid w:val="00FD0D5E"/>
    <w:rsid w:val="00FD1234"/>
    <w:rsid w:val="00FD18F3"/>
    <w:rsid w:val="00FD194F"/>
    <w:rsid w:val="00FD1995"/>
    <w:rsid w:val="00FD2333"/>
    <w:rsid w:val="00FD25C9"/>
    <w:rsid w:val="00FD25E1"/>
    <w:rsid w:val="00FD31B5"/>
    <w:rsid w:val="00FD5688"/>
    <w:rsid w:val="00FD5725"/>
    <w:rsid w:val="00FD5E1C"/>
    <w:rsid w:val="00FD5F36"/>
    <w:rsid w:val="00FD7F6B"/>
    <w:rsid w:val="00FE0948"/>
    <w:rsid w:val="00FE0E33"/>
    <w:rsid w:val="00FE1880"/>
    <w:rsid w:val="00FE2B7B"/>
    <w:rsid w:val="00FE3256"/>
    <w:rsid w:val="00FE3990"/>
    <w:rsid w:val="00FE3B9B"/>
    <w:rsid w:val="00FE3F8E"/>
    <w:rsid w:val="00FE47ED"/>
    <w:rsid w:val="00FE5101"/>
    <w:rsid w:val="00FE61DC"/>
    <w:rsid w:val="00FE67D0"/>
    <w:rsid w:val="00FE689B"/>
    <w:rsid w:val="00FE79CE"/>
    <w:rsid w:val="00FE7E56"/>
    <w:rsid w:val="00FF02D0"/>
    <w:rsid w:val="00FF081E"/>
    <w:rsid w:val="00FF1406"/>
    <w:rsid w:val="00FF145C"/>
    <w:rsid w:val="00FF26EE"/>
    <w:rsid w:val="00FF28EC"/>
    <w:rsid w:val="00FF47A3"/>
    <w:rsid w:val="00FF4B3F"/>
    <w:rsid w:val="00FF4B43"/>
    <w:rsid w:val="00FF574F"/>
    <w:rsid w:val="00FF6146"/>
    <w:rsid w:val="00FF7956"/>
    <w:rsid w:val="03D07714"/>
    <w:rsid w:val="067D4F9E"/>
    <w:rsid w:val="09F07824"/>
    <w:rsid w:val="0D1077DD"/>
    <w:rsid w:val="114A387E"/>
    <w:rsid w:val="11A5684D"/>
    <w:rsid w:val="120E7E09"/>
    <w:rsid w:val="123D4E07"/>
    <w:rsid w:val="17853B61"/>
    <w:rsid w:val="18B97932"/>
    <w:rsid w:val="1BCE272A"/>
    <w:rsid w:val="1D2B1804"/>
    <w:rsid w:val="1E3950C5"/>
    <w:rsid w:val="1E4808ED"/>
    <w:rsid w:val="28DD6E23"/>
    <w:rsid w:val="2D1954C6"/>
    <w:rsid w:val="2DE12DDE"/>
    <w:rsid w:val="307410C2"/>
    <w:rsid w:val="32EA41BE"/>
    <w:rsid w:val="35AF558A"/>
    <w:rsid w:val="3A660185"/>
    <w:rsid w:val="3BDD4E74"/>
    <w:rsid w:val="3D35249E"/>
    <w:rsid w:val="3F9A72F5"/>
    <w:rsid w:val="42A11473"/>
    <w:rsid w:val="45E17242"/>
    <w:rsid w:val="47B6656B"/>
    <w:rsid w:val="4B110B90"/>
    <w:rsid w:val="53083749"/>
    <w:rsid w:val="5ED8763C"/>
    <w:rsid w:val="61250170"/>
    <w:rsid w:val="67E1648C"/>
    <w:rsid w:val="69A9410F"/>
    <w:rsid w:val="6B100175"/>
    <w:rsid w:val="6B1C5BCD"/>
    <w:rsid w:val="6DE55656"/>
    <w:rsid w:val="6E261BA7"/>
    <w:rsid w:val="750977AC"/>
    <w:rsid w:val="784576F8"/>
    <w:rsid w:val="78767A5E"/>
    <w:rsid w:val="7879307F"/>
    <w:rsid w:val="7962169F"/>
    <w:rsid w:val="7E816BC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1"/>
    <w:link w:val="55"/>
    <w:qFormat/>
    <w:uiPriority w:val="0"/>
    <w:pPr>
      <w:spacing w:before="340" w:after="330" w:line="360" w:lineRule="auto"/>
      <w:jc w:val="center"/>
      <w:outlineLvl w:val="0"/>
    </w:pPr>
    <w:rPr>
      <w:rFonts w:eastAsia="黑体"/>
      <w:kern w:val="44"/>
      <w:szCs w:val="44"/>
    </w:rPr>
  </w:style>
  <w:style w:type="paragraph" w:styleId="5">
    <w:name w:val="heading 2"/>
    <w:basedOn w:val="3"/>
    <w:next w:val="4"/>
    <w:link w:val="50"/>
    <w:qFormat/>
    <w:uiPriority w:val="0"/>
    <w:pPr>
      <w:adjustRightInd w:val="0"/>
      <w:jc w:val="center"/>
      <w:textAlignment w:val="baseline"/>
      <w:outlineLvl w:val="1"/>
    </w:pPr>
    <w:rPr>
      <w:kern w:val="0"/>
      <w:sz w:val="24"/>
      <w:szCs w:val="20"/>
    </w:rPr>
  </w:style>
  <w:style w:type="paragraph" w:styleId="3">
    <w:name w:val="heading 3"/>
    <w:basedOn w:val="4"/>
    <w:next w:val="1"/>
    <w:link w:val="54"/>
    <w:qFormat/>
    <w:uiPriority w:val="9"/>
    <w:pPr>
      <w:spacing w:before="260" w:after="260" w:line="240" w:lineRule="auto"/>
      <w:outlineLvl w:val="2"/>
    </w:pPr>
    <w:rPr>
      <w:rFonts w:ascii="宋体" w:hAnsi="宋体" w:eastAsia="宋体"/>
      <w:szCs w:val="32"/>
    </w:rPr>
  </w:style>
  <w:style w:type="paragraph" w:styleId="4">
    <w:name w:val="heading 4"/>
    <w:basedOn w:val="1"/>
    <w:next w:val="1"/>
    <w:link w:val="52"/>
    <w:qFormat/>
    <w:uiPriority w:val="9"/>
    <w:pPr>
      <w:keepNext/>
      <w:keepLines/>
      <w:spacing w:before="280" w:after="290" w:line="376" w:lineRule="auto"/>
      <w:outlineLvl w:val="3"/>
    </w:pPr>
    <w:rPr>
      <w:rFonts w:ascii="Arial" w:hAnsi="Arial" w:eastAsia="黑体"/>
      <w:b/>
      <w:bCs/>
      <w:sz w:val="28"/>
      <w:szCs w:val="28"/>
    </w:rPr>
  </w:style>
  <w:style w:type="paragraph" w:styleId="6">
    <w:name w:val="heading 5"/>
    <w:basedOn w:val="1"/>
    <w:next w:val="7"/>
    <w:link w:val="77"/>
    <w:qFormat/>
    <w:uiPriority w:val="0"/>
    <w:pPr>
      <w:keepNext/>
      <w:keepLines/>
      <w:spacing w:before="280" w:after="290" w:line="376" w:lineRule="auto"/>
      <w:outlineLvl w:val="4"/>
    </w:pPr>
    <w:rPr>
      <w:b/>
      <w:sz w:val="28"/>
      <w:szCs w:val="20"/>
    </w:rPr>
  </w:style>
  <w:style w:type="paragraph" w:styleId="8">
    <w:name w:val="heading 6"/>
    <w:basedOn w:val="1"/>
    <w:next w:val="7"/>
    <w:link w:val="80"/>
    <w:qFormat/>
    <w:uiPriority w:val="0"/>
    <w:pPr>
      <w:keepNext/>
      <w:keepLines/>
      <w:spacing w:before="240" w:after="64" w:line="320" w:lineRule="auto"/>
      <w:outlineLvl w:val="5"/>
    </w:pPr>
    <w:rPr>
      <w:rFonts w:ascii="Arial" w:hAnsi="Arial" w:eastAsia="黑体"/>
      <w:b/>
      <w:sz w:val="24"/>
      <w:szCs w:val="20"/>
    </w:rPr>
  </w:style>
  <w:style w:type="paragraph" w:styleId="9">
    <w:name w:val="heading 7"/>
    <w:basedOn w:val="1"/>
    <w:next w:val="7"/>
    <w:link w:val="81"/>
    <w:qFormat/>
    <w:uiPriority w:val="0"/>
    <w:pPr>
      <w:keepNext/>
      <w:keepLines/>
      <w:spacing w:before="240" w:after="64" w:line="320" w:lineRule="auto"/>
      <w:outlineLvl w:val="6"/>
    </w:pPr>
    <w:rPr>
      <w:b/>
      <w:sz w:val="24"/>
      <w:szCs w:val="20"/>
    </w:rPr>
  </w:style>
  <w:style w:type="paragraph" w:styleId="10">
    <w:name w:val="heading 8"/>
    <w:basedOn w:val="1"/>
    <w:next w:val="7"/>
    <w:link w:val="82"/>
    <w:qFormat/>
    <w:uiPriority w:val="0"/>
    <w:pPr>
      <w:keepNext/>
      <w:keepLines/>
      <w:spacing w:before="240" w:after="64" w:line="320" w:lineRule="auto"/>
      <w:outlineLvl w:val="7"/>
    </w:pPr>
    <w:rPr>
      <w:rFonts w:ascii="Arial" w:hAnsi="Arial" w:eastAsia="黑体"/>
      <w:sz w:val="24"/>
      <w:szCs w:val="20"/>
    </w:rPr>
  </w:style>
  <w:style w:type="paragraph" w:styleId="11">
    <w:name w:val="heading 9"/>
    <w:basedOn w:val="1"/>
    <w:next w:val="7"/>
    <w:link w:val="83"/>
    <w:qFormat/>
    <w:uiPriority w:val="0"/>
    <w:pPr>
      <w:keepNext/>
      <w:keepLines/>
      <w:spacing w:before="240" w:after="64" w:line="320" w:lineRule="auto"/>
      <w:outlineLvl w:val="8"/>
    </w:pPr>
    <w:rPr>
      <w:rFonts w:ascii="Arial" w:hAnsi="Arial" w:eastAsia="黑体"/>
      <w:szCs w:val="20"/>
    </w:rPr>
  </w:style>
  <w:style w:type="character" w:default="1" w:styleId="44">
    <w:name w:val="Default Paragraph Font"/>
    <w:semiHidden/>
    <w:unhideWhenUsed/>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7">
    <w:name w:val="Normal Indent"/>
    <w:basedOn w:val="1"/>
    <w:link w:val="56"/>
    <w:qFormat/>
    <w:uiPriority w:val="0"/>
    <w:pPr>
      <w:ind w:firstLine="420"/>
    </w:pPr>
    <w:rPr>
      <w:szCs w:val="20"/>
    </w:rPr>
  </w:style>
  <w:style w:type="paragraph" w:styleId="12">
    <w:name w:val="toc 7"/>
    <w:basedOn w:val="1"/>
    <w:next w:val="1"/>
    <w:semiHidden/>
    <w:qFormat/>
    <w:uiPriority w:val="0"/>
    <w:pPr>
      <w:ind w:left="1260"/>
      <w:jc w:val="left"/>
    </w:pPr>
    <w:rPr>
      <w:szCs w:val="21"/>
    </w:rPr>
  </w:style>
  <w:style w:type="paragraph" w:styleId="13">
    <w:name w:val="caption"/>
    <w:basedOn w:val="1"/>
    <w:next w:val="1"/>
    <w:qFormat/>
    <w:uiPriority w:val="0"/>
    <w:pPr>
      <w:widowControl/>
      <w:spacing w:line="360" w:lineRule="auto"/>
      <w:ind w:firstLine="1940" w:firstLineChars="920"/>
      <w:jc w:val="left"/>
    </w:pPr>
    <w:rPr>
      <w:rFonts w:ascii="宋体" w:hAnsi="宋体"/>
      <w:b/>
      <w:bCs/>
      <w:kern w:val="0"/>
      <w:sz w:val="20"/>
      <w:szCs w:val="20"/>
    </w:rPr>
  </w:style>
  <w:style w:type="paragraph" w:styleId="14">
    <w:name w:val="List Bullet"/>
    <w:basedOn w:val="1"/>
    <w:qFormat/>
    <w:uiPriority w:val="0"/>
    <w:pPr>
      <w:numPr>
        <w:ilvl w:val="0"/>
        <w:numId w:val="1"/>
      </w:numPr>
    </w:pPr>
    <w:rPr>
      <w:szCs w:val="20"/>
    </w:rPr>
  </w:style>
  <w:style w:type="paragraph" w:styleId="15">
    <w:name w:val="Document Map"/>
    <w:basedOn w:val="1"/>
    <w:semiHidden/>
    <w:qFormat/>
    <w:uiPriority w:val="0"/>
    <w:pPr>
      <w:shd w:val="clear" w:color="auto" w:fill="000080"/>
    </w:pPr>
  </w:style>
  <w:style w:type="paragraph" w:styleId="16">
    <w:name w:val="annotation text"/>
    <w:basedOn w:val="1"/>
    <w:link w:val="181"/>
    <w:qFormat/>
    <w:uiPriority w:val="0"/>
    <w:pPr>
      <w:autoSpaceDE w:val="0"/>
      <w:autoSpaceDN w:val="0"/>
      <w:adjustRightInd w:val="0"/>
      <w:jc w:val="left"/>
      <w:textAlignment w:val="baseline"/>
    </w:pPr>
    <w:rPr>
      <w:rFonts w:ascii="宋体"/>
      <w:kern w:val="0"/>
      <w:sz w:val="34"/>
      <w:szCs w:val="20"/>
    </w:rPr>
  </w:style>
  <w:style w:type="paragraph" w:styleId="17">
    <w:name w:val="Body Text 3"/>
    <w:basedOn w:val="1"/>
    <w:link w:val="95"/>
    <w:qFormat/>
    <w:uiPriority w:val="0"/>
    <w:pPr>
      <w:spacing w:after="120"/>
    </w:pPr>
    <w:rPr>
      <w:sz w:val="16"/>
      <w:szCs w:val="16"/>
    </w:rPr>
  </w:style>
  <w:style w:type="paragraph" w:styleId="18">
    <w:name w:val="Body Text"/>
    <w:basedOn w:val="1"/>
    <w:link w:val="89"/>
    <w:qFormat/>
    <w:uiPriority w:val="0"/>
    <w:pPr>
      <w:spacing w:line="360" w:lineRule="auto"/>
    </w:pPr>
    <w:rPr>
      <w:b/>
      <w:bCs/>
      <w:sz w:val="24"/>
    </w:rPr>
  </w:style>
  <w:style w:type="paragraph" w:styleId="19">
    <w:name w:val="Body Text Indent"/>
    <w:basedOn w:val="1"/>
    <w:link w:val="76"/>
    <w:qFormat/>
    <w:uiPriority w:val="0"/>
    <w:pPr>
      <w:spacing w:line="360" w:lineRule="auto"/>
      <w:ind w:firstLine="420" w:firstLineChars="200"/>
    </w:pPr>
  </w:style>
  <w:style w:type="paragraph" w:styleId="20">
    <w:name w:val="toc 5"/>
    <w:basedOn w:val="1"/>
    <w:next w:val="1"/>
    <w:semiHidden/>
    <w:qFormat/>
    <w:uiPriority w:val="0"/>
    <w:pPr>
      <w:ind w:left="840"/>
      <w:jc w:val="left"/>
    </w:pPr>
    <w:rPr>
      <w:szCs w:val="21"/>
    </w:rPr>
  </w:style>
  <w:style w:type="paragraph" w:styleId="21">
    <w:name w:val="toc 3"/>
    <w:basedOn w:val="1"/>
    <w:next w:val="1"/>
    <w:semiHidden/>
    <w:qFormat/>
    <w:uiPriority w:val="0"/>
    <w:pPr>
      <w:ind w:left="420"/>
      <w:jc w:val="left"/>
    </w:pPr>
    <w:rPr>
      <w:i/>
      <w:iCs/>
    </w:rPr>
  </w:style>
  <w:style w:type="paragraph" w:styleId="22">
    <w:name w:val="Plain Text"/>
    <w:basedOn w:val="1"/>
    <w:link w:val="87"/>
    <w:qFormat/>
    <w:uiPriority w:val="0"/>
    <w:rPr>
      <w:rFonts w:ascii="宋体" w:hAnsi="Courier New"/>
      <w:szCs w:val="20"/>
    </w:rPr>
  </w:style>
  <w:style w:type="paragraph" w:styleId="23">
    <w:name w:val="toc 8"/>
    <w:basedOn w:val="1"/>
    <w:next w:val="1"/>
    <w:semiHidden/>
    <w:qFormat/>
    <w:uiPriority w:val="0"/>
    <w:pPr>
      <w:ind w:left="1470"/>
      <w:jc w:val="left"/>
    </w:pPr>
    <w:rPr>
      <w:szCs w:val="21"/>
    </w:rPr>
  </w:style>
  <w:style w:type="paragraph" w:styleId="24">
    <w:name w:val="Date"/>
    <w:basedOn w:val="1"/>
    <w:next w:val="1"/>
    <w:link w:val="85"/>
    <w:qFormat/>
    <w:uiPriority w:val="0"/>
    <w:rPr>
      <w:rFonts w:ascii="宋体" w:hAnsi="Courier New"/>
      <w:sz w:val="32"/>
      <w:szCs w:val="20"/>
    </w:rPr>
  </w:style>
  <w:style w:type="paragraph" w:styleId="25">
    <w:name w:val="Body Text Indent 2"/>
    <w:basedOn w:val="1"/>
    <w:link w:val="90"/>
    <w:qFormat/>
    <w:uiPriority w:val="0"/>
    <w:pPr>
      <w:spacing w:beforeLines="50" w:afterLines="50" w:line="120" w:lineRule="auto"/>
      <w:ind w:firstLine="840" w:firstLineChars="400"/>
      <w:jc w:val="left"/>
    </w:pPr>
    <w:rPr>
      <w:rFonts w:ascii="宋体" w:hAnsi="宋体"/>
    </w:rPr>
  </w:style>
  <w:style w:type="paragraph" w:styleId="26">
    <w:name w:val="Balloon Text"/>
    <w:basedOn w:val="1"/>
    <w:link w:val="96"/>
    <w:semiHidden/>
    <w:qFormat/>
    <w:uiPriority w:val="99"/>
    <w:rPr>
      <w:sz w:val="18"/>
      <w:szCs w:val="18"/>
    </w:rPr>
  </w:style>
  <w:style w:type="paragraph" w:styleId="27">
    <w:name w:val="footer"/>
    <w:basedOn w:val="1"/>
    <w:link w:val="94"/>
    <w:qFormat/>
    <w:uiPriority w:val="0"/>
    <w:pPr>
      <w:tabs>
        <w:tab w:val="center" w:pos="4153"/>
        <w:tab w:val="right" w:pos="8306"/>
      </w:tabs>
      <w:snapToGrid w:val="0"/>
      <w:jc w:val="left"/>
    </w:pPr>
    <w:rPr>
      <w:sz w:val="18"/>
      <w:szCs w:val="18"/>
    </w:rPr>
  </w:style>
  <w:style w:type="paragraph" w:styleId="28">
    <w:name w:val="header"/>
    <w:basedOn w:val="1"/>
    <w:link w:val="91"/>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semiHidden/>
    <w:qFormat/>
    <w:uiPriority w:val="0"/>
    <w:pPr>
      <w:spacing w:before="120" w:after="120"/>
      <w:jc w:val="left"/>
    </w:pPr>
    <w:rPr>
      <w:b/>
      <w:bCs/>
      <w:caps/>
    </w:rPr>
  </w:style>
  <w:style w:type="paragraph" w:styleId="30">
    <w:name w:val="toc 4"/>
    <w:basedOn w:val="1"/>
    <w:next w:val="1"/>
    <w:semiHidden/>
    <w:qFormat/>
    <w:uiPriority w:val="0"/>
    <w:pPr>
      <w:ind w:left="630"/>
      <w:jc w:val="left"/>
    </w:pPr>
    <w:rPr>
      <w:szCs w:val="21"/>
    </w:rPr>
  </w:style>
  <w:style w:type="paragraph" w:styleId="31">
    <w:name w:val="toc 6"/>
    <w:basedOn w:val="1"/>
    <w:next w:val="1"/>
    <w:semiHidden/>
    <w:qFormat/>
    <w:uiPriority w:val="0"/>
    <w:pPr>
      <w:ind w:left="1050"/>
      <w:jc w:val="left"/>
    </w:pPr>
    <w:rPr>
      <w:szCs w:val="21"/>
    </w:rPr>
  </w:style>
  <w:style w:type="paragraph" w:styleId="32">
    <w:name w:val="Body Text Indent 3"/>
    <w:basedOn w:val="1"/>
    <w:link w:val="92"/>
    <w:qFormat/>
    <w:uiPriority w:val="0"/>
    <w:pPr>
      <w:spacing w:line="360" w:lineRule="auto"/>
      <w:ind w:firstLine="482" w:firstLineChars="200"/>
    </w:pPr>
    <w:rPr>
      <w:rFonts w:ascii="宋体"/>
      <w:b/>
      <w:bCs/>
      <w:sz w:val="24"/>
    </w:rPr>
  </w:style>
  <w:style w:type="paragraph" w:styleId="33">
    <w:name w:val="toc 2"/>
    <w:basedOn w:val="1"/>
    <w:next w:val="1"/>
    <w:semiHidden/>
    <w:qFormat/>
    <w:uiPriority w:val="0"/>
    <w:pPr>
      <w:tabs>
        <w:tab w:val="right" w:leader="dot" w:pos="8296"/>
      </w:tabs>
      <w:ind w:left="210"/>
      <w:jc w:val="left"/>
    </w:pPr>
    <w:rPr>
      <w:smallCaps/>
    </w:rPr>
  </w:style>
  <w:style w:type="paragraph" w:styleId="34">
    <w:name w:val="toc 9"/>
    <w:basedOn w:val="1"/>
    <w:next w:val="1"/>
    <w:semiHidden/>
    <w:qFormat/>
    <w:uiPriority w:val="0"/>
    <w:pPr>
      <w:ind w:left="1680"/>
      <w:jc w:val="left"/>
    </w:pPr>
    <w:rPr>
      <w:szCs w:val="21"/>
    </w:rPr>
  </w:style>
  <w:style w:type="paragraph" w:styleId="35">
    <w:name w:val="Body Text 2"/>
    <w:basedOn w:val="1"/>
    <w:link w:val="93"/>
    <w:qFormat/>
    <w:uiPriority w:val="0"/>
    <w:pPr>
      <w:spacing w:line="360" w:lineRule="auto"/>
    </w:pPr>
    <w:rPr>
      <w:sz w:val="24"/>
    </w:rPr>
  </w:style>
  <w:style w:type="paragraph" w:styleId="36">
    <w:name w:val="HTML Preformatted"/>
    <w:basedOn w:val="1"/>
    <w:link w:val="8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olor w:val="000000"/>
      <w:kern w:val="0"/>
      <w:sz w:val="20"/>
      <w:szCs w:val="20"/>
    </w:rPr>
  </w:style>
  <w:style w:type="paragraph" w:styleId="37">
    <w:name w:val="Normal (Web)"/>
    <w:basedOn w:val="1"/>
    <w:link w:val="187"/>
    <w:qFormat/>
    <w:uiPriority w:val="99"/>
    <w:rPr>
      <w:sz w:val="24"/>
    </w:rPr>
  </w:style>
  <w:style w:type="paragraph" w:styleId="38">
    <w:name w:val="index 1"/>
    <w:basedOn w:val="1"/>
    <w:next w:val="1"/>
    <w:semiHidden/>
    <w:qFormat/>
    <w:uiPriority w:val="0"/>
    <w:pPr>
      <w:tabs>
        <w:tab w:val="left" w:pos="3360"/>
      </w:tabs>
      <w:spacing w:line="520" w:lineRule="exact"/>
      <w:ind w:left="419" w:leftChars="50" w:hanging="314" w:hangingChars="131"/>
      <w:jc w:val="center"/>
      <w:outlineLvl w:val="3"/>
    </w:pPr>
    <w:rPr>
      <w:rFonts w:ascii="宋体" w:hAnsi="宋体"/>
      <w:sz w:val="24"/>
    </w:rPr>
  </w:style>
  <w:style w:type="paragraph" w:styleId="39">
    <w:name w:val="Title"/>
    <w:basedOn w:val="1"/>
    <w:link w:val="84"/>
    <w:qFormat/>
    <w:uiPriority w:val="0"/>
    <w:pPr>
      <w:spacing w:before="240" w:after="60"/>
      <w:jc w:val="center"/>
      <w:outlineLvl w:val="0"/>
    </w:pPr>
    <w:rPr>
      <w:rFonts w:ascii="Arial" w:hAnsi="Arial" w:eastAsia="隶书" w:cs="Arial"/>
      <w:b/>
      <w:bCs/>
      <w:sz w:val="32"/>
      <w:szCs w:val="32"/>
    </w:rPr>
  </w:style>
  <w:style w:type="paragraph" w:styleId="40">
    <w:name w:val="annotation subject"/>
    <w:basedOn w:val="16"/>
    <w:next w:val="16"/>
    <w:link w:val="182"/>
    <w:qFormat/>
    <w:uiPriority w:val="99"/>
    <w:pPr>
      <w:autoSpaceDE/>
      <w:autoSpaceDN/>
      <w:adjustRightInd/>
      <w:textAlignment w:val="auto"/>
    </w:pPr>
    <w:rPr>
      <w:rFonts w:ascii="Times New Roman"/>
      <w:b/>
      <w:bCs/>
      <w:kern w:val="2"/>
      <w:sz w:val="21"/>
      <w:szCs w:val="24"/>
    </w:rPr>
  </w:style>
  <w:style w:type="paragraph" w:styleId="41">
    <w:name w:val="Body Text First Indent"/>
    <w:basedOn w:val="18"/>
    <w:link w:val="127"/>
    <w:qFormat/>
    <w:uiPriority w:val="0"/>
    <w:pPr>
      <w:spacing w:after="120" w:line="240" w:lineRule="auto"/>
      <w:ind w:firstLine="420" w:firstLineChars="100"/>
    </w:pPr>
    <w:rPr>
      <w:sz w:val="21"/>
    </w:rPr>
  </w:style>
  <w:style w:type="table" w:styleId="43">
    <w:name w:val="Table Grid"/>
    <w:basedOn w:val="42"/>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5">
    <w:name w:val="Strong"/>
    <w:qFormat/>
    <w:uiPriority w:val="0"/>
    <w:rPr>
      <w:b/>
      <w:bCs/>
    </w:rPr>
  </w:style>
  <w:style w:type="character" w:styleId="46">
    <w:name w:val="page number"/>
    <w:basedOn w:val="44"/>
    <w:qFormat/>
    <w:uiPriority w:val="0"/>
  </w:style>
  <w:style w:type="character" w:styleId="47">
    <w:name w:val="FollowedHyperlink"/>
    <w:qFormat/>
    <w:uiPriority w:val="0"/>
    <w:rPr>
      <w:color w:val="800080"/>
      <w:u w:val="single"/>
    </w:rPr>
  </w:style>
  <w:style w:type="character" w:styleId="48">
    <w:name w:val="Hyperlink"/>
    <w:qFormat/>
    <w:uiPriority w:val="0"/>
    <w:rPr>
      <w:color w:val="0000FF"/>
      <w:u w:val="single"/>
    </w:rPr>
  </w:style>
  <w:style w:type="character" w:styleId="49">
    <w:name w:val="annotation reference"/>
    <w:basedOn w:val="44"/>
    <w:qFormat/>
    <w:uiPriority w:val="0"/>
    <w:rPr>
      <w:sz w:val="21"/>
      <w:szCs w:val="21"/>
    </w:rPr>
  </w:style>
  <w:style w:type="character" w:customStyle="1" w:styleId="50">
    <w:name w:val="标题 2 Char"/>
    <w:link w:val="5"/>
    <w:qFormat/>
    <w:uiPriority w:val="0"/>
    <w:rPr>
      <w:rFonts w:ascii="宋体" w:hAnsi="宋体" w:eastAsia="宋体"/>
      <w:b/>
      <w:bCs/>
      <w:sz w:val="24"/>
      <w:lang w:val="en-US" w:eastAsia="zh-CN" w:bidi="ar-SA"/>
    </w:rPr>
  </w:style>
  <w:style w:type="character" w:customStyle="1" w:styleId="51">
    <w:name w:val="标题 3 Char"/>
    <w:qFormat/>
    <w:uiPriority w:val="0"/>
    <w:rPr>
      <w:rFonts w:ascii="黑体" w:eastAsia="黑体"/>
      <w:bCs/>
      <w:sz w:val="30"/>
    </w:rPr>
  </w:style>
  <w:style w:type="character" w:customStyle="1" w:styleId="52">
    <w:name w:val="标题 4 Char"/>
    <w:link w:val="4"/>
    <w:qFormat/>
    <w:uiPriority w:val="9"/>
    <w:rPr>
      <w:rFonts w:ascii="Arial" w:hAnsi="Arial" w:eastAsia="黑体"/>
      <w:b/>
      <w:bCs/>
      <w:kern w:val="2"/>
      <w:sz w:val="28"/>
      <w:szCs w:val="28"/>
      <w:lang w:val="en-US" w:eastAsia="zh-CN" w:bidi="ar-SA"/>
    </w:rPr>
  </w:style>
  <w:style w:type="paragraph" w:customStyle="1" w:styleId="53">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54">
    <w:name w:val="标题 3 Char1"/>
    <w:link w:val="3"/>
    <w:qFormat/>
    <w:uiPriority w:val="9"/>
    <w:rPr>
      <w:rFonts w:ascii="宋体" w:hAnsi="宋体" w:eastAsia="宋体"/>
      <w:b/>
      <w:bCs/>
      <w:kern w:val="2"/>
      <w:sz w:val="28"/>
      <w:szCs w:val="32"/>
      <w:lang w:val="en-US" w:eastAsia="zh-CN" w:bidi="ar-SA"/>
    </w:rPr>
  </w:style>
  <w:style w:type="character" w:customStyle="1" w:styleId="55">
    <w:name w:val="标题 1 Char"/>
    <w:link w:val="2"/>
    <w:qFormat/>
    <w:uiPriority w:val="0"/>
    <w:rPr>
      <w:rFonts w:ascii="宋体" w:hAnsi="宋体" w:eastAsia="黑体"/>
      <w:b/>
      <w:bCs/>
      <w:kern w:val="44"/>
      <w:sz w:val="28"/>
      <w:szCs w:val="44"/>
      <w:lang w:val="en-US" w:eastAsia="zh-CN" w:bidi="ar-SA"/>
    </w:rPr>
  </w:style>
  <w:style w:type="character" w:customStyle="1" w:styleId="56">
    <w:name w:val="正文缩进 Char"/>
    <w:link w:val="7"/>
    <w:qFormat/>
    <w:uiPriority w:val="0"/>
    <w:rPr>
      <w:rFonts w:eastAsia="宋体"/>
      <w:kern w:val="2"/>
      <w:sz w:val="21"/>
      <w:lang w:val="en-US" w:eastAsia="zh-CN" w:bidi="ar-SA"/>
    </w:rPr>
  </w:style>
  <w:style w:type="paragraph" w:customStyle="1" w:styleId="57">
    <w:name w:val="样式41"/>
    <w:basedOn w:val="1"/>
    <w:qFormat/>
    <w:uiPriority w:val="0"/>
    <w:pPr>
      <w:numPr>
        <w:ilvl w:val="0"/>
        <w:numId w:val="2"/>
      </w:numPr>
      <w:tabs>
        <w:tab w:val="left" w:pos="945"/>
      </w:tabs>
      <w:spacing w:line="360" w:lineRule="auto"/>
    </w:pPr>
    <w:rPr>
      <w:b/>
      <w:color w:val="000000"/>
      <w:sz w:val="24"/>
      <w:szCs w:val="20"/>
    </w:rPr>
  </w:style>
  <w:style w:type="paragraph" w:customStyle="1" w:styleId="58">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59">
    <w:name w:val="文档正文"/>
    <w:basedOn w:val="1"/>
    <w:qFormat/>
    <w:uiPriority w:val="0"/>
    <w:pPr>
      <w:adjustRightInd w:val="0"/>
      <w:spacing w:line="480" w:lineRule="atLeast"/>
      <w:ind w:firstLine="567" w:firstLineChars="200"/>
      <w:textAlignment w:val="baseline"/>
    </w:pPr>
    <w:rPr>
      <w:rFonts w:ascii="长城仿宋"/>
      <w:kern w:val="0"/>
      <w:szCs w:val="20"/>
    </w:rPr>
  </w:style>
  <w:style w:type="paragraph" w:customStyle="1" w:styleId="60">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1">
    <w:name w:val="Char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2">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64">
    <w:name w:val="自定义正文"/>
    <w:basedOn w:val="1"/>
    <w:qFormat/>
    <w:uiPriority w:val="0"/>
    <w:pPr>
      <w:spacing w:afterLines="50"/>
      <w:ind w:left="600" w:leftChars="600"/>
    </w:pPr>
  </w:style>
  <w:style w:type="paragraph" w:customStyle="1" w:styleId="65">
    <w:name w:val="Char Char Char Char Char"/>
    <w:basedOn w:val="1"/>
    <w:qFormat/>
    <w:uiPriority w:val="0"/>
    <w:rPr>
      <w:rFonts w:ascii="Tahoma" w:hAnsi="Tahoma"/>
      <w:sz w:val="24"/>
      <w:szCs w:val="20"/>
    </w:rPr>
  </w:style>
  <w:style w:type="paragraph" w:customStyle="1" w:styleId="66">
    <w:name w:val="小标题 1"/>
    <w:basedOn w:val="1"/>
    <w:qFormat/>
    <w:uiPriority w:val="0"/>
    <w:pPr>
      <w:autoSpaceDE w:val="0"/>
      <w:autoSpaceDN w:val="0"/>
      <w:adjustRightInd w:val="0"/>
      <w:spacing w:line="360" w:lineRule="atLeast"/>
    </w:pPr>
    <w:rPr>
      <w:rFonts w:ascii="文鼎粗黑" w:eastAsia="文鼎粗黑"/>
      <w:kern w:val="0"/>
      <w:sz w:val="22"/>
      <w:szCs w:val="20"/>
    </w:rPr>
  </w:style>
  <w:style w:type="paragraph" w:customStyle="1" w:styleId="67">
    <w:name w:val="Char Char"/>
    <w:basedOn w:val="1"/>
    <w:qFormat/>
    <w:uiPriority w:val="0"/>
    <w:rPr>
      <w:rFonts w:ascii="Tahoma" w:hAnsi="Tahoma"/>
      <w:sz w:val="24"/>
      <w:szCs w:val="20"/>
    </w:rPr>
  </w:style>
  <w:style w:type="paragraph" w:customStyle="1" w:styleId="68">
    <w:name w:val="È±Ê¡ÎÄ±¾"/>
    <w:basedOn w:val="1"/>
    <w:qFormat/>
    <w:uiPriority w:val="0"/>
    <w:pPr>
      <w:widowControl/>
      <w:overflowPunct w:val="0"/>
      <w:autoSpaceDE w:val="0"/>
      <w:autoSpaceDN w:val="0"/>
      <w:adjustRightInd w:val="0"/>
      <w:jc w:val="left"/>
      <w:textAlignment w:val="baseline"/>
    </w:pPr>
    <w:rPr>
      <w:kern w:val="0"/>
      <w:sz w:val="24"/>
      <w:szCs w:val="20"/>
    </w:rPr>
  </w:style>
  <w:style w:type="paragraph" w:customStyle="1" w:styleId="6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styleId="70">
    <w:name w:val="List Paragraph"/>
    <w:basedOn w:val="1"/>
    <w:qFormat/>
    <w:uiPriority w:val="34"/>
    <w:pPr>
      <w:ind w:firstLine="420" w:firstLineChars="200"/>
    </w:pPr>
    <w:rPr>
      <w:rFonts w:ascii="Calibri" w:hAnsi="Calibri"/>
      <w:szCs w:val="22"/>
    </w:rPr>
  </w:style>
  <w:style w:type="paragraph" w:customStyle="1" w:styleId="71">
    <w:name w:val="USE 1"/>
    <w:basedOn w:val="1"/>
    <w:qFormat/>
    <w:uiPriority w:val="0"/>
    <w:pPr>
      <w:spacing w:line="200" w:lineRule="atLeast"/>
      <w:jc w:val="left"/>
    </w:pPr>
    <w:rPr>
      <w:rFonts w:ascii="宋体" w:hAnsi="宋体"/>
      <w:b/>
      <w:sz w:val="24"/>
      <w:szCs w:val="28"/>
    </w:rPr>
  </w:style>
  <w:style w:type="paragraph" w:customStyle="1" w:styleId="72">
    <w:name w:val="RFI text from 3rd Level"/>
    <w:basedOn w:val="1"/>
    <w:qFormat/>
    <w:uiPriority w:val="0"/>
    <w:pPr>
      <w:widowControl/>
      <w:numPr>
        <w:ilvl w:val="0"/>
        <w:numId w:val="3"/>
      </w:numPr>
      <w:tabs>
        <w:tab w:val="left" w:pos="1080"/>
        <w:tab w:val="clear" w:pos="840"/>
      </w:tabs>
      <w:spacing w:beforeLines="50" w:line="360" w:lineRule="auto"/>
      <w:ind w:left="0" w:firstLine="0"/>
    </w:pPr>
    <w:rPr>
      <w:rFonts w:ascii="Arial (W1)" w:hAnsi="Arial (W1)"/>
      <w:bCs/>
      <w:kern w:val="0"/>
      <w:sz w:val="24"/>
      <w:lang w:val="en-GB"/>
    </w:rPr>
  </w:style>
  <w:style w:type="paragraph" w:customStyle="1" w:styleId="73">
    <w:name w:val="正文文字缩进项目"/>
    <w:basedOn w:val="19"/>
    <w:qFormat/>
    <w:uiPriority w:val="0"/>
    <w:pPr>
      <w:numPr>
        <w:ilvl w:val="1"/>
        <w:numId w:val="3"/>
      </w:numPr>
      <w:tabs>
        <w:tab w:val="left" w:pos="840"/>
        <w:tab w:val="clear" w:pos="1260"/>
      </w:tabs>
      <w:spacing w:after="120" w:line="240" w:lineRule="auto"/>
      <w:ind w:left="840" w:firstLine="0" w:firstLineChars="0"/>
    </w:pPr>
    <w:rPr>
      <w:rFonts w:ascii="Tahoma" w:hAnsi="Tahoma"/>
      <w:sz w:val="22"/>
      <w:szCs w:val="20"/>
    </w:rPr>
  </w:style>
  <w:style w:type="paragraph" w:customStyle="1" w:styleId="74">
    <w:name w:val="样式 标题 2 + 段前: 13 磅 段后: 13 磅 行距: 单倍行距"/>
    <w:basedOn w:val="5"/>
    <w:qFormat/>
    <w:uiPriority w:val="0"/>
    <w:pPr>
      <w:adjustRightInd/>
      <w:spacing w:before="0" w:after="0"/>
      <w:jc w:val="both"/>
      <w:textAlignment w:val="auto"/>
    </w:pPr>
    <w:rPr>
      <w:rFonts w:ascii="Cambria" w:hAnsi="Cambria" w:cs="宋体"/>
      <w:kern w:val="2"/>
      <w:sz w:val="32"/>
    </w:rPr>
  </w:style>
  <w:style w:type="character" w:customStyle="1" w:styleId="75">
    <w:name w:val="H4 Char2"/>
    <w:qFormat/>
    <w:uiPriority w:val="0"/>
    <w:rPr>
      <w:rFonts w:ascii="Arial" w:hAnsi="Arial" w:eastAsia="黑体"/>
      <w:b/>
      <w:bCs/>
      <w:kern w:val="2"/>
      <w:sz w:val="28"/>
      <w:szCs w:val="28"/>
      <w:lang w:val="en-US" w:eastAsia="zh-CN" w:bidi="ar-SA"/>
    </w:rPr>
  </w:style>
  <w:style w:type="character" w:customStyle="1" w:styleId="76">
    <w:name w:val="正文文本缩进 Char"/>
    <w:link w:val="19"/>
    <w:qFormat/>
    <w:uiPriority w:val="0"/>
    <w:rPr>
      <w:rFonts w:eastAsia="宋体"/>
      <w:kern w:val="2"/>
      <w:sz w:val="21"/>
      <w:szCs w:val="24"/>
      <w:lang w:val="en-US" w:eastAsia="zh-CN" w:bidi="ar-SA"/>
    </w:rPr>
  </w:style>
  <w:style w:type="character" w:customStyle="1" w:styleId="77">
    <w:name w:val="标题 5 Char"/>
    <w:link w:val="6"/>
    <w:qFormat/>
    <w:uiPriority w:val="0"/>
    <w:rPr>
      <w:rFonts w:eastAsia="宋体"/>
      <w:b/>
      <w:kern w:val="2"/>
      <w:sz w:val="28"/>
      <w:lang w:val="en-US" w:eastAsia="zh-CN" w:bidi="ar-SA"/>
    </w:rPr>
  </w:style>
  <w:style w:type="character" w:customStyle="1" w:styleId="78">
    <w:name w:val="第*章 Char"/>
    <w:qFormat/>
    <w:uiPriority w:val="0"/>
    <w:rPr>
      <w:rFonts w:ascii="Arial" w:hAnsi="Arial" w:eastAsia="黑体"/>
      <w:b/>
      <w:bCs/>
      <w:kern w:val="2"/>
      <w:sz w:val="32"/>
      <w:szCs w:val="32"/>
    </w:rPr>
  </w:style>
  <w:style w:type="character" w:customStyle="1" w:styleId="79">
    <w:name w:val="章标题1 Char"/>
    <w:qFormat/>
    <w:uiPriority w:val="0"/>
    <w:rPr>
      <w:rFonts w:eastAsia="宋体"/>
      <w:b/>
      <w:bCs/>
      <w:kern w:val="2"/>
      <w:sz w:val="32"/>
      <w:szCs w:val="32"/>
      <w:lang w:val="en-US" w:eastAsia="zh-CN" w:bidi="ar-SA"/>
    </w:rPr>
  </w:style>
  <w:style w:type="character" w:customStyle="1" w:styleId="80">
    <w:name w:val="标题 6 Char"/>
    <w:link w:val="8"/>
    <w:qFormat/>
    <w:uiPriority w:val="0"/>
    <w:rPr>
      <w:rFonts w:ascii="Arial" w:hAnsi="Arial" w:eastAsia="黑体"/>
      <w:b/>
      <w:kern w:val="2"/>
      <w:sz w:val="24"/>
      <w:lang w:val="en-US" w:eastAsia="zh-CN" w:bidi="ar-SA"/>
    </w:rPr>
  </w:style>
  <w:style w:type="character" w:customStyle="1" w:styleId="81">
    <w:name w:val="标题 7 Char"/>
    <w:link w:val="9"/>
    <w:qFormat/>
    <w:uiPriority w:val="0"/>
    <w:rPr>
      <w:rFonts w:eastAsia="宋体"/>
      <w:b/>
      <w:kern w:val="2"/>
      <w:sz w:val="24"/>
      <w:lang w:val="en-US" w:eastAsia="zh-CN" w:bidi="ar-SA"/>
    </w:rPr>
  </w:style>
  <w:style w:type="character" w:customStyle="1" w:styleId="82">
    <w:name w:val="标题 8 Char"/>
    <w:link w:val="10"/>
    <w:qFormat/>
    <w:uiPriority w:val="0"/>
    <w:rPr>
      <w:rFonts w:ascii="Arial" w:hAnsi="Arial" w:eastAsia="黑体"/>
      <w:kern w:val="2"/>
      <w:sz w:val="24"/>
      <w:lang w:val="en-US" w:eastAsia="zh-CN" w:bidi="ar-SA"/>
    </w:rPr>
  </w:style>
  <w:style w:type="character" w:customStyle="1" w:styleId="83">
    <w:name w:val="标题 9 Char"/>
    <w:link w:val="11"/>
    <w:qFormat/>
    <w:uiPriority w:val="0"/>
    <w:rPr>
      <w:rFonts w:ascii="Arial" w:hAnsi="Arial" w:eastAsia="黑体"/>
      <w:kern w:val="2"/>
      <w:sz w:val="21"/>
      <w:lang w:val="en-US" w:eastAsia="zh-CN" w:bidi="ar-SA"/>
    </w:rPr>
  </w:style>
  <w:style w:type="character" w:customStyle="1" w:styleId="84">
    <w:name w:val="标题 Char"/>
    <w:link w:val="39"/>
    <w:qFormat/>
    <w:uiPriority w:val="0"/>
    <w:rPr>
      <w:rFonts w:ascii="Arial" w:hAnsi="Arial" w:eastAsia="隶书" w:cs="Arial"/>
      <w:b/>
      <w:bCs/>
      <w:kern w:val="2"/>
      <w:sz w:val="32"/>
      <w:szCs w:val="32"/>
      <w:lang w:val="en-US" w:eastAsia="zh-CN" w:bidi="ar-SA"/>
    </w:rPr>
  </w:style>
  <w:style w:type="character" w:customStyle="1" w:styleId="85">
    <w:name w:val="日期 Char"/>
    <w:link w:val="24"/>
    <w:qFormat/>
    <w:uiPriority w:val="0"/>
    <w:rPr>
      <w:rFonts w:ascii="宋体" w:hAnsi="Courier New" w:eastAsia="宋体"/>
      <w:kern w:val="2"/>
      <w:sz w:val="32"/>
      <w:lang w:val="en-US" w:eastAsia="zh-CN" w:bidi="ar-SA"/>
    </w:rPr>
  </w:style>
  <w:style w:type="character" w:customStyle="1" w:styleId="86">
    <w:name w:val="HTML 预设格式 Char"/>
    <w:link w:val="36"/>
    <w:qFormat/>
    <w:uiPriority w:val="0"/>
    <w:rPr>
      <w:rFonts w:ascii="Arial Unicode MS" w:hAnsi="Arial Unicode MS" w:eastAsia="Arial Unicode MS"/>
      <w:color w:val="000000"/>
      <w:lang w:val="en-US" w:eastAsia="zh-CN" w:bidi="ar-SA"/>
    </w:rPr>
  </w:style>
  <w:style w:type="character" w:customStyle="1" w:styleId="87">
    <w:name w:val="纯文本 Char"/>
    <w:link w:val="22"/>
    <w:qFormat/>
    <w:uiPriority w:val="0"/>
    <w:rPr>
      <w:rFonts w:ascii="宋体" w:hAnsi="Courier New" w:eastAsia="宋体"/>
      <w:kern w:val="2"/>
      <w:sz w:val="21"/>
      <w:lang w:val="en-US" w:eastAsia="zh-CN" w:bidi="ar-SA"/>
    </w:rPr>
  </w:style>
  <w:style w:type="character" w:customStyle="1" w:styleId="88">
    <w:name w:val="正文文字首行缩进 Char"/>
    <w:qFormat/>
    <w:uiPriority w:val="0"/>
    <w:rPr>
      <w:kern w:val="2"/>
      <w:sz w:val="21"/>
      <w:szCs w:val="24"/>
    </w:rPr>
  </w:style>
  <w:style w:type="character" w:customStyle="1" w:styleId="89">
    <w:name w:val="正文文本 Char"/>
    <w:link w:val="18"/>
    <w:qFormat/>
    <w:uiPriority w:val="0"/>
    <w:rPr>
      <w:rFonts w:eastAsia="宋体"/>
      <w:b/>
      <w:bCs/>
      <w:kern w:val="2"/>
      <w:sz w:val="24"/>
      <w:szCs w:val="24"/>
      <w:lang w:val="en-US" w:eastAsia="zh-CN" w:bidi="ar-SA"/>
    </w:rPr>
  </w:style>
  <w:style w:type="character" w:customStyle="1" w:styleId="90">
    <w:name w:val="正文文本缩进 2 Char"/>
    <w:link w:val="25"/>
    <w:qFormat/>
    <w:uiPriority w:val="0"/>
    <w:rPr>
      <w:rFonts w:ascii="宋体" w:hAnsi="宋体" w:eastAsia="宋体"/>
      <w:kern w:val="2"/>
      <w:sz w:val="21"/>
      <w:szCs w:val="24"/>
      <w:lang w:val="en-US" w:eastAsia="zh-CN" w:bidi="ar-SA"/>
    </w:rPr>
  </w:style>
  <w:style w:type="character" w:customStyle="1" w:styleId="91">
    <w:name w:val="页眉 Char"/>
    <w:link w:val="28"/>
    <w:qFormat/>
    <w:uiPriority w:val="99"/>
    <w:rPr>
      <w:rFonts w:eastAsia="宋体"/>
      <w:kern w:val="2"/>
      <w:sz w:val="18"/>
      <w:szCs w:val="18"/>
      <w:lang w:val="en-US" w:eastAsia="zh-CN" w:bidi="ar-SA"/>
    </w:rPr>
  </w:style>
  <w:style w:type="character" w:customStyle="1" w:styleId="92">
    <w:name w:val="正文文本缩进 3 Char"/>
    <w:link w:val="32"/>
    <w:qFormat/>
    <w:uiPriority w:val="0"/>
    <w:rPr>
      <w:rFonts w:ascii="宋体" w:eastAsia="宋体"/>
      <w:b/>
      <w:bCs/>
      <w:kern w:val="2"/>
      <w:sz w:val="24"/>
      <w:szCs w:val="24"/>
      <w:lang w:val="en-US" w:eastAsia="zh-CN" w:bidi="ar-SA"/>
    </w:rPr>
  </w:style>
  <w:style w:type="character" w:customStyle="1" w:styleId="93">
    <w:name w:val="正文文本 2 Char"/>
    <w:link w:val="35"/>
    <w:qFormat/>
    <w:uiPriority w:val="0"/>
    <w:rPr>
      <w:rFonts w:eastAsia="宋体"/>
      <w:kern w:val="2"/>
      <w:sz w:val="24"/>
      <w:szCs w:val="24"/>
      <w:lang w:val="en-US" w:eastAsia="zh-CN" w:bidi="ar-SA"/>
    </w:rPr>
  </w:style>
  <w:style w:type="character" w:customStyle="1" w:styleId="94">
    <w:name w:val="页脚 Char"/>
    <w:link w:val="27"/>
    <w:qFormat/>
    <w:uiPriority w:val="0"/>
    <w:rPr>
      <w:rFonts w:eastAsia="宋体"/>
      <w:kern w:val="2"/>
      <w:sz w:val="18"/>
      <w:szCs w:val="18"/>
      <w:lang w:val="en-US" w:eastAsia="zh-CN" w:bidi="ar-SA"/>
    </w:rPr>
  </w:style>
  <w:style w:type="character" w:customStyle="1" w:styleId="95">
    <w:name w:val="正文文本 3 Char"/>
    <w:link w:val="17"/>
    <w:qFormat/>
    <w:uiPriority w:val="0"/>
    <w:rPr>
      <w:rFonts w:eastAsia="宋体"/>
      <w:kern w:val="2"/>
      <w:sz w:val="16"/>
      <w:szCs w:val="16"/>
      <w:lang w:val="en-US" w:eastAsia="zh-CN" w:bidi="ar-SA"/>
    </w:rPr>
  </w:style>
  <w:style w:type="character" w:customStyle="1" w:styleId="96">
    <w:name w:val="批注框文本 Char"/>
    <w:link w:val="26"/>
    <w:semiHidden/>
    <w:qFormat/>
    <w:uiPriority w:val="99"/>
    <w:rPr>
      <w:rFonts w:eastAsia="宋体"/>
      <w:kern w:val="2"/>
      <w:sz w:val="18"/>
      <w:szCs w:val="18"/>
      <w:lang w:val="en-US" w:eastAsia="zh-CN" w:bidi="ar-SA"/>
    </w:rPr>
  </w:style>
  <w:style w:type="paragraph" w:customStyle="1" w:styleId="97">
    <w:name w:val="样式1"/>
    <w:basedOn w:val="39"/>
    <w:qFormat/>
    <w:uiPriority w:val="0"/>
    <w:pPr>
      <w:spacing w:before="120" w:after="120"/>
    </w:pPr>
    <w:rPr>
      <w:rFonts w:eastAsia="黑体"/>
      <w:b w:val="0"/>
      <w:sz w:val="30"/>
      <w:szCs w:val="21"/>
    </w:rPr>
  </w:style>
  <w:style w:type="paragraph" w:customStyle="1" w:styleId="98">
    <w:name w:val="样式2"/>
    <w:basedOn w:val="39"/>
    <w:next w:val="97"/>
    <w:qFormat/>
    <w:uiPriority w:val="0"/>
    <w:pPr>
      <w:spacing w:before="120" w:after="120"/>
    </w:pPr>
    <w:rPr>
      <w:rFonts w:eastAsia="黑体"/>
      <w:b w:val="0"/>
      <w:sz w:val="30"/>
      <w:szCs w:val="30"/>
    </w:rPr>
  </w:style>
  <w:style w:type="character" w:customStyle="1" w:styleId="99">
    <w:name w:val="标题 3 Char Char"/>
    <w:qFormat/>
    <w:uiPriority w:val="0"/>
    <w:rPr>
      <w:rFonts w:eastAsia="宋体"/>
      <w:b/>
      <w:bCs/>
      <w:kern w:val="2"/>
      <w:sz w:val="32"/>
      <w:szCs w:val="32"/>
      <w:lang w:val="en-US" w:eastAsia="zh-CN" w:bidi="ar-SA"/>
    </w:rPr>
  </w:style>
  <w:style w:type="paragraph" w:customStyle="1" w:styleId="100">
    <w:name w:val="Char Char Char Char Char Char1 Char Char Char Char Char Char Char Char Char Char Char Char Char"/>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101">
    <w:name w:val="cont"/>
    <w:basedOn w:val="1"/>
    <w:qFormat/>
    <w:uiPriority w:val="0"/>
    <w:pPr>
      <w:adjustRightInd w:val="0"/>
      <w:spacing w:before="100" w:after="100" w:line="360" w:lineRule="auto"/>
      <w:ind w:firstLine="200" w:firstLineChars="200"/>
      <w:jc w:val="left"/>
      <w:textAlignment w:val="baseline"/>
    </w:pPr>
    <w:rPr>
      <w:rFonts w:ascii="Arial" w:hAnsi="Arial"/>
      <w:kern w:val="0"/>
      <w:sz w:val="24"/>
      <w:szCs w:val="20"/>
    </w:rPr>
  </w:style>
  <w:style w:type="paragraph" w:customStyle="1" w:styleId="102">
    <w:name w:val="--规划正文"/>
    <w:basedOn w:val="1"/>
    <w:qFormat/>
    <w:uiPriority w:val="0"/>
    <w:pPr>
      <w:spacing w:line="360" w:lineRule="auto"/>
      <w:ind w:firstLine="200" w:firstLineChars="200"/>
    </w:pPr>
    <w:rPr>
      <w:szCs w:val="20"/>
    </w:rPr>
  </w:style>
  <w:style w:type="paragraph" w:customStyle="1" w:styleId="103">
    <w:name w:val="设计依据"/>
    <w:basedOn w:val="18"/>
    <w:qFormat/>
    <w:uiPriority w:val="0"/>
    <w:pPr>
      <w:numPr>
        <w:ilvl w:val="1"/>
        <w:numId w:val="4"/>
      </w:numPr>
      <w:tabs>
        <w:tab w:val="left" w:pos="1440"/>
        <w:tab w:val="clear" w:pos="840"/>
      </w:tabs>
      <w:adjustRightInd w:val="0"/>
      <w:ind w:left="1440"/>
      <w:textAlignment w:val="baseline"/>
    </w:pPr>
    <w:rPr>
      <w:rFonts w:ascii="宋体" w:hAnsi="宋体"/>
      <w:b w:val="0"/>
      <w:kern w:val="0"/>
      <w:sz w:val="28"/>
      <w:szCs w:val="18"/>
    </w:rPr>
  </w:style>
  <w:style w:type="paragraph" w:customStyle="1" w:styleId="104">
    <w:name w:val="方案要点"/>
    <w:basedOn w:val="1"/>
    <w:qFormat/>
    <w:uiPriority w:val="0"/>
    <w:pPr>
      <w:numPr>
        <w:ilvl w:val="0"/>
        <w:numId w:val="4"/>
      </w:numPr>
      <w:spacing w:line="360" w:lineRule="auto"/>
    </w:pPr>
    <w:rPr>
      <w:rFonts w:ascii="仿宋_GB2312" w:hAnsi="宋体" w:eastAsia="仿宋_GB2312"/>
      <w:color w:val="000000"/>
      <w:sz w:val="28"/>
      <w:szCs w:val="28"/>
    </w:rPr>
  </w:style>
  <w:style w:type="paragraph" w:customStyle="1" w:styleId="105">
    <w:name w:val="样式4"/>
    <w:basedOn w:val="1"/>
    <w:qFormat/>
    <w:uiPriority w:val="0"/>
    <w:pPr>
      <w:tabs>
        <w:tab w:val="left" w:pos="842"/>
      </w:tabs>
      <w:spacing w:line="360" w:lineRule="auto"/>
      <w:ind w:left="842" w:hanging="420"/>
    </w:pPr>
    <w:rPr>
      <w:sz w:val="24"/>
    </w:rPr>
  </w:style>
  <w:style w:type="paragraph" w:customStyle="1" w:styleId="106">
    <w:name w:val="文字"/>
    <w:basedOn w:val="1"/>
    <w:qFormat/>
    <w:uiPriority w:val="0"/>
    <w:pPr>
      <w:tabs>
        <w:tab w:val="left" w:pos="8520"/>
      </w:tabs>
      <w:spacing w:line="312" w:lineRule="auto"/>
      <w:ind w:right="-210" w:firstLine="556"/>
    </w:pPr>
    <w:rPr>
      <w:rFonts w:ascii="宋体"/>
      <w:sz w:val="28"/>
      <w:szCs w:val="20"/>
    </w:rPr>
  </w:style>
  <w:style w:type="paragraph" w:customStyle="1" w:styleId="107">
    <w:name w:val="--规划-表格-居左"/>
    <w:basedOn w:val="102"/>
    <w:qFormat/>
    <w:uiPriority w:val="0"/>
    <w:pPr>
      <w:spacing w:line="240" w:lineRule="auto"/>
      <w:ind w:firstLine="0" w:firstLineChars="0"/>
    </w:pPr>
    <w:rPr>
      <w:sz w:val="20"/>
    </w:rPr>
  </w:style>
  <w:style w:type="paragraph" w:customStyle="1" w:styleId="108">
    <w:name w:val="--规划-表格-居中"/>
    <w:basedOn w:val="102"/>
    <w:qFormat/>
    <w:uiPriority w:val="0"/>
    <w:pPr>
      <w:spacing w:line="240" w:lineRule="auto"/>
      <w:ind w:firstLine="0" w:firstLineChars="0"/>
      <w:jc w:val="center"/>
    </w:pPr>
    <w:rPr>
      <w:sz w:val="20"/>
    </w:rPr>
  </w:style>
  <w:style w:type="paragraph" w:customStyle="1" w:styleId="109">
    <w:name w:val="--编号内缩进"/>
    <w:basedOn w:val="1"/>
    <w:qFormat/>
    <w:uiPriority w:val="0"/>
    <w:pPr>
      <w:spacing w:line="360" w:lineRule="auto"/>
      <w:ind w:left="420" w:firstLine="200" w:firstLineChars="200"/>
    </w:pPr>
    <w:rPr>
      <w:szCs w:val="21"/>
    </w:rPr>
  </w:style>
  <w:style w:type="paragraph" w:customStyle="1" w:styleId="110">
    <w:name w:val="--规划-题注"/>
    <w:basedOn w:val="1"/>
    <w:next w:val="102"/>
    <w:qFormat/>
    <w:uiPriority w:val="0"/>
    <w:pPr>
      <w:spacing w:line="360" w:lineRule="auto"/>
      <w:jc w:val="center"/>
    </w:pPr>
    <w:rPr>
      <w:rFonts w:eastAsia="黑体"/>
    </w:rPr>
  </w:style>
  <w:style w:type="paragraph" w:customStyle="1" w:styleId="111">
    <w:name w:val="--规划-图和表"/>
    <w:next w:val="102"/>
    <w:qFormat/>
    <w:uiPriority w:val="0"/>
    <w:pPr>
      <w:jc w:val="center"/>
    </w:pPr>
    <w:rPr>
      <w:rFonts w:ascii="Times New Roman" w:hAnsi="Times New Roman" w:eastAsia="宋体" w:cs="Times New Roman"/>
      <w:kern w:val="2"/>
      <w:sz w:val="21"/>
      <w:lang w:val="en-US" w:eastAsia="zh-CN" w:bidi="ar-SA"/>
    </w:rPr>
  </w:style>
  <w:style w:type="paragraph" w:customStyle="1" w:styleId="112">
    <w:name w:val="--规划-小标题"/>
    <w:basedOn w:val="1"/>
    <w:next w:val="102"/>
    <w:qFormat/>
    <w:uiPriority w:val="0"/>
    <w:pPr>
      <w:keepNext/>
      <w:keepLines/>
      <w:spacing w:line="360" w:lineRule="auto"/>
      <w:outlineLvl w:val="4"/>
    </w:pPr>
    <w:rPr>
      <w:rFonts w:eastAsia="黑体"/>
    </w:rPr>
  </w:style>
  <w:style w:type="paragraph" w:customStyle="1" w:styleId="113">
    <w:name w:val="--规划正文 Char"/>
    <w:basedOn w:val="1"/>
    <w:qFormat/>
    <w:uiPriority w:val="0"/>
    <w:pPr>
      <w:spacing w:line="360" w:lineRule="auto"/>
      <w:ind w:firstLine="200" w:firstLineChars="200"/>
    </w:pPr>
    <w:rPr>
      <w:sz w:val="24"/>
    </w:rPr>
  </w:style>
  <w:style w:type="paragraph" w:customStyle="1" w:styleId="114">
    <w:name w:val="缺省文本"/>
    <w:basedOn w:val="1"/>
    <w:qFormat/>
    <w:uiPriority w:val="0"/>
    <w:pPr>
      <w:autoSpaceDE w:val="0"/>
      <w:autoSpaceDN w:val="0"/>
      <w:adjustRightInd w:val="0"/>
      <w:jc w:val="left"/>
    </w:pPr>
    <w:rPr>
      <w:kern w:val="0"/>
    </w:rPr>
  </w:style>
  <w:style w:type="paragraph" w:customStyle="1" w:styleId="115">
    <w:name w:val="封面文档标题"/>
    <w:basedOn w:val="1"/>
    <w:qFormat/>
    <w:uiPriority w:val="0"/>
    <w:pPr>
      <w:autoSpaceDE w:val="0"/>
      <w:autoSpaceDN w:val="0"/>
      <w:adjustRightInd w:val="0"/>
      <w:spacing w:line="360" w:lineRule="auto"/>
      <w:jc w:val="center"/>
    </w:pPr>
    <w:rPr>
      <w:rFonts w:ascii="Arial" w:hAnsi="Arial"/>
      <w:b/>
      <w:kern w:val="0"/>
      <w:sz w:val="56"/>
    </w:rPr>
  </w:style>
  <w:style w:type="character" w:customStyle="1" w:styleId="116">
    <w:name w:val="--规划正文 Char Char"/>
    <w:qFormat/>
    <w:uiPriority w:val="0"/>
    <w:rPr>
      <w:rFonts w:eastAsia="宋体"/>
      <w:kern w:val="2"/>
      <w:sz w:val="24"/>
      <w:szCs w:val="24"/>
      <w:lang w:val="en-US" w:eastAsia="zh-CN" w:bidi="ar-SA"/>
    </w:rPr>
  </w:style>
  <w:style w:type="paragraph" w:customStyle="1" w:styleId="117">
    <w:name w:val="样式3"/>
    <w:basedOn w:val="2"/>
    <w:qFormat/>
    <w:uiPriority w:val="0"/>
    <w:pPr>
      <w:numPr>
        <w:ilvl w:val="0"/>
        <w:numId w:val="5"/>
      </w:numPr>
      <w:spacing w:before="240" w:after="240" w:line="480" w:lineRule="auto"/>
      <w:ind w:right="210" w:rightChars="100"/>
      <w:jc w:val="left"/>
    </w:pPr>
    <w:rPr>
      <w:rFonts w:ascii="Times New Roman" w:hAnsi="Times New Roman"/>
      <w:sz w:val="32"/>
    </w:rPr>
  </w:style>
  <w:style w:type="character" w:customStyle="1" w:styleId="118">
    <w:name w:val="--规划正文 Char1"/>
    <w:qFormat/>
    <w:uiPriority w:val="0"/>
    <w:rPr>
      <w:rFonts w:eastAsia="宋体"/>
      <w:kern w:val="2"/>
      <w:sz w:val="21"/>
      <w:lang w:val="en-US" w:eastAsia="zh-CN" w:bidi="ar-SA"/>
    </w:rPr>
  </w:style>
  <w:style w:type="paragraph" w:customStyle="1" w:styleId="119">
    <w:name w:val="word"/>
    <w:basedOn w:val="1"/>
    <w:qFormat/>
    <w:uiPriority w:val="0"/>
    <w:pPr>
      <w:widowControl/>
      <w:spacing w:before="100" w:beforeAutospacing="1" w:after="100" w:afterAutospacing="1" w:line="301" w:lineRule="atLeast"/>
      <w:jc w:val="left"/>
    </w:pPr>
    <w:rPr>
      <w:rFonts w:ascii="ˎ̥" w:hAnsi="ˎ̥"/>
      <w:color w:val="000000"/>
      <w:kern w:val="0"/>
      <w:sz w:val="20"/>
      <w:szCs w:val="20"/>
    </w:rPr>
  </w:style>
  <w:style w:type="paragraph" w:customStyle="1" w:styleId="120">
    <w:name w:val="列表项目"/>
    <w:basedOn w:val="1"/>
    <w:qFormat/>
    <w:uiPriority w:val="0"/>
    <w:pPr>
      <w:tabs>
        <w:tab w:val="left" w:pos="420"/>
        <w:tab w:val="left" w:pos="1080"/>
      </w:tabs>
      <w:spacing w:line="288" w:lineRule="auto"/>
      <w:ind w:left="1080" w:hanging="360"/>
    </w:pPr>
    <w:rPr>
      <w:sz w:val="24"/>
      <w:szCs w:val="20"/>
    </w:rPr>
  </w:style>
  <w:style w:type="character" w:customStyle="1" w:styleId="121">
    <w:name w:val="content1"/>
    <w:qFormat/>
    <w:uiPriority w:val="0"/>
    <w:rPr>
      <w:rFonts w:hint="default" w:ascii="??" w:hAnsi="??"/>
      <w:sz w:val="16"/>
      <w:szCs w:val="16"/>
      <w:u w:val="none"/>
    </w:rPr>
  </w:style>
  <w:style w:type="character" w:customStyle="1" w:styleId="122">
    <w:name w:val="unnamed4"/>
    <w:basedOn w:val="44"/>
    <w:qFormat/>
    <w:uiPriority w:val="0"/>
  </w:style>
  <w:style w:type="character" w:customStyle="1" w:styleId="123">
    <w:name w:val="font2"/>
    <w:basedOn w:val="44"/>
    <w:qFormat/>
    <w:uiPriority w:val="0"/>
  </w:style>
  <w:style w:type="character" w:customStyle="1" w:styleId="124">
    <w:name w:val="font41"/>
    <w:qFormat/>
    <w:uiPriority w:val="0"/>
    <w:rPr>
      <w:color w:val="000000"/>
      <w:spacing w:val="260"/>
      <w:sz w:val="18"/>
      <w:szCs w:val="18"/>
      <w:u w:val="none"/>
    </w:rPr>
  </w:style>
  <w:style w:type="paragraph" w:customStyle="1" w:styleId="125">
    <w:name w:val="正文(首行缩进)"/>
    <w:qFormat/>
    <w:uiPriority w:val="0"/>
    <w:pPr>
      <w:spacing w:line="360" w:lineRule="auto"/>
      <w:ind w:firstLine="488" w:firstLineChars="200"/>
      <w:jc w:val="both"/>
    </w:pPr>
    <w:rPr>
      <w:rFonts w:ascii="Times New Roman" w:hAnsi="Times New Roman" w:eastAsia="仿宋_GB2312" w:cs="Times New Roman"/>
      <w:spacing w:val="2"/>
      <w:sz w:val="24"/>
      <w:szCs w:val="24"/>
      <w:lang w:val="en-US" w:eastAsia="zh-CN" w:bidi="ar-SA"/>
    </w:rPr>
  </w:style>
  <w:style w:type="paragraph" w:customStyle="1" w:styleId="126">
    <w:name w:val="xl72"/>
    <w:basedOn w:val="1"/>
    <w:qFormat/>
    <w:uiPriority w:val="0"/>
    <w:pPr>
      <w:widowControl/>
      <w:spacing w:before="100" w:beforeAutospacing="1" w:after="100" w:afterAutospacing="1"/>
      <w:jc w:val="left"/>
    </w:pPr>
    <w:rPr>
      <w:rFonts w:ascii="宋体" w:hAnsi="宋体"/>
      <w:b/>
      <w:bCs/>
      <w:kern w:val="0"/>
      <w:sz w:val="28"/>
      <w:szCs w:val="28"/>
    </w:rPr>
  </w:style>
  <w:style w:type="character" w:customStyle="1" w:styleId="127">
    <w:name w:val="正文首行缩进 Char"/>
    <w:link w:val="41"/>
    <w:qFormat/>
    <w:uiPriority w:val="0"/>
    <w:rPr>
      <w:rFonts w:eastAsia="宋体"/>
      <w:b/>
      <w:bCs/>
      <w:kern w:val="2"/>
      <w:sz w:val="21"/>
      <w:szCs w:val="24"/>
      <w:lang w:val="en-US" w:eastAsia="zh-CN" w:bidi="ar-SA"/>
    </w:rPr>
  </w:style>
  <w:style w:type="paragraph" w:customStyle="1" w:styleId="128">
    <w:name w:val="正文(首行缩进) Char"/>
    <w:qFormat/>
    <w:uiPriority w:val="0"/>
    <w:pPr>
      <w:spacing w:before="120" w:after="60" w:line="360" w:lineRule="auto"/>
      <w:ind w:firstLine="200" w:firstLineChars="200"/>
    </w:pPr>
    <w:rPr>
      <w:rFonts w:ascii="Times New Roman" w:hAnsi="Times New Roman" w:eastAsia="仿宋_GB2312" w:cs="Times New Roman"/>
      <w:spacing w:val="2"/>
      <w:kern w:val="24"/>
      <w:sz w:val="24"/>
      <w:szCs w:val="24"/>
      <w:lang w:val="en-US" w:eastAsia="zh-CN" w:bidi="ar-SA"/>
    </w:rPr>
  </w:style>
  <w:style w:type="paragraph" w:customStyle="1" w:styleId="129">
    <w:name w:val="汉议细等线简8"/>
    <w:qFormat/>
    <w:uiPriority w:val="0"/>
    <w:pPr>
      <w:widowControl w:val="0"/>
      <w:autoSpaceDE w:val="0"/>
      <w:autoSpaceDN w:val="0"/>
      <w:adjustRightInd w:val="0"/>
      <w:spacing w:line="260" w:lineRule="atLeast"/>
      <w:jc w:val="both"/>
    </w:pPr>
    <w:rPr>
      <w:rFonts w:ascii="汉仪细等线简" w:hAnsi="Times New Roman" w:eastAsia="汉仪细等线简" w:cs="Times New Roman"/>
      <w:color w:val="000000"/>
      <w:sz w:val="16"/>
      <w:szCs w:val="16"/>
      <w:lang w:val="en-US" w:eastAsia="zh-CN" w:bidi="ar-SA"/>
    </w:rPr>
  </w:style>
  <w:style w:type="paragraph" w:customStyle="1" w:styleId="130">
    <w:name w:val="汉仪细等线简9BOLD"/>
    <w:basedOn w:val="1"/>
    <w:qFormat/>
    <w:uiPriority w:val="0"/>
    <w:pPr>
      <w:autoSpaceDE w:val="0"/>
      <w:autoSpaceDN w:val="0"/>
      <w:adjustRightInd w:val="0"/>
      <w:spacing w:line="240" w:lineRule="atLeast"/>
    </w:pPr>
    <w:rPr>
      <w:rFonts w:ascii="汉仪细等线简" w:eastAsia="汉仪细等线简"/>
      <w:b/>
      <w:bCs/>
      <w:kern w:val="0"/>
      <w:sz w:val="18"/>
      <w:szCs w:val="18"/>
    </w:rPr>
  </w:style>
  <w:style w:type="character" w:customStyle="1" w:styleId="131">
    <w:name w:val="mode"/>
    <w:basedOn w:val="44"/>
    <w:qFormat/>
    <w:uiPriority w:val="0"/>
  </w:style>
  <w:style w:type="paragraph" w:customStyle="1" w:styleId="132">
    <w:name w:val="9"/>
    <w:basedOn w:val="1"/>
    <w:next w:val="7"/>
    <w:qFormat/>
    <w:uiPriority w:val="0"/>
    <w:pPr>
      <w:autoSpaceDE w:val="0"/>
      <w:autoSpaceDN w:val="0"/>
      <w:adjustRightInd w:val="0"/>
      <w:ind w:firstLine="420"/>
      <w:jc w:val="left"/>
      <w:textAlignment w:val="baseline"/>
    </w:pPr>
    <w:rPr>
      <w:rFonts w:ascii="宋体"/>
      <w:kern w:val="0"/>
      <w:sz w:val="34"/>
      <w:szCs w:val="20"/>
    </w:rPr>
  </w:style>
  <w:style w:type="character" w:customStyle="1" w:styleId="133">
    <w:name w:val="unnamed3"/>
    <w:basedOn w:val="44"/>
    <w:qFormat/>
    <w:uiPriority w:val="0"/>
  </w:style>
  <w:style w:type="paragraph" w:customStyle="1" w:styleId="134">
    <w:name w:val="8"/>
    <w:basedOn w:val="1"/>
    <w:next w:val="19"/>
    <w:qFormat/>
    <w:uiPriority w:val="0"/>
    <w:pPr>
      <w:spacing w:after="120"/>
      <w:ind w:left="420" w:leftChars="200"/>
    </w:pPr>
  </w:style>
  <w:style w:type="paragraph" w:customStyle="1" w:styleId="135">
    <w:name w:val="7"/>
    <w:basedOn w:val="1"/>
    <w:qFormat/>
    <w:uiPriority w:val="0"/>
    <w:pPr>
      <w:autoSpaceDE w:val="0"/>
      <w:autoSpaceDN w:val="0"/>
      <w:adjustRightInd w:val="0"/>
      <w:spacing w:line="270" w:lineRule="atLeast"/>
      <w:jc w:val="left"/>
    </w:pPr>
    <w:rPr>
      <w:rFonts w:ascii="宋体"/>
      <w:kern w:val="0"/>
      <w:sz w:val="18"/>
      <w:szCs w:val="18"/>
    </w:rPr>
  </w:style>
  <w:style w:type="paragraph" w:customStyle="1" w:styleId="136">
    <w:name w:val="00"/>
    <w:basedOn w:val="1"/>
    <w:qFormat/>
    <w:uiPriority w:val="0"/>
    <w:pPr>
      <w:autoSpaceDE w:val="0"/>
      <w:autoSpaceDN w:val="0"/>
      <w:adjustRightInd w:val="0"/>
      <w:jc w:val="left"/>
    </w:pPr>
    <w:rPr>
      <w:rFonts w:ascii="黑体" w:eastAsia="黑体"/>
      <w:b/>
      <w:bCs/>
      <w:kern w:val="0"/>
      <w:sz w:val="20"/>
      <w:szCs w:val="20"/>
    </w:rPr>
  </w:style>
  <w:style w:type="paragraph" w:customStyle="1" w:styleId="137">
    <w:name w:val="5"/>
    <w:basedOn w:val="1"/>
    <w:qFormat/>
    <w:uiPriority w:val="0"/>
    <w:pPr>
      <w:autoSpaceDE w:val="0"/>
      <w:autoSpaceDN w:val="0"/>
      <w:adjustRightInd w:val="0"/>
      <w:jc w:val="left"/>
    </w:pPr>
    <w:rPr>
      <w:rFonts w:ascii="宋体"/>
      <w:b/>
      <w:bCs/>
      <w:kern w:val="0"/>
      <w:sz w:val="18"/>
      <w:szCs w:val="18"/>
    </w:rPr>
  </w:style>
  <w:style w:type="paragraph" w:customStyle="1" w:styleId="138">
    <w:name w:val="6"/>
    <w:basedOn w:val="137"/>
    <w:qFormat/>
    <w:uiPriority w:val="0"/>
    <w:pPr>
      <w:spacing w:line="270" w:lineRule="atLeast"/>
      <w:jc w:val="both"/>
    </w:pPr>
    <w:rPr>
      <w:b w:val="0"/>
      <w:bCs w:val="0"/>
    </w:rPr>
  </w:style>
  <w:style w:type="paragraph" w:customStyle="1" w:styleId="139">
    <w:name w:val="产品描述"/>
    <w:qFormat/>
    <w:uiPriority w:val="0"/>
    <w:pPr>
      <w:widowControl w:val="0"/>
      <w:autoSpaceDE w:val="0"/>
      <w:autoSpaceDN w:val="0"/>
      <w:adjustRightInd w:val="0"/>
      <w:spacing w:line="270" w:lineRule="atLeast"/>
      <w:ind w:firstLine="397"/>
      <w:jc w:val="both"/>
    </w:pPr>
    <w:rPr>
      <w:rFonts w:ascii="宋体" w:hAnsi="Times New Roman" w:eastAsia="宋体" w:cs="Times New Roman"/>
      <w:sz w:val="18"/>
      <w:szCs w:val="18"/>
      <w:lang w:val="en-US" w:eastAsia="zh-CN" w:bidi="ar-SA"/>
    </w:rPr>
  </w:style>
  <w:style w:type="paragraph" w:customStyle="1" w:styleId="140">
    <w:name w:val="姜文清定义的正文"/>
    <w:basedOn w:val="1"/>
    <w:qFormat/>
    <w:uiPriority w:val="0"/>
    <w:pPr>
      <w:spacing w:line="240" w:lineRule="atLeast"/>
      <w:ind w:firstLine="567"/>
    </w:pPr>
    <w:rPr>
      <w:szCs w:val="20"/>
    </w:rPr>
  </w:style>
  <w:style w:type="paragraph" w:customStyle="1" w:styleId="141">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142">
    <w:name w:val="CM2"/>
    <w:basedOn w:val="141"/>
    <w:next w:val="141"/>
    <w:qFormat/>
    <w:uiPriority w:val="0"/>
    <w:pPr>
      <w:spacing w:line="200" w:lineRule="atLeast"/>
    </w:pPr>
    <w:rPr>
      <w:rFonts w:ascii="Arial" w:hAnsi="Arial" w:eastAsia="宋体" w:cs="Times New Roman"/>
      <w:color w:val="auto"/>
    </w:rPr>
  </w:style>
  <w:style w:type="paragraph" w:customStyle="1" w:styleId="143">
    <w:name w:val="Normal Paragraph"/>
    <w:basedOn w:val="1"/>
    <w:qFormat/>
    <w:uiPriority w:val="0"/>
    <w:pPr>
      <w:widowControl/>
      <w:spacing w:before="120" w:line="360" w:lineRule="auto"/>
      <w:ind w:firstLine="425"/>
    </w:pPr>
    <w:rPr>
      <w:kern w:val="0"/>
      <w:sz w:val="24"/>
    </w:rPr>
  </w:style>
  <w:style w:type="character" w:customStyle="1" w:styleId="144">
    <w:name w:val="blue"/>
    <w:basedOn w:val="44"/>
    <w:qFormat/>
    <w:uiPriority w:val="0"/>
  </w:style>
  <w:style w:type="paragraph" w:customStyle="1" w:styleId="145">
    <w:name w:val="blue1"/>
    <w:basedOn w:val="1"/>
    <w:qFormat/>
    <w:uiPriority w:val="0"/>
    <w:pPr>
      <w:widowControl/>
      <w:spacing w:before="100" w:beforeAutospacing="1" w:after="100" w:afterAutospacing="1"/>
      <w:jc w:val="left"/>
    </w:pPr>
    <w:rPr>
      <w:rFonts w:ascii="宋体" w:hAnsi="宋体" w:cs="宋体"/>
      <w:kern w:val="0"/>
      <w:sz w:val="24"/>
    </w:rPr>
  </w:style>
  <w:style w:type="character" w:customStyle="1" w:styleId="146">
    <w:name w:val="font"/>
    <w:basedOn w:val="44"/>
    <w:qFormat/>
    <w:uiPriority w:val="0"/>
  </w:style>
  <w:style w:type="character" w:customStyle="1" w:styleId="147">
    <w:name w:val="font11"/>
    <w:qFormat/>
    <w:uiPriority w:val="0"/>
    <w:rPr>
      <w:rFonts w:hint="default" w:ascii="ˎ̥" w:hAnsi="ˎ̥"/>
    </w:rPr>
  </w:style>
  <w:style w:type="paragraph" w:customStyle="1" w:styleId="148">
    <w:name w:val="a14"/>
    <w:basedOn w:val="1"/>
    <w:qFormat/>
    <w:uiPriority w:val="0"/>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149">
    <w:name w:val="proddescription"/>
    <w:basedOn w:val="44"/>
    <w:qFormat/>
    <w:uiPriority w:val="0"/>
  </w:style>
  <w:style w:type="character" w:customStyle="1" w:styleId="150">
    <w:name w:val="prodheadlines"/>
    <w:basedOn w:val="44"/>
    <w:qFormat/>
    <w:uiPriority w:val="0"/>
  </w:style>
  <w:style w:type="character" w:customStyle="1" w:styleId="151">
    <w:name w:val="text"/>
    <w:basedOn w:val="44"/>
    <w:qFormat/>
    <w:uiPriority w:val="0"/>
  </w:style>
  <w:style w:type="paragraph" w:customStyle="1" w:styleId="152">
    <w:name w:val="text1"/>
    <w:basedOn w:val="1"/>
    <w:qFormat/>
    <w:uiPriority w:val="0"/>
    <w:pPr>
      <w:widowControl/>
      <w:spacing w:before="100" w:beforeAutospacing="1" w:after="100" w:afterAutospacing="1"/>
      <w:jc w:val="left"/>
    </w:pPr>
    <w:rPr>
      <w:rFonts w:ascii="宋体" w:hAnsi="宋体" w:cs="宋体"/>
      <w:kern w:val="0"/>
      <w:sz w:val="24"/>
    </w:rPr>
  </w:style>
  <w:style w:type="paragraph" w:customStyle="1" w:styleId="153">
    <w:name w:val="z-窗体顶端1"/>
    <w:basedOn w:val="1"/>
    <w:next w:val="1"/>
    <w:hidden/>
    <w:qFormat/>
    <w:uiPriority w:val="0"/>
    <w:pPr>
      <w:widowControl/>
      <w:pBdr>
        <w:bottom w:val="single" w:color="auto" w:sz="6" w:space="1"/>
      </w:pBdr>
      <w:jc w:val="center"/>
    </w:pPr>
    <w:rPr>
      <w:rFonts w:ascii="Arial" w:hAnsi="Arial" w:cs="Arial"/>
      <w:vanish/>
      <w:kern w:val="0"/>
      <w:sz w:val="16"/>
      <w:szCs w:val="16"/>
    </w:rPr>
  </w:style>
  <w:style w:type="paragraph" w:customStyle="1" w:styleId="154">
    <w:name w:val="z-窗体底端1"/>
    <w:basedOn w:val="1"/>
    <w:next w:val="1"/>
    <w:hidden/>
    <w:qFormat/>
    <w:uiPriority w:val="0"/>
    <w:pPr>
      <w:widowControl/>
      <w:pBdr>
        <w:top w:val="single" w:color="auto" w:sz="6" w:space="1"/>
      </w:pBdr>
      <w:jc w:val="center"/>
    </w:pPr>
    <w:rPr>
      <w:rFonts w:ascii="Arial" w:hAnsi="Arial" w:cs="Arial"/>
      <w:vanish/>
      <w:kern w:val="0"/>
      <w:sz w:val="16"/>
      <w:szCs w:val="16"/>
    </w:rPr>
  </w:style>
  <w:style w:type="paragraph" w:customStyle="1" w:styleId="155">
    <w:name w:val="正文样式"/>
    <w:basedOn w:val="1"/>
    <w:qFormat/>
    <w:uiPriority w:val="0"/>
    <w:pPr>
      <w:adjustRightInd w:val="0"/>
      <w:spacing w:line="400" w:lineRule="atLeast"/>
      <w:ind w:firstLine="570" w:firstLineChars="203"/>
      <w:textAlignment w:val="baseline"/>
    </w:pPr>
    <w:rPr>
      <w:rFonts w:eastAsia="仿宋_GB2312"/>
      <w:kern w:val="0"/>
      <w:sz w:val="28"/>
      <w:szCs w:val="20"/>
    </w:rPr>
  </w:style>
  <w:style w:type="paragraph" w:customStyle="1" w:styleId="156">
    <w:name w:val="xl34"/>
    <w:basedOn w:val="1"/>
    <w:qFormat/>
    <w:uiPriority w:val="0"/>
    <w:pPr>
      <w:widowControl/>
      <w:pBdr>
        <w:left w:val="single" w:color="auto" w:sz="4" w:space="0"/>
      </w:pBdr>
      <w:spacing w:before="100" w:beforeAutospacing="1" w:after="100" w:afterAutospacing="1"/>
      <w:jc w:val="center"/>
      <w:textAlignment w:val="center"/>
    </w:pPr>
    <w:rPr>
      <w:rFonts w:ascii="宋体" w:hAnsi="宋体"/>
      <w:kern w:val="0"/>
      <w:sz w:val="24"/>
    </w:rPr>
  </w:style>
  <w:style w:type="paragraph" w:customStyle="1" w:styleId="157">
    <w:name w:val="段落正文"/>
    <w:basedOn w:val="22"/>
    <w:qFormat/>
    <w:uiPriority w:val="0"/>
    <w:pPr>
      <w:ind w:firstLine="560" w:firstLineChars="200"/>
    </w:pPr>
    <w:rPr>
      <w:sz w:val="28"/>
    </w:rPr>
  </w:style>
  <w:style w:type="character" w:customStyle="1" w:styleId="158">
    <w:name w:val="gray6"/>
    <w:basedOn w:val="44"/>
    <w:qFormat/>
    <w:uiPriority w:val="0"/>
  </w:style>
  <w:style w:type="character" w:customStyle="1" w:styleId="159">
    <w:name w:val="style9"/>
    <w:basedOn w:val="44"/>
    <w:qFormat/>
    <w:uiPriority w:val="0"/>
  </w:style>
  <w:style w:type="paragraph" w:customStyle="1" w:styleId="160">
    <w:name w:val="2册标题4"/>
    <w:basedOn w:val="1"/>
    <w:next w:val="1"/>
    <w:qFormat/>
    <w:uiPriority w:val="0"/>
    <w:pPr>
      <w:spacing w:beforeLines="50" w:afterLines="50" w:line="300" w:lineRule="auto"/>
      <w:ind w:left="420" w:leftChars="200"/>
      <w:outlineLvl w:val="3"/>
    </w:pPr>
    <w:rPr>
      <w:rFonts w:ascii="Arial" w:hAnsi="Arial" w:eastAsia="幼圆" w:cs="Arial"/>
      <w:b/>
      <w:sz w:val="24"/>
    </w:rPr>
  </w:style>
  <w:style w:type="character" w:customStyle="1" w:styleId="161">
    <w:name w:val="grame"/>
    <w:basedOn w:val="44"/>
    <w:qFormat/>
    <w:uiPriority w:val="0"/>
  </w:style>
  <w:style w:type="paragraph" w:customStyle="1" w:styleId="162">
    <w:name w:val="style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63">
    <w:name w:val="Char1"/>
    <w:basedOn w:val="1"/>
    <w:qFormat/>
    <w:uiPriority w:val="0"/>
    <w:pPr>
      <w:jc w:val="left"/>
    </w:pPr>
    <w:rPr>
      <w:rFonts w:ascii="Tahoma" w:hAnsi="Tahoma"/>
      <w:sz w:val="24"/>
      <w:szCs w:val="20"/>
    </w:rPr>
  </w:style>
  <w:style w:type="paragraph" w:customStyle="1" w:styleId="164">
    <w:name w:val="编号1"/>
    <w:basedOn w:val="1"/>
    <w:qFormat/>
    <w:uiPriority w:val="0"/>
    <w:pPr>
      <w:numPr>
        <w:ilvl w:val="0"/>
        <w:numId w:val="6"/>
      </w:numPr>
      <w:adjustRightInd w:val="0"/>
      <w:spacing w:line="300" w:lineRule="auto"/>
      <w:ind w:right="210"/>
      <w:textAlignment w:val="center"/>
    </w:pPr>
    <w:rPr>
      <w:rFonts w:ascii="宋体" w:hAnsi="宋体"/>
      <w:snapToGrid w:val="0"/>
      <w:spacing w:val="10"/>
      <w:kern w:val="24"/>
    </w:rPr>
  </w:style>
  <w:style w:type="paragraph" w:customStyle="1" w:styleId="165">
    <w:name w:val="Char Char Char Char Char Char Char Char Char Char Char Char Char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166">
    <w:name w:val="font0"/>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167">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68">
    <w:name w:val="font6"/>
    <w:basedOn w:val="1"/>
    <w:qFormat/>
    <w:uiPriority w:val="0"/>
    <w:pPr>
      <w:widowControl/>
      <w:spacing w:before="100" w:beforeAutospacing="1" w:after="100" w:afterAutospacing="1"/>
      <w:jc w:val="left"/>
    </w:pPr>
    <w:rPr>
      <w:kern w:val="0"/>
      <w:sz w:val="24"/>
    </w:rPr>
  </w:style>
  <w:style w:type="paragraph" w:customStyle="1" w:styleId="169">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170">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71">
    <w:name w:val="表格字"/>
    <w:basedOn w:val="1"/>
    <w:qFormat/>
    <w:uiPriority w:val="0"/>
    <w:pPr>
      <w:adjustRightInd w:val="0"/>
      <w:jc w:val="center"/>
    </w:pPr>
    <w:rPr>
      <w:rFonts w:ascii="宋体"/>
      <w:sz w:val="24"/>
      <w:szCs w:val="20"/>
    </w:rPr>
  </w:style>
  <w:style w:type="character" w:customStyle="1" w:styleId="172">
    <w:name w:val="样式 小三 加粗"/>
    <w:qFormat/>
    <w:uiPriority w:val="0"/>
    <w:rPr>
      <w:rFonts w:eastAsia="宋体"/>
      <w:b/>
      <w:bCs/>
      <w:sz w:val="32"/>
    </w:rPr>
  </w:style>
  <w:style w:type="paragraph" w:customStyle="1" w:styleId="173">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74">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75">
    <w:name w:val="Char Char Char"/>
    <w:basedOn w:val="1"/>
    <w:qFormat/>
    <w:uiPriority w:val="0"/>
    <w:rPr>
      <w:rFonts w:ascii="Tahoma" w:hAnsi="Tahoma"/>
      <w:sz w:val="24"/>
      <w:szCs w:val="20"/>
    </w:rPr>
  </w:style>
  <w:style w:type="paragraph" w:customStyle="1" w:styleId="176">
    <w:name w:val="Char2"/>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177">
    <w:name w:val="info4"/>
    <w:basedOn w:val="44"/>
    <w:qFormat/>
    <w:uiPriority w:val="0"/>
  </w:style>
  <w:style w:type="paragraph" w:customStyle="1" w:styleId="178">
    <w:name w:val="缩进正文"/>
    <w:basedOn w:val="1"/>
    <w:link w:val="179"/>
    <w:qFormat/>
    <w:uiPriority w:val="0"/>
    <w:pPr>
      <w:ind w:firstLine="560" w:firstLineChars="200"/>
    </w:pPr>
    <w:rPr>
      <w:rFonts w:eastAsia="仿宋_GB2312" w:cs="宋体"/>
      <w:sz w:val="28"/>
      <w:szCs w:val="20"/>
    </w:rPr>
  </w:style>
  <w:style w:type="character" w:customStyle="1" w:styleId="179">
    <w:name w:val="缩进正文 Char"/>
    <w:link w:val="178"/>
    <w:qFormat/>
    <w:uiPriority w:val="0"/>
    <w:rPr>
      <w:rFonts w:eastAsia="仿宋_GB2312" w:cs="宋体"/>
      <w:kern w:val="2"/>
      <w:sz w:val="28"/>
      <w:lang w:val="en-US" w:eastAsia="zh-CN" w:bidi="ar-SA"/>
    </w:rPr>
  </w:style>
  <w:style w:type="paragraph" w:customStyle="1" w:styleId="180">
    <w:name w:val="列出段落1"/>
    <w:basedOn w:val="1"/>
    <w:qFormat/>
    <w:uiPriority w:val="0"/>
    <w:pPr>
      <w:ind w:firstLine="420" w:firstLineChars="200"/>
    </w:pPr>
    <w:rPr>
      <w:rFonts w:ascii="Calibri" w:hAnsi="Calibri" w:cs="Calibri"/>
      <w:szCs w:val="21"/>
    </w:rPr>
  </w:style>
  <w:style w:type="character" w:customStyle="1" w:styleId="181">
    <w:name w:val="批注文字 Char"/>
    <w:basedOn w:val="44"/>
    <w:link w:val="16"/>
    <w:qFormat/>
    <w:uiPriority w:val="0"/>
    <w:rPr>
      <w:rFonts w:ascii="宋体"/>
      <w:sz w:val="34"/>
    </w:rPr>
  </w:style>
  <w:style w:type="character" w:customStyle="1" w:styleId="182">
    <w:name w:val="批注主题 Char"/>
    <w:basedOn w:val="181"/>
    <w:link w:val="40"/>
    <w:qFormat/>
    <w:uiPriority w:val="99"/>
    <w:rPr>
      <w:rFonts w:ascii="宋体"/>
      <w:sz w:val="34"/>
    </w:rPr>
  </w:style>
  <w:style w:type="paragraph" w:customStyle="1" w:styleId="183">
    <w:name w:val="评价"/>
    <w:basedOn w:val="1"/>
    <w:qFormat/>
    <w:uiPriority w:val="0"/>
    <w:pPr>
      <w:spacing w:afterLines="20"/>
      <w:ind w:firstLine="1446" w:firstLineChars="200"/>
    </w:pPr>
    <w:rPr>
      <w:rFonts w:ascii="Calibri" w:hAnsi="Calibri"/>
      <w:sz w:val="24"/>
    </w:rPr>
  </w:style>
  <w:style w:type="paragraph" w:customStyle="1" w:styleId="184">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185">
    <w:name w:val="alt-edited1"/>
    <w:qFormat/>
    <w:uiPriority w:val="0"/>
    <w:rPr>
      <w:color w:val="4D90F0"/>
    </w:rPr>
  </w:style>
  <w:style w:type="character" w:customStyle="1" w:styleId="186">
    <w:name w:val="body text Char1"/>
    <w:qFormat/>
    <w:uiPriority w:val="0"/>
    <w:rPr>
      <w:rFonts w:eastAsia="宋体"/>
      <w:kern w:val="2"/>
      <w:sz w:val="21"/>
      <w:lang w:val="en-US" w:eastAsia="zh-CN" w:bidi="ar-SA"/>
    </w:rPr>
  </w:style>
  <w:style w:type="character" w:customStyle="1" w:styleId="187">
    <w:name w:val="普通(网站) Char"/>
    <w:link w:val="37"/>
    <w:qFormat/>
    <w:uiPriority w:val="0"/>
    <w:rPr>
      <w:kern w:val="2"/>
      <w:sz w:val="24"/>
      <w:szCs w:val="24"/>
    </w:rPr>
  </w:style>
  <w:style w:type="character" w:customStyle="1" w:styleId="188">
    <w:name w:val="批注文字 Char1"/>
    <w:qFormat/>
    <w:uiPriority w:val="99"/>
    <w:rPr>
      <w:rFonts w:ascii="宋体"/>
      <w:sz w:val="34"/>
    </w:rPr>
  </w:style>
  <w:style w:type="character" w:customStyle="1" w:styleId="189">
    <w:name w:val="正文缩进 Char1"/>
    <w:qFormat/>
    <w:uiPriority w:val="0"/>
    <w:rPr>
      <w:rFonts w:eastAsia="宋体"/>
      <w:kern w:val="2"/>
      <w:sz w:val="21"/>
      <w:lang w:val="en-US" w:eastAsia="zh-CN" w:bidi="ar-SA"/>
    </w:rPr>
  </w:style>
  <w:style w:type="paragraph" w:customStyle="1" w:styleId="190">
    <w:name w:val="_Style 3"/>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jpe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image" Target="media/image5.jpeg"/><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4477C1-7AF7-4C84-B0F9-E48EDA89E386}">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55</Pages>
  <Words>44650</Words>
  <Characters>46625</Characters>
  <Lines>373</Lines>
  <Paragraphs>105</Paragraphs>
  <TotalTime>6</TotalTime>
  <ScaleCrop>false</ScaleCrop>
  <LinksUpToDate>false</LinksUpToDate>
  <CharactersWithSpaces>50814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2021-09-27T09:03:00Z</dcterms:created>
  <dc:creator>thsware</dc:creator>
  <cp:lastModifiedBy>dell</cp:lastModifiedBy>
  <cp:lastPrinted>2021-05-09T08:02:00Z</cp:lastPrinted>
  <dcterms:modified xsi:type="dcterms:W3CDTF">2024-07-04T00:19:45Z</dcterms:modified>
  <dc:title>招  标　文　件</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96BFC1CEAA7F43848AA063F0F7AC0228</vt:lpwstr>
  </property>
</Properties>
</file>