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239AF">
      <w:pPr>
        <w:jc w:val="center"/>
        <w:rPr>
          <w:rFonts w:hint="eastAsia" w:ascii="仿宋" w:hAnsi="仿宋" w:eastAsia="仿宋" w:cs="仿宋"/>
          <w:b/>
          <w:bCs/>
          <w:sz w:val="72"/>
          <w:szCs w:val="72"/>
        </w:rPr>
      </w:pPr>
    </w:p>
    <w:p w14:paraId="1AD033A5">
      <w:pPr>
        <w:jc w:val="center"/>
        <w:rPr>
          <w:rFonts w:hint="eastAsia" w:ascii="仿宋" w:hAnsi="仿宋" w:eastAsia="仿宋" w:cs="仿宋"/>
          <w:b/>
          <w:bCs/>
          <w:sz w:val="72"/>
          <w:szCs w:val="72"/>
        </w:rPr>
      </w:pPr>
    </w:p>
    <w:p w14:paraId="671C64C3">
      <w:pPr>
        <w:jc w:val="center"/>
        <w:rPr>
          <w:rFonts w:hint="eastAsia" w:ascii="仿宋" w:hAnsi="仿宋" w:eastAsia="仿宋" w:cs="仿宋"/>
          <w:b/>
          <w:bCs/>
          <w:sz w:val="72"/>
          <w:szCs w:val="72"/>
        </w:rPr>
      </w:pPr>
    </w:p>
    <w:p w14:paraId="42590952">
      <w:pPr>
        <w:jc w:val="center"/>
        <w:rPr>
          <w:rFonts w:hint="eastAsia" w:ascii="仿宋" w:hAnsi="仿宋" w:eastAsia="仿宋" w:cs="仿宋"/>
          <w:b/>
          <w:bCs/>
          <w:sz w:val="72"/>
          <w:szCs w:val="72"/>
        </w:rPr>
      </w:pPr>
    </w:p>
    <w:p w14:paraId="0FA4119A">
      <w:pPr>
        <w:jc w:val="center"/>
        <w:rPr>
          <w:rFonts w:hint="eastAsia" w:ascii="仿宋" w:hAnsi="仿宋" w:eastAsia="仿宋" w:cs="仿宋"/>
          <w:b/>
          <w:bCs/>
          <w:sz w:val="72"/>
          <w:szCs w:val="72"/>
        </w:rPr>
      </w:pPr>
    </w:p>
    <w:p w14:paraId="696109F7">
      <w:pPr>
        <w:spacing w:line="360" w:lineRule="auto"/>
        <w:jc w:val="center"/>
        <w:rPr>
          <w:rFonts w:hint="eastAsia" w:ascii="仿宋" w:hAnsi="仿宋" w:eastAsia="仿宋" w:cs="仿宋"/>
          <w:b/>
          <w:bCs/>
          <w:sz w:val="72"/>
          <w:szCs w:val="144"/>
        </w:rPr>
      </w:pPr>
      <w:r>
        <w:rPr>
          <w:rFonts w:hint="eastAsia" w:ascii="仿宋" w:hAnsi="仿宋" w:eastAsia="仿宋" w:cs="仿宋"/>
          <w:b/>
          <w:bCs/>
          <w:sz w:val="72"/>
          <w:szCs w:val="144"/>
        </w:rPr>
        <w:t>第二册  通用条款</w:t>
      </w:r>
    </w:p>
    <w:p w14:paraId="6C56800B">
      <w:pPr>
        <w:pStyle w:val="2"/>
        <w:spacing w:line="360" w:lineRule="auto"/>
        <w:rPr>
          <w:rFonts w:hint="eastAsia" w:ascii="仿宋" w:hAnsi="仿宋" w:eastAsia="仿宋" w:cs="仿宋"/>
          <w:sz w:val="24"/>
          <w:szCs w:val="32"/>
          <w:lang w:val="en-US" w:eastAsia="zh-CN"/>
        </w:rPr>
      </w:pPr>
    </w:p>
    <w:p w14:paraId="073AFA63">
      <w:pPr>
        <w:pStyle w:val="2"/>
        <w:spacing w:line="360" w:lineRule="auto"/>
        <w:rPr>
          <w:rFonts w:hint="eastAsia" w:ascii="仿宋" w:hAnsi="仿宋" w:eastAsia="仿宋" w:cs="仿宋"/>
          <w:sz w:val="24"/>
          <w:szCs w:val="32"/>
          <w:lang w:val="en-US" w:eastAsia="zh-CN"/>
        </w:rPr>
      </w:pPr>
    </w:p>
    <w:p w14:paraId="6B5FA080">
      <w:pP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br w:type="page"/>
      </w:r>
    </w:p>
    <w:p w14:paraId="31883257">
      <w:pPr>
        <w:pStyle w:val="2"/>
        <w:spacing w:line="360" w:lineRule="auto"/>
        <w:ind w:left="0" w:leftChars="0" w:firstLine="0" w:firstLineChars="0"/>
        <w:jc w:val="center"/>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第一章 总则</w:t>
      </w:r>
    </w:p>
    <w:p w14:paraId="5ADA9155">
      <w:pPr>
        <w:pStyle w:val="2"/>
        <w:spacing w:line="360" w:lineRule="auto"/>
        <w:ind w:left="0" w:leftChars="0" w:firstLine="0" w:firstLineChars="0"/>
        <w:rPr>
          <w:rFonts w:hint="eastAsia" w:ascii="仿宋" w:hAnsi="仿宋" w:eastAsia="仿宋" w:cs="仿宋"/>
          <w:b/>
          <w:bCs/>
          <w:sz w:val="24"/>
          <w:szCs w:val="32"/>
          <w:lang w:val="en-US" w:eastAsia="zh-CN"/>
        </w:rPr>
      </w:pPr>
    </w:p>
    <w:p w14:paraId="66D63B7E">
      <w:pPr>
        <w:pStyle w:val="2"/>
        <w:spacing w:line="360" w:lineRule="auto"/>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一、通用条款说明</w:t>
      </w:r>
    </w:p>
    <w:p w14:paraId="04B7BCA6">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1、采购代理机构发出采购文件通用条款版本，列出深圳市政府采购项目进行招标采购所适用的通用条款内容。如有需要，采购代理机构可以随这些条款增加附录或补充内容。</w:t>
      </w:r>
    </w:p>
    <w:p w14:paraId="555D4115">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2、本采购文件分为采购文件信息、第一册“专用条款”和第二册“通用条款”。</w:t>
      </w:r>
    </w:p>
    <w:p w14:paraId="154355C2">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3、“专用条款”是对本次采购项目的具体要求，包含投标人资格要求、采购项目需求、投标文件格式、附件等内容。</w:t>
      </w:r>
    </w:p>
    <w:p w14:paraId="39BE501C">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4、“通用条款”是通用于政府采购项目的基础性条款，具有普遍性和通用性。</w:t>
      </w:r>
    </w:p>
    <w:p w14:paraId="4EB52A21">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5、“专用条款”和“通用条款”表述不一致或有冲突时，以“专用条款”为准。</w:t>
      </w:r>
    </w:p>
    <w:p w14:paraId="1717ACF6">
      <w:pPr>
        <w:pStyle w:val="2"/>
        <w:spacing w:line="360" w:lineRule="auto"/>
        <w:ind w:left="0" w:leftChars="0" w:firstLine="0" w:firstLineChars="0"/>
        <w:rPr>
          <w:rFonts w:hint="eastAsia" w:ascii="仿宋" w:hAnsi="仿宋" w:eastAsia="仿宋" w:cs="仿宋"/>
          <w:b/>
          <w:bCs/>
          <w:sz w:val="24"/>
          <w:szCs w:val="32"/>
          <w:lang w:val="en-US" w:eastAsia="zh-CN"/>
        </w:rPr>
      </w:pPr>
    </w:p>
    <w:p w14:paraId="715A681D">
      <w:pPr>
        <w:pStyle w:val="2"/>
        <w:spacing w:line="360" w:lineRule="auto"/>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二、采购说明</w:t>
      </w:r>
    </w:p>
    <w:p w14:paraId="08FE254F">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本项目按照《深圳经济特区政府采购条例》、《深圳经济特区政府采购条例实施细则》等政府采购其他法律法规，通过采购文件规定的采购方式确定中标供应商。</w:t>
      </w:r>
    </w:p>
    <w:p w14:paraId="4CDF0E73">
      <w:pPr>
        <w:pStyle w:val="2"/>
        <w:spacing w:line="360" w:lineRule="auto"/>
        <w:ind w:left="0" w:leftChars="0" w:firstLine="0" w:firstLineChars="0"/>
        <w:rPr>
          <w:rFonts w:hint="eastAsia" w:ascii="仿宋" w:hAnsi="仿宋" w:eastAsia="仿宋" w:cs="仿宋"/>
          <w:sz w:val="24"/>
          <w:szCs w:val="32"/>
          <w:lang w:val="en-US" w:eastAsia="zh-CN"/>
        </w:rPr>
      </w:pPr>
    </w:p>
    <w:p w14:paraId="67F48402">
      <w:pPr>
        <w:pStyle w:val="2"/>
        <w:spacing w:line="360" w:lineRule="auto"/>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三、定义</w:t>
      </w:r>
    </w:p>
    <w:p w14:paraId="79D5EDDB">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采购文件中下列术语应解释为：</w:t>
      </w:r>
    </w:p>
    <w:p w14:paraId="7E9B5438">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1、“政府集中采购机构”是指市政府设立的，对纳入集中采购目录内的采购项目组织实施采购，并对政府采购活动提供服务的专门机构；本文件所述的“政府集中采购机构”指深圳公共资源交易中心。</w:t>
      </w:r>
    </w:p>
    <w:p w14:paraId="3497CA62">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2、“采购代理机构”是指根据采购人委托，代理政府采购事宜的社会采购代理机构。本采购文件的采购机构特指“深圳市中正招标有限公司”。</w:t>
      </w:r>
    </w:p>
    <w:p w14:paraId="157F0F14">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3、“采购人”是指利用财政性资金依法进行政府采购的国家机关、事业单位、团体组织。</w:t>
      </w:r>
    </w:p>
    <w:p w14:paraId="05055080">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4、“投标人”即供应商，指参加投标竞争并愿意按照采购文件要求向采购人提供货物、工程或者服务的依法成立的法人、其他组织或者自然人。</w:t>
      </w:r>
    </w:p>
    <w:p w14:paraId="1F15F318">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5、“评审委员会”和“谈判小组”是依据《深圳经济特区政府采购条例》、《深圳经济特区政府采购条例实施细则》等有关规定组建的专门负责本次采购项目评标（谈判）工作的临时性机构。</w:t>
      </w:r>
    </w:p>
    <w:p w14:paraId="33583B21">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6、“日期”指公历日。</w:t>
      </w:r>
    </w:p>
    <w:p w14:paraId="3431BEBC">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7、“合同”指由本次采购活动所产生的合同或合约文件。</w:t>
      </w:r>
    </w:p>
    <w:p w14:paraId="33A365D0">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8、“电子投标文件”指利用深圳智慧采购平台投标文件制作专用软件（以下简称《投标文件制作软件》）制作并加密的投标文件,适用于网上投标（下载网站</w:t>
      </w:r>
    </w:p>
    <w:p w14:paraId="49640265">
      <w:pPr>
        <w:pStyle w:val="2"/>
        <w:spacing w:line="360" w:lineRule="auto"/>
        <w:ind w:left="0" w:leftChars="0" w:firstLine="0" w:firstLineChars="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http://zfcg.szggzy.com:8081/cgxy/013002/list.html）。</w:t>
      </w:r>
    </w:p>
    <w:p w14:paraId="79FDBBC4">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9、“网上投标”指通过深圳智慧采购平台网上传电子投标文件。</w:t>
      </w:r>
    </w:p>
    <w:p w14:paraId="1E53C41D">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10、采购文件中的标题或题名仅起引导作用，而不应视为对采购文件内容的理解和解释。</w:t>
      </w:r>
    </w:p>
    <w:p w14:paraId="660256D1">
      <w:pPr>
        <w:pStyle w:val="2"/>
        <w:spacing w:line="360" w:lineRule="auto"/>
        <w:ind w:left="0" w:leftChars="0" w:firstLine="0" w:firstLineChars="0"/>
        <w:rPr>
          <w:rFonts w:hint="eastAsia" w:ascii="仿宋" w:hAnsi="仿宋" w:eastAsia="仿宋" w:cs="仿宋"/>
          <w:sz w:val="24"/>
          <w:szCs w:val="32"/>
          <w:lang w:val="en-US" w:eastAsia="zh-CN"/>
        </w:rPr>
      </w:pPr>
    </w:p>
    <w:p w14:paraId="744DD208">
      <w:pPr>
        <w:pStyle w:val="2"/>
        <w:spacing w:line="360" w:lineRule="auto"/>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四、政府采购供应商责任</w:t>
      </w:r>
    </w:p>
    <w:p w14:paraId="02E79784">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1、欢迎诚信、有实力和有社会责任心的供应商参与政府采购事业。</w:t>
      </w:r>
    </w:p>
    <w:p w14:paraId="7383C751">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2、投标人应当遵循公平竞争的原则，不得恶意串通，不得妨碍其他投标人的竞争行为，不得损害采购人或者其他投标人的合法权益。如违反上述要求，经核实后，供应商的投标无效。</w:t>
      </w:r>
    </w:p>
    <w:p w14:paraId="753D2622">
      <w:pPr>
        <w:pStyle w:val="2"/>
        <w:spacing w:line="360" w:lineRule="auto"/>
        <w:ind w:left="0" w:leftChars="0" w:firstLine="0" w:firstLineChars="0"/>
        <w:rPr>
          <w:rFonts w:hint="eastAsia" w:ascii="仿宋" w:hAnsi="仿宋" w:eastAsia="仿宋" w:cs="仿宋"/>
          <w:sz w:val="24"/>
          <w:szCs w:val="32"/>
          <w:lang w:val="en-US" w:eastAsia="zh-CN"/>
        </w:rPr>
      </w:pPr>
    </w:p>
    <w:p w14:paraId="622E0BD9">
      <w:pPr>
        <w:pStyle w:val="2"/>
        <w:spacing w:line="360" w:lineRule="auto"/>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五、投标人参加政府采购的条件</w:t>
      </w:r>
    </w:p>
    <w:p w14:paraId="4236BF4A">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1、投标人应在投标前到深圳公共资源交易中心（具体在深圳交易集团有限公司政府采购业务分公司进行办理）进行注册并办理密钥。详见“深圳政府采购智慧平台--供应商注册及信息变更指引”（相关网址</w:t>
      </w:r>
    </w:p>
    <w:p w14:paraId="1F54295D">
      <w:pPr>
        <w:pStyle w:val="2"/>
        <w:spacing w:line="360" w:lineRule="auto"/>
        <w:ind w:left="0" w:leftChars="0" w:firstLine="0" w:firstLineChars="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http://zfcg.szggzy.com:8081/cgxy/20210823/2df8c4bd-73df-4cf1-9646-f784111f24b8.html）</w:t>
      </w:r>
    </w:p>
    <w:p w14:paraId="20288399">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2、投标人的资格要求</w:t>
      </w:r>
    </w:p>
    <w:p w14:paraId="34329CF1">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参加本项目的投标人应具备的资格条件详见本项目采购公告中 “申请人的资格要求”内容。</w:t>
      </w:r>
    </w:p>
    <w:p w14:paraId="476C3C6B">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3、联合体投标</w:t>
      </w:r>
    </w:p>
    <w:p w14:paraId="6402B02E">
      <w:pPr>
        <w:pStyle w:val="2"/>
        <w:spacing w:line="360" w:lineRule="auto"/>
        <w:ind w:left="0" w:leftChars="0" w:firstLine="960" w:firstLineChars="4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3.1、以下有关联合体投标的条款仅适用于允许投标人组成联合体投标的项目。</w:t>
      </w:r>
    </w:p>
    <w:p w14:paraId="4E7FB403">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3.2、由两个或两个以上的自然人、法人或者其他组织可以组成一个联合体，以一个供应商的身份共同投标时，应符合以下原则</w:t>
      </w:r>
    </w:p>
    <w:p w14:paraId="6FAB9E94">
      <w:pPr>
        <w:pStyle w:val="2"/>
        <w:spacing w:line="360" w:lineRule="auto"/>
        <w:ind w:left="479" w:leftChars="228" w:firstLine="720" w:firstLineChars="3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（1）投标联合体各方参加政府采购活动应当具备下列条件：</w:t>
      </w:r>
    </w:p>
    <w:p w14:paraId="32D367F5">
      <w:pPr>
        <w:pStyle w:val="2"/>
        <w:spacing w:line="360" w:lineRule="auto"/>
        <w:ind w:left="479" w:leftChars="228" w:firstLine="1200" w:firstLineChars="5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① 具有独立承担民事责任的能力。</w:t>
      </w:r>
    </w:p>
    <w:p w14:paraId="48EF13F0">
      <w:pPr>
        <w:pStyle w:val="2"/>
        <w:spacing w:line="360" w:lineRule="auto"/>
        <w:ind w:left="479" w:leftChars="228" w:firstLine="1200" w:firstLineChars="5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② 有良好的商业信誉和健全的财务会计制度。</w:t>
      </w:r>
    </w:p>
    <w:p w14:paraId="735B44CB">
      <w:pPr>
        <w:pStyle w:val="2"/>
        <w:spacing w:line="360" w:lineRule="auto"/>
        <w:ind w:left="479" w:leftChars="228" w:firstLine="1200" w:firstLineChars="5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③ 具有履行合同所必需的设备和专业技术能力。</w:t>
      </w:r>
    </w:p>
    <w:p w14:paraId="0BF76B6F">
      <w:pPr>
        <w:pStyle w:val="2"/>
        <w:spacing w:line="360" w:lineRule="auto"/>
        <w:ind w:left="479" w:leftChars="228" w:firstLine="1200" w:firstLineChars="5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④ 有依法缴纳税收和社会保障资金的良好记录。</w:t>
      </w:r>
    </w:p>
    <w:p w14:paraId="778A3FC5">
      <w:pPr>
        <w:pStyle w:val="2"/>
        <w:spacing w:line="360" w:lineRule="auto"/>
        <w:ind w:left="479" w:leftChars="228" w:firstLine="1200" w:firstLineChars="5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⑤ 参加政府采购活动前三年内，在经营活动中没有重大违法记录。</w:t>
      </w:r>
    </w:p>
    <w:p w14:paraId="4265E232">
      <w:pPr>
        <w:pStyle w:val="2"/>
        <w:spacing w:line="360" w:lineRule="auto"/>
        <w:ind w:left="479" w:leftChars="228" w:firstLine="1200" w:firstLineChars="5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⑥ 法律、行政法规规定的其他条件。</w:t>
      </w:r>
    </w:p>
    <w:p w14:paraId="4F80D812">
      <w:pPr>
        <w:pStyle w:val="2"/>
        <w:spacing w:line="360" w:lineRule="auto"/>
        <w:ind w:left="0" w:leftChars="0" w:firstLine="1200" w:firstLineChars="5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（2）投标联合体各方须均是深圳市网上政府采购系统注册供应商。</w:t>
      </w:r>
    </w:p>
    <w:p w14:paraId="4EEF877B">
      <w:pPr>
        <w:pStyle w:val="2"/>
        <w:spacing w:line="360" w:lineRule="auto"/>
        <w:ind w:left="718" w:leftChars="342"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（3）联合体中有同类资质的供应商按照联合体分工承担相同工作的，应当按照资质等级较低的供应商确定资质等级。</w:t>
      </w:r>
    </w:p>
    <w:p w14:paraId="196D8808">
      <w:pPr>
        <w:pStyle w:val="2"/>
        <w:spacing w:line="360" w:lineRule="auto"/>
        <w:ind w:left="718" w:leftChars="342"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（4）是否允许联合体参加投标，应当由采购人和采购代理机构根据项目的实际情况和潜在供应商的数量自主决定，如果决定接受联合体投标则应当在采购公告中明示。</w:t>
      </w:r>
    </w:p>
    <w:p w14:paraId="2FC3C6B8">
      <w:pPr>
        <w:pStyle w:val="2"/>
        <w:spacing w:line="360" w:lineRule="auto"/>
        <w:ind w:left="718" w:leftChars="342"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5）采购人根据采购项目的特殊要求规定投标人特定条件的，联合体各方中至少应当有一方符合采购人规定的特定条件。对于采购公告对投标人某一资格有要求的，按照联合体各方中最低资质等级确定联合体的资质等级；联合体各方的不同资质可优势互补。</w:t>
      </w:r>
    </w:p>
    <w:p w14:paraId="22DDCF37">
      <w:pPr>
        <w:pStyle w:val="2"/>
        <w:spacing w:line="360" w:lineRule="auto"/>
        <w:ind w:left="718" w:leftChars="342"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（6）投标人的投标文件及中标后签署的合同协议对联合体各方均具法律约束力。</w:t>
      </w:r>
    </w:p>
    <w:p w14:paraId="4C222CE2">
      <w:pPr>
        <w:pStyle w:val="2"/>
        <w:spacing w:line="360" w:lineRule="auto"/>
        <w:ind w:left="718" w:leftChars="342"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（7）联合体各方应当签订共同投标协议，明确约定各方拟承担的工作和责任，并将该共同投标协议随投标文件一并递交给采购代理机构。</w:t>
      </w:r>
    </w:p>
    <w:p w14:paraId="087C9BEA">
      <w:pPr>
        <w:pStyle w:val="2"/>
        <w:spacing w:line="360" w:lineRule="auto"/>
        <w:ind w:left="718" w:leftChars="342"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（8）联合体中标后，联合体各方应当共同与采购人签订合同，就中标项目向采购人承担连带责任。</w:t>
      </w:r>
    </w:p>
    <w:p w14:paraId="2AF8305E">
      <w:pPr>
        <w:pStyle w:val="2"/>
        <w:spacing w:line="360" w:lineRule="auto"/>
        <w:ind w:left="718" w:leftChars="342"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（9）联合体的各方应当共同推荐一联合体投标授权代表方，由联合体各方提交一份授权书，证明其有资格代表联合体各方签署投标文件，该授权书作为投标文件的组成部分一并递交给采购代理机构。</w:t>
      </w:r>
    </w:p>
    <w:p w14:paraId="55B86E93">
      <w:pPr>
        <w:pStyle w:val="2"/>
        <w:spacing w:line="360" w:lineRule="auto"/>
        <w:ind w:left="718" w:leftChars="342"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10）以联合体形式参加政府采购活动的，联合体各方不得再单独参加或者与其他供应商另外组成联合体参加同一合同项下的政府采购活动，出现上述情况者，其投标和与此有关联合体、总包单位的投标将被拒绝。</w:t>
      </w:r>
    </w:p>
    <w:p w14:paraId="4E548D21">
      <w:pPr>
        <w:pStyle w:val="2"/>
        <w:spacing w:line="360" w:lineRule="auto"/>
        <w:ind w:left="718" w:leftChars="342"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（11）本通用条款中“投标人”一词亦指联合体各方，专用条款另有规定或说明的除外。</w:t>
      </w:r>
    </w:p>
    <w:p w14:paraId="11CED9E1">
      <w:pPr>
        <w:pStyle w:val="2"/>
        <w:spacing w:line="360" w:lineRule="auto"/>
        <w:ind w:left="0" w:leftChars="0" w:firstLine="0" w:firstLineChars="0"/>
        <w:rPr>
          <w:rFonts w:hint="eastAsia" w:ascii="仿宋" w:hAnsi="仿宋" w:eastAsia="仿宋" w:cs="仿宋"/>
          <w:sz w:val="24"/>
          <w:szCs w:val="32"/>
          <w:lang w:val="en-US" w:eastAsia="zh-CN"/>
        </w:rPr>
      </w:pPr>
    </w:p>
    <w:p w14:paraId="002234E2">
      <w:pPr>
        <w:pStyle w:val="2"/>
        <w:spacing w:line="360" w:lineRule="auto"/>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六、政策导向</w:t>
      </w:r>
    </w:p>
    <w:p w14:paraId="67B9D508">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1、政府采购扶持贫困地区、中小企业、监狱企业和残疾人福利性单位发展，支持节能减排、环境保护。</w:t>
      </w:r>
    </w:p>
    <w:p w14:paraId="46901663">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2、本项目落实深圳市政府采购供应商诚信管理政策要求。</w:t>
      </w:r>
    </w:p>
    <w:p w14:paraId="3164C631">
      <w:pPr>
        <w:pStyle w:val="2"/>
        <w:spacing w:line="360" w:lineRule="auto"/>
        <w:ind w:left="0" w:leftChars="0" w:firstLine="0" w:firstLineChars="0"/>
        <w:rPr>
          <w:rFonts w:hint="eastAsia" w:ascii="仿宋" w:hAnsi="仿宋" w:eastAsia="仿宋" w:cs="仿宋"/>
          <w:sz w:val="24"/>
          <w:szCs w:val="32"/>
          <w:lang w:val="en-US" w:eastAsia="zh-CN"/>
        </w:rPr>
      </w:pPr>
    </w:p>
    <w:p w14:paraId="3ADFDE26">
      <w:pPr>
        <w:pStyle w:val="2"/>
        <w:spacing w:line="360" w:lineRule="auto"/>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七、本项目若涉及采购货物，则合格的货物及相应服务应满足以下要求：</w:t>
      </w:r>
    </w:p>
    <w:p w14:paraId="5B4A8BCB">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1、必须是全新、未使用过的原装合格正品（包括零部件），如安装或配置了软件的，须为正版软件。</w:t>
      </w:r>
    </w:p>
    <w:p w14:paraId="0EA05937">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2、国产的货物及其有关服务必须符合中华人民共和国的设计和制造生产标准或行业标准。采购公告有其他要求的，亦应符合其要求。</w:t>
      </w:r>
    </w:p>
    <w:p w14:paraId="2CF4BCAF">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进口货物及其有关服务必须符合原产地和/或中华人民共和国的设计和制造生产标准或行业标准。进口的货物必须具有合法的进口手续和途径，并通过中华人民共和国商检部门检验。采购公告有其他要求的，亦应符合其要求。</w:t>
      </w:r>
    </w:p>
    <w:p w14:paraId="14DEE63E">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E04B05D">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5、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472C12EF">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6、对工期的要求：投标人在投标时对其所投项目应提交详细的《交货进度表》，列明交货计划等，在合同规定的时间内完工验收。</w:t>
      </w:r>
    </w:p>
    <w:p w14:paraId="7C86E442">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7、投标人必须承担的设备运输、安装调试、验收检测和提供设备操作说明书、图纸等其他相关及类似的义务。</w:t>
      </w:r>
    </w:p>
    <w:p w14:paraId="4FB066FB">
      <w:pPr>
        <w:pStyle w:val="2"/>
        <w:spacing w:line="360" w:lineRule="auto"/>
        <w:ind w:left="0" w:leftChars="0" w:firstLine="0" w:firstLineChars="0"/>
        <w:rPr>
          <w:rFonts w:hint="eastAsia" w:ascii="仿宋" w:hAnsi="仿宋" w:eastAsia="仿宋" w:cs="仿宋"/>
          <w:sz w:val="24"/>
          <w:szCs w:val="32"/>
          <w:lang w:val="en-US" w:eastAsia="zh-CN"/>
        </w:rPr>
      </w:pPr>
    </w:p>
    <w:p w14:paraId="06254D09">
      <w:pPr>
        <w:pStyle w:val="2"/>
        <w:spacing w:line="360" w:lineRule="auto"/>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八、投标费用</w:t>
      </w:r>
    </w:p>
    <w:p w14:paraId="4E0EC360">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不论投标结果如何，投标人应承担其编制投标文件与递交投标文件所涉及的一切费用。</w:t>
      </w:r>
    </w:p>
    <w:p w14:paraId="3A525289">
      <w:pPr>
        <w:pStyle w:val="2"/>
        <w:spacing w:line="360" w:lineRule="auto"/>
        <w:ind w:left="0" w:leftChars="0" w:firstLine="0" w:firstLineChars="0"/>
        <w:rPr>
          <w:rFonts w:hint="eastAsia" w:ascii="仿宋" w:hAnsi="仿宋" w:eastAsia="仿宋" w:cs="仿宋"/>
          <w:b/>
          <w:bCs/>
          <w:sz w:val="24"/>
          <w:szCs w:val="32"/>
          <w:lang w:val="en-US" w:eastAsia="zh-CN"/>
        </w:rPr>
      </w:pPr>
    </w:p>
    <w:p w14:paraId="4D6FB11E">
      <w:pPr>
        <w:pStyle w:val="2"/>
        <w:spacing w:line="360" w:lineRule="auto"/>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九、踏勘现场</w:t>
      </w:r>
    </w:p>
    <w:p w14:paraId="2F7377DC">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如有需要（详见专用条款），采购代理机构或采购人将组织投标人对项目现场及周围环境进行踏勘，以便投标人获取有关编制投标文件和签署合同所需的资料。踏勘现场所发生的费用由投标人自行承担。投标人应按采购公告所约定的时间、地点踏勘现场。</w:t>
      </w:r>
    </w:p>
    <w:p w14:paraId="0F097E04">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2、投标人及其人员经过采购人的允许，可以进入采购人的项目现场踏勘。若采购文件要求投标人于统一时间地点踏勘现场的，投标人应当按时前往。</w:t>
      </w:r>
    </w:p>
    <w:p w14:paraId="3691E6B6">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3、采购人必须通过采购代理机构向投标人提供有关现场的资料和数据。</w:t>
      </w:r>
    </w:p>
    <w:p w14:paraId="7E7AC032">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4、任何人或任何组织在踏勘现场时向投标人提交的任何书面资料或口头承诺，未经采购代理机构在网上发布或书面通知，均作无效处理。</w:t>
      </w:r>
    </w:p>
    <w:p w14:paraId="32715273">
      <w:pPr>
        <w:pStyle w:val="2"/>
        <w:spacing w:line="360" w:lineRule="auto"/>
        <w:ind w:left="0" w:leftChars="0" w:firstLine="0" w:firstLineChars="0"/>
        <w:rPr>
          <w:rFonts w:hint="eastAsia" w:ascii="仿宋" w:hAnsi="仿宋" w:eastAsia="仿宋" w:cs="仿宋"/>
          <w:sz w:val="24"/>
          <w:szCs w:val="32"/>
          <w:lang w:val="en-US" w:eastAsia="zh-CN"/>
        </w:rPr>
      </w:pPr>
    </w:p>
    <w:p w14:paraId="797D9FBF">
      <w:pPr>
        <w:pStyle w:val="2"/>
        <w:spacing w:line="360" w:lineRule="auto"/>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十、采购答疑</w:t>
      </w:r>
    </w:p>
    <w:p w14:paraId="0B1FA7DB">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1、采购答疑的目的是澄清、解答投标人在查阅采购文件后或现场踏勘中可能提出的与投标有关的疑问或询问。</w:t>
      </w:r>
    </w:p>
    <w:p w14:paraId="5D83159D">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2、投标人如对采购文件内容有疑问，必须在采购文件规定的答疑截止时间前以网上提问形式提交采购代理机构。</w:t>
      </w:r>
    </w:p>
    <w:p w14:paraId="026FBFE7">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3、采购代理机构对疑问所做出的澄清和解答，以书面答复（包括网站发布信息）为准。答疑纪要的有效性规定按照本通用条款第“十三、3”和“十三、4”款规定执行。</w:t>
      </w:r>
    </w:p>
    <w:p w14:paraId="313F98E7">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4、如采购代理机构认为有必要组织现场答疑会，投标人应按照采购文件规定的时间或采购代理机构另行书面通知（包括网站发布的通知）的时间和地点，参与现场答疑会。</w:t>
      </w:r>
    </w:p>
    <w:p w14:paraId="0BCF185F">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5、未参与采购答疑不作为否定投标人资格的理由。</w:t>
      </w:r>
    </w:p>
    <w:p w14:paraId="1308D04B">
      <w:pPr>
        <w:pStyle w:val="2"/>
        <w:spacing w:line="360" w:lineRule="auto"/>
        <w:ind w:left="0" w:leftChars="0" w:firstLine="0" w:firstLineChars="0"/>
        <w:rPr>
          <w:rFonts w:hint="eastAsia" w:ascii="仿宋" w:hAnsi="仿宋" w:eastAsia="仿宋" w:cs="仿宋"/>
          <w:sz w:val="24"/>
          <w:szCs w:val="32"/>
          <w:lang w:val="en-US" w:eastAsia="zh-CN"/>
        </w:rPr>
      </w:pPr>
    </w:p>
    <w:p w14:paraId="558E1774">
      <w:pPr>
        <w:pStyle w:val="2"/>
        <w:spacing w:line="360" w:lineRule="auto"/>
        <w:ind w:left="0" w:leftChars="0" w:firstLine="0" w:firstLineChars="0"/>
        <w:jc w:val="center"/>
        <w:rPr>
          <w:rFonts w:hint="eastAsia" w:ascii="仿宋" w:hAnsi="仿宋" w:eastAsia="仿宋" w:cs="仿宋"/>
          <w:sz w:val="24"/>
          <w:szCs w:val="32"/>
          <w:lang w:val="en-US" w:eastAsia="zh-CN"/>
        </w:rPr>
      </w:pPr>
      <w:r>
        <w:rPr>
          <w:rFonts w:hint="eastAsia" w:ascii="仿宋" w:hAnsi="仿宋" w:eastAsia="仿宋" w:cs="仿宋"/>
          <w:b/>
          <w:bCs/>
          <w:sz w:val="28"/>
          <w:szCs w:val="36"/>
          <w:lang w:val="en-US" w:eastAsia="zh-CN"/>
        </w:rPr>
        <w:t>第二章 采购文件</w:t>
      </w:r>
    </w:p>
    <w:p w14:paraId="13B66FA0">
      <w:pPr>
        <w:pStyle w:val="2"/>
        <w:spacing w:line="360" w:lineRule="auto"/>
        <w:ind w:left="0" w:leftChars="0" w:firstLine="0" w:firstLineChars="0"/>
        <w:rPr>
          <w:rFonts w:hint="eastAsia" w:ascii="仿宋" w:hAnsi="仿宋" w:eastAsia="仿宋" w:cs="仿宋"/>
          <w:b/>
          <w:bCs/>
          <w:sz w:val="24"/>
          <w:szCs w:val="32"/>
          <w:lang w:val="en-US" w:eastAsia="zh-CN"/>
        </w:rPr>
      </w:pPr>
    </w:p>
    <w:p w14:paraId="5CEE639C">
      <w:pPr>
        <w:pStyle w:val="2"/>
        <w:spacing w:line="360" w:lineRule="auto"/>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十一、采购文件的编制与组成</w:t>
      </w:r>
    </w:p>
    <w:p w14:paraId="21164C69">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1、采购文件除以下内容外，采购代理机构在采购活动期间发出的澄清或修改等相关公告或通知内容，均是采购文件的组成部分，对投标人起约束作用。</w:t>
      </w:r>
    </w:p>
    <w:p w14:paraId="070440C5">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采购文件包括下列内容：</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26"/>
        <w:gridCol w:w="6996"/>
      </w:tblGrid>
      <w:tr w14:paraId="0412A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26" w:type="dxa"/>
            <w:vAlign w:val="center"/>
          </w:tcPr>
          <w:p w14:paraId="421959E3">
            <w:pPr>
              <w:widowControl/>
              <w:spacing w:line="360" w:lineRule="auto"/>
              <w:jc w:val="center"/>
              <w:rPr>
                <w:rFonts w:ascii="仿宋" w:hAnsi="仿宋" w:eastAsia="仿宋" w:cs="Arial Unicode MS"/>
                <w:sz w:val="24"/>
              </w:rPr>
            </w:pPr>
          </w:p>
        </w:tc>
        <w:tc>
          <w:tcPr>
            <w:tcW w:w="6996" w:type="dxa"/>
            <w:vAlign w:val="center"/>
          </w:tcPr>
          <w:p w14:paraId="5F8475C7">
            <w:pPr>
              <w:widowControl/>
              <w:spacing w:line="360" w:lineRule="auto"/>
              <w:rPr>
                <w:rFonts w:hint="default" w:ascii="仿宋" w:hAnsi="仿宋" w:eastAsia="仿宋" w:cs="Arial Unicode MS"/>
                <w:sz w:val="24"/>
                <w:lang w:val="en-US" w:eastAsia="zh-CN"/>
              </w:rPr>
            </w:pPr>
            <w:r>
              <w:rPr>
                <w:rFonts w:hint="eastAsia" w:ascii="仿宋" w:hAnsi="仿宋" w:eastAsia="仿宋" w:cs="Arial Unicode MS"/>
                <w:sz w:val="24"/>
              </w:rPr>
              <w:t>采购</w:t>
            </w:r>
            <w:r>
              <w:rPr>
                <w:rFonts w:hint="eastAsia" w:ascii="仿宋" w:hAnsi="仿宋" w:eastAsia="仿宋" w:cs="Arial Unicode MS"/>
                <w:sz w:val="24"/>
                <w:lang w:val="en-US" w:eastAsia="zh-CN"/>
              </w:rPr>
              <w:t>文件信息</w:t>
            </w:r>
          </w:p>
        </w:tc>
      </w:tr>
      <w:tr w14:paraId="0B89C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26" w:type="dxa"/>
            <w:vAlign w:val="center"/>
          </w:tcPr>
          <w:p w14:paraId="06E1DE5F">
            <w:pPr>
              <w:widowControl/>
              <w:spacing w:line="360" w:lineRule="auto"/>
              <w:jc w:val="center"/>
              <w:rPr>
                <w:rFonts w:hint="default" w:ascii="仿宋" w:hAnsi="仿宋" w:eastAsia="仿宋" w:cs="Arial Unicode MS"/>
                <w:b/>
                <w:sz w:val="24"/>
                <w:lang w:val="en-US"/>
              </w:rPr>
            </w:pPr>
            <w:r>
              <w:rPr>
                <w:rFonts w:hint="eastAsia" w:ascii="仿宋" w:hAnsi="仿宋" w:eastAsia="仿宋" w:cs="Arial Unicode MS"/>
                <w:b/>
                <w:sz w:val="24"/>
              </w:rPr>
              <w:t>第</w:t>
            </w:r>
            <w:r>
              <w:rPr>
                <w:rFonts w:hint="eastAsia" w:ascii="仿宋" w:hAnsi="仿宋" w:eastAsia="仿宋" w:cs="Arial Unicode MS"/>
                <w:b/>
                <w:sz w:val="24"/>
                <w:lang w:val="en-US" w:eastAsia="zh-CN"/>
              </w:rPr>
              <w:t>一册</w:t>
            </w:r>
          </w:p>
        </w:tc>
        <w:tc>
          <w:tcPr>
            <w:tcW w:w="6996" w:type="dxa"/>
            <w:vAlign w:val="center"/>
          </w:tcPr>
          <w:p w14:paraId="31083547">
            <w:pPr>
              <w:widowControl/>
              <w:spacing w:line="360" w:lineRule="auto"/>
              <w:rPr>
                <w:rFonts w:ascii="仿宋" w:hAnsi="仿宋" w:eastAsia="仿宋" w:cs="Arial Unicode MS"/>
                <w:b/>
                <w:sz w:val="24"/>
              </w:rPr>
            </w:pPr>
            <w:r>
              <w:rPr>
                <w:rFonts w:hint="eastAsia" w:ascii="仿宋" w:hAnsi="仿宋" w:eastAsia="仿宋" w:cs="仿宋"/>
                <w:b/>
                <w:sz w:val="24"/>
                <w:szCs w:val="24"/>
              </w:rPr>
              <w:t>专用条款</w:t>
            </w:r>
          </w:p>
        </w:tc>
      </w:tr>
      <w:tr w14:paraId="774DB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26" w:type="dxa"/>
            <w:vAlign w:val="center"/>
          </w:tcPr>
          <w:p w14:paraId="769E827C">
            <w:pPr>
              <w:widowControl/>
              <w:spacing w:line="360" w:lineRule="auto"/>
              <w:jc w:val="center"/>
              <w:rPr>
                <w:rFonts w:ascii="仿宋" w:hAnsi="仿宋" w:eastAsia="仿宋" w:cs="Arial Unicode MS"/>
                <w:sz w:val="24"/>
              </w:rPr>
            </w:pPr>
          </w:p>
        </w:tc>
        <w:tc>
          <w:tcPr>
            <w:tcW w:w="6996" w:type="dxa"/>
            <w:vAlign w:val="center"/>
          </w:tcPr>
          <w:p w14:paraId="3A83E89F">
            <w:pPr>
              <w:widowControl/>
              <w:spacing w:line="360" w:lineRule="auto"/>
              <w:rPr>
                <w:rFonts w:ascii="仿宋" w:hAnsi="仿宋" w:eastAsia="仿宋" w:cs="Arial Unicode MS"/>
                <w:sz w:val="24"/>
              </w:rPr>
            </w:pPr>
            <w:r>
              <w:rPr>
                <w:rFonts w:hint="eastAsia" w:ascii="仿宋" w:hAnsi="仿宋" w:eastAsia="仿宋" w:cs="仿宋"/>
                <w:sz w:val="24"/>
                <w:szCs w:val="24"/>
              </w:rPr>
              <w:t>第一章</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采购公告</w:t>
            </w:r>
          </w:p>
        </w:tc>
      </w:tr>
      <w:tr w14:paraId="0F2D7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26" w:type="dxa"/>
            <w:vAlign w:val="center"/>
          </w:tcPr>
          <w:p w14:paraId="5B3120F0">
            <w:pPr>
              <w:widowControl/>
              <w:spacing w:line="360" w:lineRule="auto"/>
              <w:jc w:val="center"/>
              <w:rPr>
                <w:rFonts w:ascii="仿宋" w:hAnsi="仿宋" w:eastAsia="仿宋" w:cs="Arial Unicode MS"/>
                <w:sz w:val="24"/>
              </w:rPr>
            </w:pPr>
          </w:p>
        </w:tc>
        <w:tc>
          <w:tcPr>
            <w:tcW w:w="6996" w:type="dxa"/>
            <w:vAlign w:val="center"/>
          </w:tcPr>
          <w:p w14:paraId="3CC61983">
            <w:pPr>
              <w:widowControl/>
              <w:spacing w:line="360" w:lineRule="auto"/>
              <w:rPr>
                <w:rFonts w:ascii="仿宋" w:hAnsi="仿宋" w:eastAsia="仿宋" w:cs="Arial Unicode MS"/>
                <w:sz w:val="24"/>
              </w:rPr>
            </w:pPr>
            <w:r>
              <w:rPr>
                <w:rFonts w:hint="eastAsia" w:ascii="仿宋" w:hAnsi="仿宋" w:eastAsia="仿宋" w:cs="仿宋"/>
                <w:sz w:val="24"/>
                <w:szCs w:val="24"/>
              </w:rPr>
              <w:t>第二章 采购项目需求</w:t>
            </w:r>
          </w:p>
        </w:tc>
      </w:tr>
      <w:tr w14:paraId="66508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26" w:type="dxa"/>
            <w:vAlign w:val="center"/>
          </w:tcPr>
          <w:p w14:paraId="1FD8F323">
            <w:pPr>
              <w:widowControl/>
              <w:spacing w:line="360" w:lineRule="auto"/>
              <w:jc w:val="center"/>
              <w:rPr>
                <w:rFonts w:ascii="仿宋" w:hAnsi="仿宋" w:eastAsia="仿宋" w:cs="Arial Unicode MS"/>
                <w:sz w:val="24"/>
              </w:rPr>
            </w:pPr>
          </w:p>
        </w:tc>
        <w:tc>
          <w:tcPr>
            <w:tcW w:w="6996" w:type="dxa"/>
            <w:vAlign w:val="center"/>
          </w:tcPr>
          <w:p w14:paraId="4E6E67A2">
            <w:pPr>
              <w:widowControl/>
              <w:spacing w:line="360" w:lineRule="auto"/>
              <w:rPr>
                <w:rFonts w:ascii="仿宋" w:hAnsi="仿宋" w:eastAsia="仿宋" w:cs="Arial Unicode MS"/>
                <w:sz w:val="24"/>
              </w:rPr>
            </w:pPr>
            <w:r>
              <w:rPr>
                <w:rFonts w:hint="eastAsia" w:ascii="仿宋" w:hAnsi="仿宋" w:eastAsia="仿宋" w:cs="仿宋"/>
                <w:sz w:val="24"/>
                <w:szCs w:val="24"/>
              </w:rPr>
              <w:t>第三章 投标文件格式、附件</w:t>
            </w:r>
          </w:p>
        </w:tc>
      </w:tr>
      <w:tr w14:paraId="3F5DF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26" w:type="dxa"/>
            <w:vAlign w:val="center"/>
          </w:tcPr>
          <w:p w14:paraId="1173E8E2">
            <w:pPr>
              <w:widowControl/>
              <w:spacing w:line="360" w:lineRule="auto"/>
              <w:jc w:val="center"/>
              <w:rPr>
                <w:rFonts w:ascii="仿宋" w:hAnsi="仿宋" w:eastAsia="仿宋" w:cs="Arial Unicode MS"/>
                <w:sz w:val="24"/>
              </w:rPr>
            </w:pPr>
          </w:p>
        </w:tc>
        <w:tc>
          <w:tcPr>
            <w:tcW w:w="6996" w:type="dxa"/>
            <w:vAlign w:val="center"/>
          </w:tcPr>
          <w:p w14:paraId="74E1F0EA">
            <w:pPr>
              <w:widowControl/>
              <w:spacing w:line="360" w:lineRule="auto"/>
              <w:rPr>
                <w:rFonts w:hint="eastAsia" w:ascii="仿宋" w:hAnsi="仿宋" w:eastAsia="仿宋" w:cs="Arial Unicode MS"/>
                <w:sz w:val="24"/>
              </w:rPr>
            </w:pPr>
            <w:r>
              <w:rPr>
                <w:rFonts w:hint="eastAsia" w:ascii="仿宋" w:hAnsi="仿宋" w:eastAsia="仿宋" w:cs="仿宋"/>
                <w:sz w:val="24"/>
                <w:szCs w:val="24"/>
              </w:rPr>
              <w:t>第四章 政府采购合同的签订、履行及验收</w:t>
            </w:r>
          </w:p>
        </w:tc>
      </w:tr>
      <w:tr w14:paraId="3F7D3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26" w:type="dxa"/>
            <w:vAlign w:val="center"/>
          </w:tcPr>
          <w:p w14:paraId="50660D8D">
            <w:pPr>
              <w:widowControl/>
              <w:spacing w:line="360" w:lineRule="auto"/>
              <w:jc w:val="center"/>
              <w:rPr>
                <w:rFonts w:ascii="仿宋" w:hAnsi="仿宋" w:eastAsia="仿宋" w:cs="Arial Unicode MS"/>
                <w:b/>
                <w:sz w:val="24"/>
              </w:rPr>
            </w:pPr>
            <w:r>
              <w:rPr>
                <w:rFonts w:hint="eastAsia" w:ascii="仿宋" w:hAnsi="仿宋" w:eastAsia="仿宋" w:cs="Arial Unicode MS"/>
                <w:b/>
                <w:sz w:val="24"/>
              </w:rPr>
              <w:t>第</w:t>
            </w:r>
            <w:r>
              <w:rPr>
                <w:rFonts w:hint="eastAsia" w:ascii="仿宋" w:hAnsi="仿宋" w:eastAsia="仿宋" w:cs="Arial Unicode MS"/>
                <w:b/>
                <w:sz w:val="24"/>
                <w:lang w:val="en-US" w:eastAsia="zh-CN"/>
              </w:rPr>
              <w:t>二册</w:t>
            </w:r>
          </w:p>
        </w:tc>
        <w:tc>
          <w:tcPr>
            <w:tcW w:w="6996" w:type="dxa"/>
            <w:vAlign w:val="center"/>
          </w:tcPr>
          <w:p w14:paraId="2B627B2C">
            <w:pPr>
              <w:widowControl/>
              <w:spacing w:line="360" w:lineRule="auto"/>
              <w:rPr>
                <w:rFonts w:ascii="仿宋" w:hAnsi="仿宋" w:eastAsia="仿宋" w:cs="Arial Unicode MS"/>
                <w:b/>
                <w:sz w:val="24"/>
              </w:rPr>
            </w:pPr>
            <w:r>
              <w:rPr>
                <w:rFonts w:hint="eastAsia" w:ascii="仿宋" w:hAnsi="仿宋" w:eastAsia="仿宋" w:cs="Arial Unicode MS"/>
                <w:b/>
                <w:sz w:val="24"/>
              </w:rPr>
              <w:t>通用条款</w:t>
            </w:r>
            <w:r>
              <w:rPr>
                <w:rFonts w:hint="eastAsia" w:ascii="仿宋" w:hAnsi="仿宋" w:eastAsia="仿宋" w:cs="Arial Unicode MS"/>
                <w:b/>
                <w:sz w:val="24"/>
                <w:lang w:eastAsia="zh-CN"/>
              </w:rPr>
              <w:t>（</w:t>
            </w:r>
            <w:r>
              <w:rPr>
                <w:rFonts w:hint="eastAsia" w:ascii="仿宋" w:hAnsi="仿宋" w:eastAsia="仿宋" w:cs="Arial Unicode MS"/>
                <w:b/>
                <w:sz w:val="24"/>
                <w:lang w:val="en-US" w:eastAsia="zh-CN"/>
              </w:rPr>
              <w:t>见附件</w:t>
            </w:r>
            <w:r>
              <w:rPr>
                <w:rFonts w:hint="eastAsia" w:ascii="仿宋" w:hAnsi="仿宋" w:eastAsia="仿宋" w:cs="Arial Unicode MS"/>
                <w:b/>
                <w:sz w:val="24"/>
                <w:lang w:eastAsia="zh-CN"/>
              </w:rPr>
              <w:t>）</w:t>
            </w:r>
          </w:p>
        </w:tc>
      </w:tr>
      <w:tr w14:paraId="0F374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26" w:type="dxa"/>
            <w:vAlign w:val="center"/>
          </w:tcPr>
          <w:p w14:paraId="119F2672">
            <w:pPr>
              <w:widowControl/>
              <w:spacing w:line="360" w:lineRule="auto"/>
              <w:jc w:val="center"/>
              <w:rPr>
                <w:rFonts w:ascii="仿宋" w:hAnsi="仿宋" w:eastAsia="仿宋" w:cs="Arial Unicode MS"/>
                <w:b w:val="0"/>
                <w:bCs w:val="0"/>
                <w:sz w:val="24"/>
              </w:rPr>
            </w:pPr>
          </w:p>
        </w:tc>
        <w:tc>
          <w:tcPr>
            <w:tcW w:w="6996" w:type="dxa"/>
            <w:vAlign w:val="center"/>
          </w:tcPr>
          <w:p w14:paraId="1512B4DA">
            <w:pPr>
              <w:widowControl/>
              <w:spacing w:line="360" w:lineRule="auto"/>
              <w:rPr>
                <w:rFonts w:hint="eastAsia" w:ascii="仿宋" w:hAnsi="仿宋" w:eastAsia="仿宋" w:cs="仿宋"/>
                <w:sz w:val="24"/>
                <w:szCs w:val="24"/>
              </w:rPr>
            </w:pPr>
            <w:r>
              <w:rPr>
                <w:rFonts w:hint="eastAsia" w:ascii="仿宋" w:hAnsi="仿宋" w:eastAsia="仿宋" w:cs="仿宋"/>
                <w:sz w:val="24"/>
                <w:szCs w:val="24"/>
              </w:rPr>
              <w:t>第一章 总则</w:t>
            </w:r>
          </w:p>
        </w:tc>
      </w:tr>
      <w:tr w14:paraId="28C17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26" w:type="dxa"/>
            <w:vAlign w:val="center"/>
          </w:tcPr>
          <w:p w14:paraId="3E53614A">
            <w:pPr>
              <w:widowControl/>
              <w:spacing w:line="360" w:lineRule="auto"/>
              <w:jc w:val="center"/>
              <w:rPr>
                <w:rFonts w:ascii="仿宋" w:hAnsi="仿宋" w:eastAsia="仿宋" w:cs="Arial Unicode MS"/>
                <w:b w:val="0"/>
                <w:bCs w:val="0"/>
                <w:sz w:val="24"/>
              </w:rPr>
            </w:pPr>
          </w:p>
        </w:tc>
        <w:tc>
          <w:tcPr>
            <w:tcW w:w="6996" w:type="dxa"/>
            <w:vAlign w:val="center"/>
          </w:tcPr>
          <w:p w14:paraId="64CE2EF8">
            <w:pPr>
              <w:widowControl/>
              <w:spacing w:line="360" w:lineRule="auto"/>
              <w:rPr>
                <w:rFonts w:hint="eastAsia" w:ascii="仿宋" w:hAnsi="仿宋" w:eastAsia="仿宋" w:cs="仿宋"/>
                <w:sz w:val="24"/>
                <w:szCs w:val="24"/>
              </w:rPr>
            </w:pPr>
            <w:r>
              <w:rPr>
                <w:rFonts w:hint="eastAsia" w:ascii="仿宋" w:hAnsi="仿宋" w:eastAsia="仿宋" w:cs="仿宋"/>
                <w:sz w:val="24"/>
                <w:szCs w:val="24"/>
              </w:rPr>
              <w:t>第二章 采购文件</w:t>
            </w:r>
          </w:p>
        </w:tc>
      </w:tr>
      <w:tr w14:paraId="3145A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26" w:type="dxa"/>
            <w:vAlign w:val="center"/>
          </w:tcPr>
          <w:p w14:paraId="1E39951C">
            <w:pPr>
              <w:widowControl/>
              <w:spacing w:line="360" w:lineRule="auto"/>
              <w:jc w:val="center"/>
              <w:rPr>
                <w:rFonts w:ascii="仿宋" w:hAnsi="仿宋" w:eastAsia="仿宋" w:cs="Arial Unicode MS"/>
                <w:b w:val="0"/>
                <w:bCs w:val="0"/>
                <w:sz w:val="24"/>
              </w:rPr>
            </w:pPr>
          </w:p>
        </w:tc>
        <w:tc>
          <w:tcPr>
            <w:tcW w:w="6996" w:type="dxa"/>
            <w:vAlign w:val="center"/>
          </w:tcPr>
          <w:p w14:paraId="6FF62273">
            <w:pPr>
              <w:widowControl/>
              <w:spacing w:line="360" w:lineRule="auto"/>
              <w:rPr>
                <w:rFonts w:hint="eastAsia" w:ascii="仿宋" w:hAnsi="仿宋" w:eastAsia="仿宋" w:cs="仿宋"/>
                <w:sz w:val="24"/>
                <w:szCs w:val="24"/>
              </w:rPr>
            </w:pPr>
            <w:r>
              <w:rPr>
                <w:rFonts w:hint="eastAsia" w:ascii="仿宋" w:hAnsi="仿宋" w:eastAsia="仿宋" w:cs="仿宋"/>
                <w:sz w:val="24"/>
                <w:szCs w:val="24"/>
              </w:rPr>
              <w:t>第三章 投标文件的编制</w:t>
            </w:r>
          </w:p>
        </w:tc>
      </w:tr>
      <w:tr w14:paraId="7599A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26" w:type="dxa"/>
            <w:vAlign w:val="center"/>
          </w:tcPr>
          <w:p w14:paraId="6AF0862C">
            <w:pPr>
              <w:widowControl/>
              <w:spacing w:line="360" w:lineRule="auto"/>
              <w:jc w:val="center"/>
              <w:rPr>
                <w:rFonts w:ascii="仿宋" w:hAnsi="仿宋" w:eastAsia="仿宋" w:cs="Arial Unicode MS"/>
                <w:b w:val="0"/>
                <w:bCs w:val="0"/>
                <w:sz w:val="24"/>
              </w:rPr>
            </w:pPr>
          </w:p>
        </w:tc>
        <w:tc>
          <w:tcPr>
            <w:tcW w:w="6996" w:type="dxa"/>
            <w:vAlign w:val="center"/>
          </w:tcPr>
          <w:p w14:paraId="1262AF62">
            <w:pPr>
              <w:widowControl/>
              <w:spacing w:line="360" w:lineRule="auto"/>
              <w:rPr>
                <w:rFonts w:hint="eastAsia" w:ascii="仿宋" w:hAnsi="仿宋" w:eastAsia="仿宋" w:cs="仿宋"/>
                <w:sz w:val="24"/>
                <w:szCs w:val="24"/>
              </w:rPr>
            </w:pPr>
            <w:r>
              <w:rPr>
                <w:rFonts w:hint="eastAsia" w:ascii="仿宋" w:hAnsi="仿宋" w:eastAsia="仿宋" w:cs="仿宋"/>
                <w:sz w:val="24"/>
                <w:szCs w:val="24"/>
              </w:rPr>
              <w:t>第四章 投标文件的递交</w:t>
            </w:r>
          </w:p>
        </w:tc>
      </w:tr>
      <w:tr w14:paraId="5CC25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26" w:type="dxa"/>
            <w:vAlign w:val="center"/>
          </w:tcPr>
          <w:p w14:paraId="514DE4F7">
            <w:pPr>
              <w:widowControl/>
              <w:spacing w:line="360" w:lineRule="auto"/>
              <w:jc w:val="center"/>
              <w:rPr>
                <w:rFonts w:ascii="仿宋" w:hAnsi="仿宋" w:eastAsia="仿宋" w:cs="Arial Unicode MS"/>
                <w:b w:val="0"/>
                <w:bCs w:val="0"/>
                <w:sz w:val="24"/>
              </w:rPr>
            </w:pPr>
          </w:p>
        </w:tc>
        <w:tc>
          <w:tcPr>
            <w:tcW w:w="6996" w:type="dxa"/>
            <w:vAlign w:val="center"/>
          </w:tcPr>
          <w:p w14:paraId="198BE5AA">
            <w:pPr>
              <w:widowControl/>
              <w:spacing w:line="360" w:lineRule="auto"/>
              <w:rPr>
                <w:rFonts w:hint="eastAsia" w:ascii="仿宋" w:hAnsi="仿宋" w:eastAsia="仿宋" w:cs="仿宋"/>
                <w:sz w:val="24"/>
                <w:szCs w:val="24"/>
              </w:rPr>
            </w:pPr>
            <w:r>
              <w:rPr>
                <w:rFonts w:hint="eastAsia" w:ascii="仿宋" w:hAnsi="仿宋" w:eastAsia="仿宋" w:cs="仿宋"/>
                <w:sz w:val="24"/>
                <w:szCs w:val="24"/>
              </w:rPr>
              <w:t>第五章 开标</w:t>
            </w:r>
          </w:p>
        </w:tc>
      </w:tr>
      <w:tr w14:paraId="1122C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26" w:type="dxa"/>
            <w:vAlign w:val="center"/>
          </w:tcPr>
          <w:p w14:paraId="2D126116">
            <w:pPr>
              <w:widowControl/>
              <w:spacing w:line="360" w:lineRule="auto"/>
              <w:jc w:val="center"/>
              <w:rPr>
                <w:rFonts w:ascii="仿宋" w:hAnsi="仿宋" w:eastAsia="仿宋" w:cs="Arial Unicode MS"/>
                <w:b w:val="0"/>
                <w:bCs w:val="0"/>
                <w:sz w:val="24"/>
              </w:rPr>
            </w:pPr>
          </w:p>
        </w:tc>
        <w:tc>
          <w:tcPr>
            <w:tcW w:w="6996" w:type="dxa"/>
            <w:vAlign w:val="center"/>
          </w:tcPr>
          <w:p w14:paraId="735AC925">
            <w:pPr>
              <w:widowControl/>
              <w:spacing w:line="360" w:lineRule="auto"/>
              <w:rPr>
                <w:rFonts w:hint="eastAsia" w:ascii="仿宋" w:hAnsi="仿宋" w:eastAsia="仿宋" w:cs="仿宋"/>
                <w:sz w:val="24"/>
                <w:szCs w:val="24"/>
              </w:rPr>
            </w:pPr>
            <w:r>
              <w:rPr>
                <w:rFonts w:hint="eastAsia" w:ascii="仿宋" w:hAnsi="仿宋" w:eastAsia="仿宋" w:cs="仿宋"/>
                <w:sz w:val="24"/>
                <w:szCs w:val="24"/>
              </w:rPr>
              <w:t>第六章 评标要求</w:t>
            </w:r>
          </w:p>
        </w:tc>
      </w:tr>
      <w:tr w14:paraId="7E4B3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26" w:type="dxa"/>
            <w:vAlign w:val="center"/>
          </w:tcPr>
          <w:p w14:paraId="6690E4FC">
            <w:pPr>
              <w:widowControl/>
              <w:spacing w:line="360" w:lineRule="auto"/>
              <w:jc w:val="center"/>
              <w:rPr>
                <w:rFonts w:ascii="仿宋" w:hAnsi="仿宋" w:eastAsia="仿宋" w:cs="Arial Unicode MS"/>
                <w:b w:val="0"/>
                <w:bCs w:val="0"/>
                <w:sz w:val="24"/>
              </w:rPr>
            </w:pPr>
          </w:p>
        </w:tc>
        <w:tc>
          <w:tcPr>
            <w:tcW w:w="6996" w:type="dxa"/>
            <w:vAlign w:val="center"/>
          </w:tcPr>
          <w:p w14:paraId="2BA613F3">
            <w:pPr>
              <w:widowControl/>
              <w:spacing w:line="360" w:lineRule="auto"/>
              <w:rPr>
                <w:rFonts w:hint="eastAsia" w:ascii="仿宋" w:hAnsi="仿宋" w:eastAsia="仿宋" w:cs="仿宋"/>
                <w:sz w:val="24"/>
                <w:szCs w:val="24"/>
              </w:rPr>
            </w:pPr>
            <w:r>
              <w:rPr>
                <w:rFonts w:hint="eastAsia" w:ascii="仿宋" w:hAnsi="仿宋" w:eastAsia="仿宋" w:cs="仿宋"/>
                <w:sz w:val="24"/>
                <w:szCs w:val="24"/>
              </w:rPr>
              <w:t>第七章 评标程序及评标方法</w:t>
            </w:r>
          </w:p>
        </w:tc>
      </w:tr>
      <w:tr w14:paraId="54E5B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26" w:type="dxa"/>
            <w:vAlign w:val="center"/>
          </w:tcPr>
          <w:p w14:paraId="12EB9478">
            <w:pPr>
              <w:widowControl/>
              <w:spacing w:line="360" w:lineRule="auto"/>
              <w:jc w:val="center"/>
              <w:rPr>
                <w:rFonts w:ascii="仿宋" w:hAnsi="仿宋" w:eastAsia="仿宋" w:cs="Arial Unicode MS"/>
                <w:b w:val="0"/>
                <w:bCs w:val="0"/>
                <w:sz w:val="24"/>
              </w:rPr>
            </w:pPr>
          </w:p>
        </w:tc>
        <w:tc>
          <w:tcPr>
            <w:tcW w:w="6996" w:type="dxa"/>
            <w:vAlign w:val="center"/>
          </w:tcPr>
          <w:p w14:paraId="5BECC342">
            <w:pPr>
              <w:widowControl/>
              <w:spacing w:line="360" w:lineRule="auto"/>
              <w:rPr>
                <w:rFonts w:hint="eastAsia" w:ascii="仿宋" w:hAnsi="仿宋" w:eastAsia="仿宋" w:cs="仿宋"/>
                <w:sz w:val="24"/>
                <w:szCs w:val="24"/>
              </w:rPr>
            </w:pPr>
            <w:r>
              <w:rPr>
                <w:rFonts w:hint="eastAsia" w:ascii="仿宋" w:hAnsi="仿宋" w:eastAsia="仿宋" w:cs="仿宋"/>
                <w:sz w:val="24"/>
                <w:szCs w:val="24"/>
              </w:rPr>
              <w:t>第八章 定标及公示</w:t>
            </w:r>
          </w:p>
        </w:tc>
      </w:tr>
      <w:tr w14:paraId="15884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26" w:type="dxa"/>
            <w:vAlign w:val="center"/>
          </w:tcPr>
          <w:p w14:paraId="00CD41EE">
            <w:pPr>
              <w:widowControl/>
              <w:spacing w:line="360" w:lineRule="auto"/>
              <w:jc w:val="center"/>
              <w:rPr>
                <w:rFonts w:ascii="仿宋" w:hAnsi="仿宋" w:eastAsia="仿宋" w:cs="Arial Unicode MS"/>
                <w:b w:val="0"/>
                <w:bCs w:val="0"/>
                <w:sz w:val="24"/>
              </w:rPr>
            </w:pPr>
          </w:p>
        </w:tc>
        <w:tc>
          <w:tcPr>
            <w:tcW w:w="6996" w:type="dxa"/>
            <w:vAlign w:val="center"/>
          </w:tcPr>
          <w:p w14:paraId="0F98CD1E">
            <w:pPr>
              <w:widowControl/>
              <w:spacing w:line="360" w:lineRule="auto"/>
              <w:rPr>
                <w:rFonts w:hint="eastAsia" w:ascii="仿宋" w:hAnsi="仿宋" w:eastAsia="仿宋" w:cs="仿宋"/>
                <w:sz w:val="24"/>
                <w:szCs w:val="24"/>
              </w:rPr>
            </w:pPr>
            <w:r>
              <w:rPr>
                <w:rFonts w:hint="eastAsia" w:ascii="仿宋" w:hAnsi="仿宋" w:eastAsia="仿宋" w:cs="仿宋"/>
                <w:sz w:val="24"/>
                <w:szCs w:val="24"/>
              </w:rPr>
              <w:t>第九章 公开招标失败的后续处理</w:t>
            </w:r>
          </w:p>
        </w:tc>
      </w:tr>
      <w:tr w14:paraId="7C0E6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26" w:type="dxa"/>
            <w:vAlign w:val="center"/>
          </w:tcPr>
          <w:p w14:paraId="589BADF8">
            <w:pPr>
              <w:widowControl/>
              <w:spacing w:line="360" w:lineRule="auto"/>
              <w:jc w:val="center"/>
              <w:rPr>
                <w:rFonts w:ascii="仿宋" w:hAnsi="仿宋" w:eastAsia="仿宋" w:cs="Arial Unicode MS"/>
                <w:b w:val="0"/>
                <w:bCs w:val="0"/>
                <w:sz w:val="24"/>
              </w:rPr>
            </w:pPr>
          </w:p>
        </w:tc>
        <w:tc>
          <w:tcPr>
            <w:tcW w:w="6996" w:type="dxa"/>
            <w:vAlign w:val="center"/>
          </w:tcPr>
          <w:p w14:paraId="279BFBDF">
            <w:pPr>
              <w:widowControl/>
              <w:spacing w:line="360" w:lineRule="auto"/>
              <w:rPr>
                <w:rFonts w:hint="eastAsia" w:ascii="仿宋" w:hAnsi="仿宋" w:eastAsia="仿宋" w:cs="仿宋"/>
                <w:sz w:val="24"/>
                <w:szCs w:val="24"/>
              </w:rPr>
            </w:pPr>
            <w:r>
              <w:rPr>
                <w:rFonts w:hint="eastAsia" w:ascii="仿宋" w:hAnsi="仿宋" w:eastAsia="仿宋" w:cs="仿宋"/>
                <w:sz w:val="24"/>
                <w:szCs w:val="24"/>
              </w:rPr>
              <w:t>第十章 合同的授予与备案</w:t>
            </w:r>
          </w:p>
        </w:tc>
      </w:tr>
      <w:tr w14:paraId="5B1E0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26" w:type="dxa"/>
            <w:vAlign w:val="center"/>
          </w:tcPr>
          <w:p w14:paraId="712F943C">
            <w:pPr>
              <w:widowControl/>
              <w:spacing w:line="360" w:lineRule="auto"/>
              <w:jc w:val="center"/>
              <w:rPr>
                <w:rFonts w:ascii="仿宋" w:hAnsi="仿宋" w:eastAsia="仿宋" w:cs="Arial Unicode MS"/>
                <w:b w:val="0"/>
                <w:bCs w:val="0"/>
                <w:sz w:val="24"/>
              </w:rPr>
            </w:pPr>
          </w:p>
        </w:tc>
        <w:tc>
          <w:tcPr>
            <w:tcW w:w="6996" w:type="dxa"/>
            <w:vAlign w:val="center"/>
          </w:tcPr>
          <w:p w14:paraId="74032085">
            <w:pPr>
              <w:widowControl/>
              <w:spacing w:line="360" w:lineRule="auto"/>
              <w:rPr>
                <w:rFonts w:hint="eastAsia" w:ascii="仿宋" w:hAnsi="仿宋" w:eastAsia="仿宋" w:cs="仿宋"/>
                <w:sz w:val="24"/>
                <w:szCs w:val="24"/>
              </w:rPr>
            </w:pPr>
            <w:r>
              <w:rPr>
                <w:rFonts w:hint="eastAsia" w:ascii="仿宋" w:hAnsi="仿宋" w:eastAsia="仿宋" w:cs="仿宋"/>
                <w:sz w:val="24"/>
                <w:szCs w:val="24"/>
              </w:rPr>
              <w:t>第十一章 质疑处理</w:t>
            </w:r>
          </w:p>
        </w:tc>
      </w:tr>
      <w:tr w14:paraId="5E3D4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26" w:type="dxa"/>
            <w:vAlign w:val="center"/>
          </w:tcPr>
          <w:p w14:paraId="19B92E88">
            <w:pPr>
              <w:widowControl/>
              <w:spacing w:line="360" w:lineRule="auto"/>
              <w:jc w:val="center"/>
              <w:rPr>
                <w:rFonts w:ascii="仿宋" w:hAnsi="仿宋" w:eastAsia="仿宋" w:cs="Arial Unicode MS"/>
                <w:b w:val="0"/>
                <w:bCs w:val="0"/>
                <w:sz w:val="24"/>
              </w:rPr>
            </w:pPr>
          </w:p>
        </w:tc>
        <w:tc>
          <w:tcPr>
            <w:tcW w:w="6996" w:type="dxa"/>
            <w:vAlign w:val="center"/>
          </w:tcPr>
          <w:p w14:paraId="4B0B0452">
            <w:pPr>
              <w:widowControl/>
              <w:spacing w:line="360" w:lineRule="auto"/>
              <w:rPr>
                <w:rFonts w:hint="eastAsia" w:ascii="仿宋" w:hAnsi="仿宋" w:eastAsia="仿宋" w:cs="仿宋"/>
                <w:sz w:val="24"/>
                <w:szCs w:val="24"/>
              </w:rPr>
            </w:pPr>
            <w:r>
              <w:rPr>
                <w:rFonts w:hint="eastAsia" w:ascii="仿宋" w:hAnsi="仿宋" w:eastAsia="仿宋" w:cs="仿宋"/>
                <w:sz w:val="24"/>
                <w:szCs w:val="24"/>
              </w:rPr>
              <w:t>第十二章 条款解释</w:t>
            </w:r>
          </w:p>
        </w:tc>
      </w:tr>
    </w:tbl>
    <w:p w14:paraId="354432F1">
      <w:pPr>
        <w:pStyle w:val="2"/>
        <w:spacing w:line="360" w:lineRule="auto"/>
        <w:ind w:left="0" w:leftChars="0" w:firstLine="480" w:firstLineChars="200"/>
        <w:rPr>
          <w:rFonts w:hint="eastAsia" w:ascii="仿宋" w:hAnsi="仿宋" w:eastAsia="仿宋" w:cs="仿宋"/>
          <w:sz w:val="24"/>
          <w:szCs w:val="32"/>
          <w:lang w:val="en-US" w:eastAsia="zh-CN"/>
        </w:rPr>
      </w:pPr>
    </w:p>
    <w:p w14:paraId="48644005">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 投标人下载采购文件后，应仔细检查采购文件的所有内容，如有疑问应在答疑截止时间之前向采购代理机构提出，否则，由此引起的投标损失自负；投标人同时应认真审阅采购文件所有的事项、格式、条款和规范要求等，如果投标人的投标文件未按采购文件要求提交全部资料或者投标文件未对采购文件做出实质性响应，其风险应由投标人自行承担，并根据有关条款规定，其投标有可能被拒绝。</w:t>
      </w:r>
    </w:p>
    <w:p w14:paraId="4A357543">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任何人或任何组织向投标人提交的任何书面或口头资料，未经采购代理机构在网上发布或书面通知，均作无效处理，不得作为采购文件的组成部分。采购代理机构对投标人由此而做出的推论、理解和结论概不负责。</w:t>
      </w:r>
    </w:p>
    <w:p w14:paraId="06D3F51B">
      <w:pPr>
        <w:pStyle w:val="2"/>
        <w:spacing w:line="360" w:lineRule="auto"/>
        <w:ind w:left="0" w:leftChars="0" w:firstLine="0" w:firstLineChars="0"/>
        <w:rPr>
          <w:rFonts w:hint="eastAsia" w:ascii="仿宋" w:hAnsi="仿宋" w:eastAsia="仿宋" w:cs="仿宋"/>
          <w:sz w:val="24"/>
          <w:szCs w:val="32"/>
          <w:lang w:val="en-US" w:eastAsia="zh-CN"/>
        </w:rPr>
      </w:pPr>
    </w:p>
    <w:p w14:paraId="2644AE62">
      <w:pPr>
        <w:pStyle w:val="2"/>
        <w:spacing w:line="360" w:lineRule="auto"/>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十二、采购文件的澄清</w:t>
      </w:r>
    </w:p>
    <w:p w14:paraId="63F54045">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投标人如对采购文件内容有疑问，必须在采购文件规定的答疑截止时间前向采购代理结构进行质询。不论是采购代理机构根据需要主动对采购文件进行必要的澄清或是根据投标人的要求对采购文件做出澄清，采购代理机构都将在投标截止日期前以书面形式（包括采购代理机构网站公开发布方式）答复或发送给所有投标人。答复（更正）文件作为采购文件的组成部分，对投标人起约束作用。</w:t>
      </w:r>
    </w:p>
    <w:p w14:paraId="09A931A4">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2、对于没有提出澄清又参与了该项目投标的供应商将被视为完全认同该采购文件（含答复（更正）内容），投标截止期后不再受理针对采购文件的相关质疑或投诉。</w:t>
      </w:r>
    </w:p>
    <w:p w14:paraId="3D6C8C94">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3、对采购文件中描述有歧意或前后不一致的地方，评审委员会有权进行评判，但对同一条款的评判应适用于每个投标人。</w:t>
      </w:r>
    </w:p>
    <w:p w14:paraId="53386214">
      <w:pPr>
        <w:pStyle w:val="2"/>
        <w:spacing w:line="360" w:lineRule="auto"/>
        <w:ind w:left="0" w:leftChars="0" w:firstLine="0" w:firstLineChars="0"/>
        <w:rPr>
          <w:rFonts w:hint="eastAsia" w:ascii="仿宋" w:hAnsi="仿宋" w:eastAsia="仿宋" w:cs="仿宋"/>
          <w:sz w:val="24"/>
          <w:szCs w:val="32"/>
          <w:lang w:val="en-US" w:eastAsia="zh-CN"/>
        </w:rPr>
      </w:pPr>
    </w:p>
    <w:p w14:paraId="79D7D567">
      <w:pPr>
        <w:pStyle w:val="2"/>
        <w:spacing w:line="360" w:lineRule="auto"/>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十三、采购文件的修改</w:t>
      </w:r>
    </w:p>
    <w:p w14:paraId="57E3DD1D">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1、采购文件发出后，在投标截止日期前任何时候，确需要变更采购内容的，采购代理机构可主动或在解答投标人提出的疑问时对采购文件进行修改。</w:t>
      </w:r>
    </w:p>
    <w:p w14:paraId="238F8DCC">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2、采购文件的修改以书面形式（包括采购代理机构网站公开发布方式）发送给所有投标人，采购文件的修改内容作为采购文件的组成部分，并具有约束力。</w:t>
      </w:r>
    </w:p>
    <w:p w14:paraId="083A31C1">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采购文件、采购文件答复（更正）文件、采购文件修改补充内容均以书面（包括采购代理机构网站公开发布方式，如更正公告等）明确的内容为准。当采购文件、修改补充通知、答复（更正）文件内容相互矛盾时，以最后发出的通知内容为准。</w:t>
      </w:r>
    </w:p>
    <w:p w14:paraId="4613A083">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采购代理机构保证采购文件答复（更正）文件和采购文件修改补充通知在投标截止时间前以书面形式（包括采购代理机构网站公开发布方式，如更正公告等）发送给所有投标人。为使投标人在编写投标文件时有充分时间对采购文件的修改部分进行研究，采购代理机构可以酌情延长递交投标文件的截止日期，具体时间将在修改补充通知中明确。</w:t>
      </w:r>
    </w:p>
    <w:p w14:paraId="57A2EB56">
      <w:pPr>
        <w:pStyle w:val="2"/>
        <w:spacing w:line="360" w:lineRule="auto"/>
        <w:ind w:left="0" w:leftChars="0" w:firstLine="0" w:firstLineChars="0"/>
        <w:rPr>
          <w:rFonts w:hint="eastAsia" w:ascii="仿宋" w:hAnsi="仿宋" w:eastAsia="仿宋" w:cs="仿宋"/>
          <w:b/>
          <w:bCs/>
          <w:sz w:val="28"/>
          <w:szCs w:val="36"/>
          <w:lang w:val="en-US" w:eastAsia="zh-CN"/>
        </w:rPr>
      </w:pPr>
    </w:p>
    <w:p w14:paraId="02B17C17">
      <w:pPr>
        <w:pStyle w:val="2"/>
        <w:spacing w:line="360" w:lineRule="auto"/>
        <w:ind w:left="0" w:leftChars="0" w:firstLine="0" w:firstLineChars="0"/>
        <w:jc w:val="center"/>
        <w:rPr>
          <w:rFonts w:hint="eastAsia" w:ascii="仿宋" w:hAnsi="仿宋" w:eastAsia="仿宋" w:cs="仿宋"/>
          <w:sz w:val="24"/>
          <w:szCs w:val="32"/>
          <w:lang w:val="en-US" w:eastAsia="zh-CN"/>
        </w:rPr>
      </w:pPr>
      <w:r>
        <w:rPr>
          <w:rFonts w:hint="eastAsia" w:ascii="仿宋" w:hAnsi="仿宋" w:eastAsia="仿宋" w:cs="仿宋"/>
          <w:b/>
          <w:bCs/>
          <w:sz w:val="28"/>
          <w:szCs w:val="36"/>
          <w:lang w:val="en-US" w:eastAsia="zh-CN"/>
        </w:rPr>
        <w:t>第三章 投标文件的编制</w:t>
      </w:r>
    </w:p>
    <w:p w14:paraId="7FB517EC">
      <w:pPr>
        <w:pStyle w:val="2"/>
        <w:spacing w:line="360" w:lineRule="auto"/>
        <w:ind w:left="0" w:leftChars="0" w:firstLine="0" w:firstLineChars="0"/>
        <w:rPr>
          <w:rFonts w:hint="eastAsia" w:ascii="仿宋" w:hAnsi="仿宋" w:eastAsia="仿宋" w:cs="仿宋"/>
          <w:sz w:val="24"/>
          <w:szCs w:val="32"/>
          <w:lang w:val="en-US" w:eastAsia="zh-CN"/>
        </w:rPr>
      </w:pPr>
    </w:p>
    <w:p w14:paraId="0B54DC55">
      <w:pPr>
        <w:pStyle w:val="2"/>
        <w:spacing w:line="360" w:lineRule="auto"/>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十四、投标文件的语言及度量单位</w:t>
      </w:r>
    </w:p>
    <w:p w14:paraId="0427B6F8">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B8489EC">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2、除技术规范另有规定外，投标文件使用的度量单位，均采用中华人民共和国法定计量单位。</w:t>
      </w:r>
    </w:p>
    <w:p w14:paraId="2FED49D6">
      <w:pPr>
        <w:pStyle w:val="2"/>
        <w:spacing w:line="360" w:lineRule="auto"/>
        <w:ind w:left="0" w:leftChars="0" w:firstLine="0" w:firstLineChars="0"/>
        <w:rPr>
          <w:rFonts w:hint="eastAsia" w:ascii="仿宋" w:hAnsi="仿宋" w:eastAsia="仿宋" w:cs="仿宋"/>
          <w:sz w:val="24"/>
          <w:szCs w:val="32"/>
          <w:lang w:val="en-US" w:eastAsia="zh-CN"/>
        </w:rPr>
      </w:pPr>
    </w:p>
    <w:p w14:paraId="7C198172">
      <w:pPr>
        <w:pStyle w:val="2"/>
        <w:spacing w:line="360" w:lineRule="auto"/>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十五、投标文件的组成</w:t>
      </w:r>
    </w:p>
    <w:p w14:paraId="6D5B3899">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具体内容请详见本项目采购文件第一册“专用条款”的相关内容。</w:t>
      </w:r>
    </w:p>
    <w:p w14:paraId="13D2619D">
      <w:pPr>
        <w:pStyle w:val="2"/>
        <w:spacing w:line="360" w:lineRule="auto"/>
        <w:ind w:left="0" w:leftChars="0" w:firstLine="0" w:firstLineChars="0"/>
        <w:rPr>
          <w:rFonts w:hint="eastAsia" w:ascii="仿宋" w:hAnsi="仿宋" w:eastAsia="仿宋" w:cs="仿宋"/>
          <w:b/>
          <w:bCs/>
          <w:sz w:val="24"/>
          <w:szCs w:val="32"/>
          <w:lang w:val="en-US" w:eastAsia="zh-CN"/>
        </w:rPr>
      </w:pPr>
    </w:p>
    <w:p w14:paraId="4365D4B2">
      <w:pPr>
        <w:pStyle w:val="2"/>
        <w:spacing w:line="360" w:lineRule="auto"/>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十六、投标文件格式</w:t>
      </w:r>
    </w:p>
    <w:p w14:paraId="1BFC19E6">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投标文件包括本通用条款第十五条中规定的内容。如采购文件提供了投标文件格式，则投标人提交的投标文件应毫无例外地使用采购文件所提供的相应格式（表格可以按同样格式扩展）。</w:t>
      </w:r>
    </w:p>
    <w:p w14:paraId="6716E55D">
      <w:pPr>
        <w:pStyle w:val="2"/>
        <w:spacing w:line="360" w:lineRule="auto"/>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十七、投标货币</w:t>
      </w:r>
    </w:p>
    <w:p w14:paraId="06038B96">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本项目的投标报价应以人民币计。</w:t>
      </w:r>
    </w:p>
    <w:p w14:paraId="6E2E7396">
      <w:pPr>
        <w:pStyle w:val="2"/>
        <w:spacing w:line="360" w:lineRule="auto"/>
        <w:ind w:left="0" w:leftChars="0" w:firstLine="0" w:firstLineChars="0"/>
        <w:rPr>
          <w:rFonts w:hint="eastAsia" w:ascii="仿宋" w:hAnsi="仿宋" w:eastAsia="仿宋" w:cs="仿宋"/>
          <w:b/>
          <w:bCs/>
          <w:sz w:val="24"/>
          <w:szCs w:val="32"/>
          <w:lang w:val="en-US" w:eastAsia="zh-CN"/>
        </w:rPr>
      </w:pPr>
    </w:p>
    <w:p w14:paraId="56284E20">
      <w:pPr>
        <w:pStyle w:val="2"/>
        <w:spacing w:line="360" w:lineRule="auto"/>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十八、证明投标文件投标技术方案的合格性和符合招标文件规定的文件要求</w:t>
      </w:r>
    </w:p>
    <w:p w14:paraId="7613CB15">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1、投标人应提交证明文件证明其投标技术方案项下的货物、工程和服务的合格性符合采购文件规定。该投标技术方案及其证明文件作为投标文件的一部分。</w:t>
      </w:r>
    </w:p>
    <w:p w14:paraId="4E99BB8F">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投标人提供证明投标技术方案与采购文件的要求相一致的文件，可以是文字资料、图纸、数据或数码照片、制造商公布的产品说明书、产品彩页和我国政府机构出具的产品检验和核准证件等，以证明投标人响应的真实性。它包括并应符合以下要求：</w:t>
      </w:r>
    </w:p>
    <w:p w14:paraId="182515C9">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2.1、主要技术指标和性能的详细说明。</w:t>
      </w:r>
    </w:p>
    <w:p w14:paraId="69D20092">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2.2、投标产品从采购人开始使用至采购文件中规定的周期内正常、连续地使用所必需的备件和专用工具清单，包括备件和专用工具的货源及现行价格。</w:t>
      </w:r>
    </w:p>
    <w:p w14:paraId="646EF017">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2.3、对照采购文件技术规格，逐条说明投标技术方案已对采购人的技术规格做出了实质性的响应，或申明与技术规格条文的偏差和例外。投标人应详细说明投标技术方案中产品的具体参数，不得照搬照抄采购文件的技术要求。</w:t>
      </w:r>
    </w:p>
    <w:p w14:paraId="7DCE3B11">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07E42906">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2.5、我国政府机构出具的产品检验和核准证件应为证件正面、背面和附件标注的全部具体内容；产品检验和核准证件的尺寸和清晰度应该能够在电脑上被阅读、识别和判断，提供原件扫描件。</w:t>
      </w:r>
    </w:p>
    <w:p w14:paraId="470CD9A4">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3、相关资料不符合“十八、2”款要求的，评审委员会有权认定为投标技术方案不合格响应，其相关分数予以扣减或作投标无效处理。</w:t>
      </w:r>
    </w:p>
    <w:p w14:paraId="3AC1D21D">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投标人在阐述上述第“十八、2”时应注意采购人在技术规格中指出的工艺、材料和设备的标准以及参照的牌号或分类号仅起说明作用，并没有任何限制性。投标人在投标中可以选用替代标准、牌号或分类号，但这些替代要实质上满足采购文件中技术规格的要求，是否满足要求，由评审委员会来评判。</w:t>
      </w:r>
    </w:p>
    <w:p w14:paraId="3117DE87">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5、为保证公平公正，除非另有规定或说明，投标人对同一项目投标时，不得同时提供两套或两套以上的投标方案。</w:t>
      </w:r>
    </w:p>
    <w:p w14:paraId="27E9A4D1">
      <w:pPr>
        <w:pStyle w:val="2"/>
        <w:spacing w:line="360" w:lineRule="auto"/>
        <w:ind w:left="0" w:leftChars="0" w:firstLine="0" w:firstLineChars="0"/>
        <w:rPr>
          <w:rFonts w:hint="eastAsia" w:ascii="仿宋" w:hAnsi="仿宋" w:eastAsia="仿宋" w:cs="仿宋"/>
          <w:b/>
          <w:bCs/>
          <w:sz w:val="24"/>
          <w:szCs w:val="32"/>
          <w:lang w:val="en-US" w:eastAsia="zh-CN"/>
        </w:rPr>
      </w:pPr>
    </w:p>
    <w:p w14:paraId="08A13FAC">
      <w:pPr>
        <w:pStyle w:val="2"/>
        <w:spacing w:line="360" w:lineRule="auto"/>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十九、投标文件其他证明文件的要求</w:t>
      </w:r>
    </w:p>
    <w:p w14:paraId="4529BF21">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对项目采购文件《评标信息》评分项中涉及的相关业绩、社保情况等内容以及《资格性审查表》和《符合性审查表》中涉及的资格证书，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采购文件有关需求进行响应，涉及资格性检查或符合性检查的予以投标无效处理，涉及《评标信息》打分项的则该项评分予以0分处理。</w:t>
      </w:r>
    </w:p>
    <w:p w14:paraId="30A6FA29">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03439C4">
      <w:pPr>
        <w:pStyle w:val="2"/>
        <w:spacing w:line="360" w:lineRule="auto"/>
        <w:ind w:left="0" w:leftChars="0" w:firstLine="0" w:firstLineChars="0"/>
        <w:rPr>
          <w:rFonts w:hint="eastAsia" w:ascii="仿宋" w:hAnsi="仿宋" w:eastAsia="仿宋" w:cs="仿宋"/>
          <w:b/>
          <w:bCs/>
          <w:sz w:val="24"/>
          <w:szCs w:val="32"/>
          <w:lang w:val="en-US" w:eastAsia="zh-CN"/>
        </w:rPr>
      </w:pPr>
    </w:p>
    <w:p w14:paraId="6047CD2E">
      <w:pPr>
        <w:pStyle w:val="2"/>
        <w:spacing w:line="360" w:lineRule="auto"/>
        <w:ind w:left="0" w:leftChars="0" w:firstLine="0" w:firstLineChars="0"/>
        <w:rPr>
          <w:rFonts w:hint="eastAsia" w:ascii="仿宋" w:hAnsi="仿宋" w:eastAsia="仿宋" w:cs="仿宋"/>
          <w:sz w:val="24"/>
          <w:szCs w:val="32"/>
          <w:lang w:val="en-US" w:eastAsia="zh-CN"/>
        </w:rPr>
      </w:pPr>
      <w:r>
        <w:rPr>
          <w:rFonts w:hint="eastAsia" w:ascii="仿宋" w:hAnsi="仿宋" w:eastAsia="仿宋" w:cs="仿宋"/>
          <w:b/>
          <w:bCs/>
          <w:sz w:val="24"/>
          <w:szCs w:val="32"/>
          <w:lang w:val="en-US" w:eastAsia="zh-CN"/>
        </w:rPr>
        <w:t>二十、投标有效期</w:t>
      </w:r>
    </w:p>
    <w:p w14:paraId="47869499">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1、投标有效期为从投标截止之日算起的日历天数，具体见专用条款中投标有效期的天数要求。在此期限内，所有投标文件均保持有效。</w:t>
      </w:r>
    </w:p>
    <w:p w14:paraId="4B7068FF">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在特殊的情况下，采购代理机构在原定的投标有效期满之前，采购代理机构可以根据需要以书面形式（包括采购代理机构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w:t>
      </w:r>
    </w:p>
    <w:p w14:paraId="072018CC">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3、中标单位的投标书有效期，截止于完成本招标文件规定的全部项目内容，并通过竣工验收及保修结束。</w:t>
      </w:r>
    </w:p>
    <w:p w14:paraId="683EB8C4">
      <w:pPr>
        <w:pStyle w:val="2"/>
        <w:spacing w:line="360" w:lineRule="auto"/>
        <w:ind w:left="0" w:leftChars="0" w:firstLine="0" w:firstLineChars="0"/>
        <w:rPr>
          <w:rFonts w:hint="eastAsia" w:ascii="仿宋" w:hAnsi="仿宋" w:eastAsia="仿宋" w:cs="仿宋"/>
          <w:b/>
          <w:bCs/>
          <w:sz w:val="24"/>
          <w:szCs w:val="32"/>
          <w:lang w:val="en-US" w:eastAsia="zh-CN"/>
        </w:rPr>
      </w:pPr>
    </w:p>
    <w:p w14:paraId="447C782C">
      <w:pPr>
        <w:pStyle w:val="2"/>
        <w:spacing w:line="360" w:lineRule="auto"/>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二十一、关于投标保证金</w:t>
      </w:r>
    </w:p>
    <w:p w14:paraId="49582830">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根据《深圳市财政局关于明确政府采购保证金管理工作的通知》（深财购[2019]42号）文的规定，本项目不收取投标保证金。</w:t>
      </w:r>
    </w:p>
    <w:p w14:paraId="5E3B11EA">
      <w:pPr>
        <w:pStyle w:val="2"/>
        <w:spacing w:line="360" w:lineRule="auto"/>
        <w:ind w:left="0" w:leftChars="0" w:firstLine="0" w:firstLineChars="0"/>
        <w:rPr>
          <w:rFonts w:hint="eastAsia" w:ascii="仿宋" w:hAnsi="仿宋" w:eastAsia="仿宋" w:cs="仿宋"/>
          <w:b/>
          <w:bCs/>
          <w:sz w:val="24"/>
          <w:szCs w:val="32"/>
          <w:lang w:val="en-US" w:eastAsia="zh-CN"/>
        </w:rPr>
      </w:pPr>
    </w:p>
    <w:p w14:paraId="3907D934">
      <w:pPr>
        <w:pStyle w:val="2"/>
        <w:spacing w:line="360" w:lineRule="auto"/>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二十二、投标人的替代方案</w:t>
      </w:r>
    </w:p>
    <w:p w14:paraId="477AB861">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1、投标人所提交的投标文件应完全满足采购文件（包括图纸和技术规范所示的基本技术设计）的要求。除非采购项目明确允许投标人提交替代方案，否则投标人有关替代方案的条款将初审不通过，投标无效。</w:t>
      </w:r>
    </w:p>
    <w:p w14:paraId="0314406A">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如果允许投标人提交替代方案，则准备提交替代方案的投标人除应提交一份满足采购文件（包括图纸和技术规范所示的基本技术设计）要求的投标文件外，还应提交需评审其替代方案所需的全部资料，包括项目方案书、技术规范、替代方案报价书、所建议的项目方案及有关的其它详细资料。</w:t>
      </w:r>
    </w:p>
    <w:p w14:paraId="544451E8">
      <w:pPr>
        <w:pStyle w:val="2"/>
        <w:spacing w:line="360" w:lineRule="auto"/>
        <w:ind w:left="0" w:leftChars="0" w:firstLine="0" w:firstLineChars="0"/>
        <w:rPr>
          <w:rFonts w:hint="eastAsia" w:ascii="仿宋" w:hAnsi="仿宋" w:eastAsia="仿宋" w:cs="仿宋"/>
          <w:b/>
          <w:bCs/>
          <w:sz w:val="24"/>
          <w:szCs w:val="32"/>
          <w:lang w:val="en-US" w:eastAsia="zh-CN"/>
        </w:rPr>
      </w:pPr>
    </w:p>
    <w:p w14:paraId="0CBA94F5">
      <w:pPr>
        <w:pStyle w:val="2"/>
        <w:spacing w:line="360" w:lineRule="auto"/>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二十三、投标文件的制作要求</w:t>
      </w:r>
    </w:p>
    <w:p w14:paraId="19E46FFD">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1、投标人应准备所投项目的电子投标文件一份。此电子投标文件须由投标人根据采购代理结果提供的后缀名为.szczf的电子采购文件，并使用《投标文件制作软件》打开采购文件（.szczf格式）。</w:t>
      </w:r>
    </w:p>
    <w:p w14:paraId="41EB8DD6">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2、投标人在利用《投标文件制作软件》编制投标书时须注意：</w:t>
      </w:r>
    </w:p>
    <w:p w14:paraId="3471A3E9">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2.1、导入《投标文件制作软件》的采购文件项目编号、包号应与以此制作的投标文件项目编号、包号一致。例如，不能将甲项目A包的采购书导入《投标文件制作软件》，制作乙项目B包的投标书。</w:t>
      </w:r>
    </w:p>
    <w:p w14:paraId="2FADC6C1">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2.2、不能用非本公司的电子密钥加密本公司的投标文件，或者用其它公司的登录用户上传本公司的投标文件。</w:t>
      </w:r>
    </w:p>
    <w:p w14:paraId="1C2C4652">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2.3、要求用《投标文件制作软件》编制投标书的包，不能用其它方式编制投标书。编制投标文件时，电脑须连通互联网。</w:t>
      </w:r>
    </w:p>
    <w:p w14:paraId="4FB9DE3D">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2.4、投标文件不能带病毒。采购代理机构将用专业杀毒软件对投标文件进行病毒检测，如果这两种软件均报告发现病毒，则采购代理机构认为该投标文件带病毒。</w:t>
      </w:r>
    </w:p>
    <w:p w14:paraId="24DC09D6">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2.5、完整填写“投标关键信息”，如下图所示：</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14"/>
      </w:tblGrid>
      <w:tr w14:paraId="6F608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514" w:type="dxa"/>
            <w:tcBorders>
              <w:tl2br w:val="nil"/>
              <w:tr2bl w:val="nil"/>
            </w:tcBorders>
          </w:tcPr>
          <w:p w14:paraId="36D9AABE">
            <w:pPr>
              <w:pStyle w:val="2"/>
              <w:spacing w:line="360" w:lineRule="auto"/>
              <w:ind w:left="0" w:leftChars="0" w:firstLine="0" w:firstLineChars="0"/>
              <w:rPr>
                <w:rFonts w:hint="eastAsia" w:ascii="仿宋" w:hAnsi="仿宋" w:eastAsia="仿宋" w:cs="仿宋"/>
                <w:sz w:val="24"/>
                <w:szCs w:val="32"/>
                <w:vertAlign w:val="baseline"/>
                <w:lang w:val="en-US" w:eastAsia="zh-CN"/>
              </w:rPr>
            </w:pPr>
            <w:r>
              <w:rPr>
                <w:rFonts w:asciiTheme="majorEastAsia" w:hAnsiTheme="majorEastAsia" w:eastAsiaTheme="majorEastAsia"/>
                <w:szCs w:val="21"/>
              </w:rPr>
              <w:drawing>
                <wp:inline distT="0" distB="0" distL="0" distR="0">
                  <wp:extent cx="5737860" cy="2958465"/>
                  <wp:effectExtent l="0" t="0" r="15240" b="13335"/>
                  <wp:docPr id="9" name="图片 6"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图形用户界面, 应用程序&#10;&#10;描述已自动生成"/>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7860" cy="2958465"/>
                          </a:xfrm>
                          <a:prstGeom prst="rect">
                            <a:avLst/>
                          </a:prstGeom>
                          <a:noFill/>
                          <a:ln>
                            <a:noFill/>
                          </a:ln>
                        </pic:spPr>
                      </pic:pic>
                    </a:graphicData>
                  </a:graphic>
                </wp:inline>
              </w:drawing>
            </w:r>
          </w:p>
        </w:tc>
      </w:tr>
    </w:tbl>
    <w:p w14:paraId="4C104F5B">
      <w:pPr>
        <w:pStyle w:val="2"/>
        <w:spacing w:line="360" w:lineRule="auto"/>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color w:val="FF0000"/>
          <w:sz w:val="24"/>
          <w:szCs w:val="32"/>
          <w:lang w:val="en-US" w:eastAsia="zh-CN"/>
        </w:rPr>
        <w:t>备注：</w:t>
      </w:r>
      <w:r>
        <w:rPr>
          <w:rFonts w:hint="eastAsia" w:ascii="仿宋" w:hAnsi="仿宋" w:eastAsia="仿宋" w:cs="仿宋"/>
          <w:b/>
          <w:bCs/>
          <w:sz w:val="24"/>
          <w:szCs w:val="32"/>
          <w:lang w:val="en-US" w:eastAsia="zh-CN"/>
        </w:rPr>
        <w:t>上述“开标一览表”中的“投标总价”将作为价格分计算依据；其它信息仅是对投标文件相关内容的概括性表述，不作为评审依据。</w:t>
      </w:r>
    </w:p>
    <w:p w14:paraId="534AE727">
      <w:pPr>
        <w:pStyle w:val="2"/>
        <w:spacing w:line="360" w:lineRule="auto"/>
        <w:ind w:left="0" w:leftChars="0" w:firstLine="0" w:firstLineChars="0"/>
        <w:rPr>
          <w:rFonts w:hint="eastAsia" w:ascii="仿宋" w:hAnsi="仿宋" w:eastAsia="仿宋" w:cs="仿宋"/>
          <w:sz w:val="24"/>
          <w:szCs w:val="32"/>
          <w:lang w:val="en-US" w:eastAsia="zh-CN"/>
        </w:rPr>
      </w:pPr>
    </w:p>
    <w:p w14:paraId="51988A9F">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2.6、投标人在编辑投标文件时，在投标文件目录中属于本节点内容的必须在本节点中填写，填写到其他节点或附件，一切后果由投标人自行承担。</w:t>
      </w:r>
    </w:p>
    <w:p w14:paraId="4B8BF4AE">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2.7、投标书编写完成后，必须用属于本公司的电子密钥进行加密，否则视同未盖公章，将导致投标文件无效。</w:t>
      </w:r>
    </w:p>
    <w:p w14:paraId="6DC49795">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2.8、采购代理机构不接受投标截止时间后递交的纸质、电子、传真等所有形式的投标文件。由于对网上招投标操作不熟悉或自身电脑、网络等原因导致不能在投标截止时间之前上传投标文件，采购代理机构概不负责。建议于开标前一个工作日完成投标文件的制作与上传，如上传确有困难，请及时咨询。</w:t>
      </w:r>
    </w:p>
    <w:p w14:paraId="56F0B019">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2.9、如果开标时出现网络故障、技术故障，影响了招投标活动，采购代理机构有权采取措施如延期、接受无法从网上上传的投标书等，以保障采购活动的公开、公平和公正。</w:t>
      </w:r>
    </w:p>
    <w:p w14:paraId="482AC24D">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3、电报、电话、传真形式的投标概不接受。</w:t>
      </w:r>
    </w:p>
    <w:p w14:paraId="60B68104">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4、投标文件无须盖章或签字，专用条款另有要求的除外。</w:t>
      </w:r>
    </w:p>
    <w:p w14:paraId="4F3DC97D">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5 、资格证明文件提供扫描件，专用条款另有要求的除外。</w:t>
      </w:r>
    </w:p>
    <w:p w14:paraId="652C3DC5">
      <w:pPr>
        <w:pStyle w:val="2"/>
        <w:spacing w:line="360" w:lineRule="auto"/>
        <w:ind w:left="0" w:leftChars="0" w:firstLine="0" w:firstLineChars="0"/>
        <w:rPr>
          <w:rFonts w:hint="eastAsia" w:ascii="仿宋" w:hAnsi="仿宋" w:eastAsia="仿宋" w:cs="仿宋"/>
          <w:sz w:val="24"/>
          <w:szCs w:val="32"/>
          <w:lang w:val="en-US" w:eastAsia="zh-CN"/>
        </w:rPr>
      </w:pPr>
    </w:p>
    <w:p w14:paraId="6BFE7DCF">
      <w:pPr>
        <w:pStyle w:val="2"/>
        <w:spacing w:line="360" w:lineRule="auto"/>
        <w:ind w:left="0" w:leftChars="0" w:firstLine="0" w:firstLineChars="0"/>
        <w:jc w:val="center"/>
        <w:rPr>
          <w:rFonts w:hint="eastAsia" w:ascii="仿宋" w:hAnsi="仿宋" w:eastAsia="仿宋" w:cs="仿宋"/>
          <w:sz w:val="24"/>
          <w:szCs w:val="32"/>
          <w:lang w:val="en-US" w:eastAsia="zh-CN"/>
        </w:rPr>
      </w:pPr>
      <w:r>
        <w:rPr>
          <w:rFonts w:hint="eastAsia" w:ascii="仿宋" w:hAnsi="仿宋" w:eastAsia="仿宋" w:cs="仿宋"/>
          <w:b/>
          <w:bCs/>
          <w:sz w:val="28"/>
          <w:szCs w:val="36"/>
          <w:lang w:val="en-US" w:eastAsia="zh-CN"/>
        </w:rPr>
        <w:t>第四章 投标文件的递交</w:t>
      </w:r>
    </w:p>
    <w:p w14:paraId="75E16359">
      <w:pPr>
        <w:pStyle w:val="2"/>
        <w:spacing w:line="360" w:lineRule="auto"/>
        <w:ind w:left="0" w:leftChars="0" w:firstLine="0" w:firstLineChars="0"/>
        <w:rPr>
          <w:rFonts w:hint="eastAsia" w:ascii="仿宋" w:hAnsi="仿宋" w:eastAsia="仿宋" w:cs="仿宋"/>
          <w:b/>
          <w:bCs/>
          <w:sz w:val="24"/>
          <w:szCs w:val="32"/>
          <w:lang w:val="en-US" w:eastAsia="zh-CN"/>
        </w:rPr>
      </w:pPr>
    </w:p>
    <w:p w14:paraId="5DF0C9EC">
      <w:pPr>
        <w:pStyle w:val="2"/>
        <w:spacing w:line="360" w:lineRule="auto"/>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二十四、投标书的保密</w:t>
      </w:r>
    </w:p>
    <w:p w14:paraId="22F6C1BE">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标文件自动进行加密，此加密程序确保投标文件在到达开标时间后才能解密查看。在加密过程中，请按照软件提示进行操作。加密操作界面如下图所示：</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14"/>
      </w:tblGrid>
      <w:tr w14:paraId="7B8C8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514" w:type="dxa"/>
            <w:tcBorders>
              <w:tl2br w:val="nil"/>
              <w:tr2bl w:val="nil"/>
            </w:tcBorders>
          </w:tcPr>
          <w:p w14:paraId="70CA6381">
            <w:pPr>
              <w:pStyle w:val="2"/>
              <w:spacing w:line="360" w:lineRule="auto"/>
              <w:ind w:left="0" w:leftChars="0" w:firstLine="0" w:firstLineChars="0"/>
              <w:rPr>
                <w:rFonts w:hint="eastAsia" w:ascii="仿宋" w:hAnsi="仿宋" w:eastAsia="仿宋" w:cs="仿宋"/>
                <w:sz w:val="24"/>
                <w:szCs w:val="32"/>
                <w:vertAlign w:val="baseline"/>
                <w:lang w:val="en-US" w:eastAsia="zh-CN"/>
              </w:rPr>
            </w:pPr>
            <w:r>
              <w:rPr>
                <w:rFonts w:asciiTheme="majorEastAsia" w:hAnsiTheme="majorEastAsia" w:eastAsiaTheme="majorEastAsia"/>
                <w:szCs w:val="21"/>
              </w:rPr>
              <w:drawing>
                <wp:inline distT="0" distB="0" distL="0" distR="0">
                  <wp:extent cx="5807075" cy="2994025"/>
                  <wp:effectExtent l="0" t="0" r="3175" b="15875"/>
                  <wp:docPr id="11" name="图片 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图形用户界面, 应用程序&#10;&#10;描述已自动生成"/>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07075" cy="2994025"/>
                          </a:xfrm>
                          <a:prstGeom prst="rect">
                            <a:avLst/>
                          </a:prstGeom>
                          <a:noFill/>
                          <a:ln>
                            <a:noFill/>
                          </a:ln>
                        </pic:spPr>
                      </pic:pic>
                    </a:graphicData>
                  </a:graphic>
                </wp:inline>
              </w:drawing>
            </w:r>
          </w:p>
        </w:tc>
      </w:tr>
    </w:tbl>
    <w:p w14:paraId="139440C4">
      <w:pPr>
        <w:pStyle w:val="2"/>
        <w:spacing w:line="360" w:lineRule="auto"/>
        <w:ind w:left="0" w:leftChars="0" w:firstLine="0" w:firstLineChars="0"/>
        <w:rPr>
          <w:rFonts w:hint="eastAsia" w:ascii="仿宋" w:hAnsi="仿宋" w:eastAsia="仿宋" w:cs="仿宋"/>
          <w:sz w:val="24"/>
          <w:szCs w:val="32"/>
          <w:lang w:val="en-US" w:eastAsia="zh-CN"/>
        </w:rPr>
      </w:pPr>
    </w:p>
    <w:p w14:paraId="53912F57">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在投标文件制作软件点击【生成标书】按钮进入【填写开标一览表界面】界面，在该界面填写完开标一览表信息后点击【确定】，进入投标文件生成环节。</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14"/>
      </w:tblGrid>
      <w:tr w14:paraId="486BA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514" w:type="dxa"/>
            <w:tcBorders>
              <w:tl2br w:val="nil"/>
              <w:tr2bl w:val="nil"/>
            </w:tcBorders>
          </w:tcPr>
          <w:p w14:paraId="0D8717BF">
            <w:pPr>
              <w:pStyle w:val="2"/>
              <w:spacing w:line="360" w:lineRule="auto"/>
              <w:ind w:left="0" w:leftChars="0" w:firstLine="0" w:firstLineChars="0"/>
              <w:rPr>
                <w:rFonts w:hint="eastAsia" w:ascii="仿宋" w:hAnsi="仿宋" w:eastAsia="仿宋" w:cs="仿宋"/>
                <w:sz w:val="24"/>
                <w:szCs w:val="32"/>
                <w:vertAlign w:val="baseline"/>
                <w:lang w:val="en-US" w:eastAsia="zh-CN"/>
              </w:rPr>
            </w:pPr>
            <w:r>
              <w:rPr>
                <w:rFonts w:asciiTheme="majorEastAsia" w:hAnsiTheme="majorEastAsia" w:eastAsiaTheme="majorEastAsia"/>
                <w:szCs w:val="21"/>
              </w:rPr>
              <w:drawing>
                <wp:inline distT="0" distB="0" distL="0" distR="0">
                  <wp:extent cx="5832475" cy="3018790"/>
                  <wp:effectExtent l="0" t="0" r="15875" b="10160"/>
                  <wp:docPr id="12" name="图片 8"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图形用户界面&#10;&#10;描述已自动生成"/>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32475" cy="3018790"/>
                          </a:xfrm>
                          <a:prstGeom prst="rect">
                            <a:avLst/>
                          </a:prstGeom>
                          <a:noFill/>
                          <a:ln>
                            <a:noFill/>
                          </a:ln>
                        </pic:spPr>
                      </pic:pic>
                    </a:graphicData>
                  </a:graphic>
                </wp:inline>
              </w:drawing>
            </w:r>
          </w:p>
        </w:tc>
      </w:tr>
    </w:tbl>
    <w:p w14:paraId="4B3D0DBA">
      <w:pPr>
        <w:pStyle w:val="2"/>
        <w:spacing w:line="360" w:lineRule="auto"/>
        <w:ind w:left="0" w:leftChars="0" w:firstLine="0" w:firstLineChars="0"/>
        <w:rPr>
          <w:rFonts w:hint="eastAsia" w:ascii="仿宋" w:hAnsi="仿宋" w:eastAsia="仿宋" w:cs="仿宋"/>
          <w:sz w:val="24"/>
          <w:szCs w:val="32"/>
          <w:lang w:val="en-US" w:eastAsia="zh-CN"/>
        </w:rPr>
      </w:pPr>
    </w:p>
    <w:p w14:paraId="76B94CBC">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投标文件制作软件会在投标文件生成过程中，提示用户输入密码，输入密码后对标文件自动进行加密。</w:t>
      </w:r>
    </w:p>
    <w:p w14:paraId="486CE450">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2、若采购项目出现延期情况：</w:t>
      </w:r>
    </w:p>
    <w:p w14:paraId="63823CF7">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果供下载的采购文件（后缀名为.szczf）有更新，投标人必须重新下载采购文件、重新制作投标文件、重新加密投标文件、重新上传投标文件；如果供下载的采购文件（后缀名为.szczf）没有更新，投标人必须重新加密投标文件、重新上传投标文件（是否重新制作投标文件根据项目实际情况定）。否则，投标人自行承担投标文件无法解密导致投标无效的后果。</w:t>
      </w:r>
    </w:p>
    <w:p w14:paraId="6C92CE94">
      <w:pPr>
        <w:pStyle w:val="2"/>
        <w:spacing w:line="360" w:lineRule="auto"/>
        <w:ind w:left="0" w:leftChars="0" w:firstLine="0" w:firstLineChars="0"/>
        <w:rPr>
          <w:rFonts w:hint="eastAsia" w:ascii="仿宋" w:hAnsi="仿宋" w:eastAsia="仿宋" w:cs="仿宋"/>
          <w:sz w:val="24"/>
          <w:szCs w:val="32"/>
          <w:lang w:val="en-US" w:eastAsia="zh-CN"/>
        </w:rPr>
      </w:pPr>
    </w:p>
    <w:p w14:paraId="53C62A42">
      <w:pPr>
        <w:pStyle w:val="2"/>
        <w:spacing w:line="360" w:lineRule="auto"/>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二十五、上传投标文件及投标截止日期</w:t>
      </w:r>
    </w:p>
    <w:p w14:paraId="70C5B2C9">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1、实行网上投标，投标人必须在采购文件规定的投标截止时间前用电子密钥登录“深圳政府采购智慧平台”，用“【我的项目】→【项目流程】→【递交投标(应答)文件】”功能点上传投标文件。</w:t>
      </w:r>
    </w:p>
    <w:p w14:paraId="7E08112D">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2、采购代理机构可以按本通用条款第十三条规定，通过修改采购文件自行决定酌情延长投标截止期。在此情况下，采购代理机构、采购人和投标人受投标截止期制约的所有权利和义务均应延长至新的截止期。</w:t>
      </w:r>
    </w:p>
    <w:p w14:paraId="174C8F73">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3、投标截止时间以后不得上传投标文件。</w:t>
      </w:r>
    </w:p>
    <w:p w14:paraId="5BA5D1CB">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投标人必须在采购文件规定的解密时间段里面进行在线解密，逾期未解密的作无效处理。解密方法为登录“深圳政府采购智慧平台”系统，点击【我的项目】→【项目流程】→【开标及解密】功能点上进行在线解密。</w:t>
      </w:r>
    </w:p>
    <w:p w14:paraId="4F7E574D">
      <w:pPr>
        <w:pStyle w:val="2"/>
        <w:spacing w:line="360" w:lineRule="auto"/>
        <w:ind w:left="0" w:leftChars="0" w:firstLine="0" w:firstLineChars="0"/>
        <w:rPr>
          <w:rFonts w:hint="eastAsia" w:ascii="仿宋" w:hAnsi="仿宋" w:eastAsia="仿宋" w:cs="仿宋"/>
          <w:b/>
          <w:bCs/>
          <w:sz w:val="24"/>
          <w:szCs w:val="32"/>
          <w:lang w:val="en-US" w:eastAsia="zh-CN"/>
        </w:rPr>
      </w:pPr>
    </w:p>
    <w:p w14:paraId="371A9B37">
      <w:pPr>
        <w:pStyle w:val="2"/>
        <w:spacing w:line="360" w:lineRule="auto"/>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二十六、样品、现场演示、方案讲解</w:t>
      </w:r>
    </w:p>
    <w:p w14:paraId="4C791251">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详见采购文件第一次“专用条款”相关规定。</w:t>
      </w:r>
    </w:p>
    <w:p w14:paraId="4C83CCC7">
      <w:pPr>
        <w:pStyle w:val="2"/>
        <w:spacing w:line="360" w:lineRule="auto"/>
        <w:ind w:left="0" w:leftChars="0" w:firstLine="0" w:firstLineChars="0"/>
        <w:rPr>
          <w:rFonts w:hint="eastAsia" w:ascii="仿宋" w:hAnsi="仿宋" w:eastAsia="仿宋" w:cs="仿宋"/>
          <w:b/>
          <w:bCs/>
          <w:sz w:val="24"/>
          <w:szCs w:val="32"/>
          <w:lang w:val="en-US" w:eastAsia="zh-CN"/>
        </w:rPr>
      </w:pPr>
    </w:p>
    <w:p w14:paraId="541EE4D5">
      <w:pPr>
        <w:pStyle w:val="2"/>
        <w:spacing w:line="360" w:lineRule="auto"/>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二十七、投标文件的修改和撤销</w:t>
      </w:r>
    </w:p>
    <w:p w14:paraId="62924D41">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1、投标方在提交投标文件后可对其投标文件进行修改并重新上传投标文件或在网上进行撤销投标的操作。</w:t>
      </w:r>
    </w:p>
    <w:p w14:paraId="673D4A27">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2、投标截止时间以后不得修改投标文件。</w:t>
      </w:r>
    </w:p>
    <w:p w14:paraId="03AA511F">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3、从投标截止期至投标人在投标书中确定的投标有效期之间的这段时间内，投标人不得撤回其投标。</w:t>
      </w:r>
    </w:p>
    <w:p w14:paraId="7E509313">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4、采购代理机构不退还投标文件，专用条款另有规定的除外。</w:t>
      </w:r>
    </w:p>
    <w:p w14:paraId="7D0F4D0B">
      <w:pPr>
        <w:pStyle w:val="2"/>
        <w:spacing w:line="360" w:lineRule="auto"/>
        <w:ind w:left="0" w:leftChars="0" w:firstLine="0" w:firstLineChars="0"/>
        <w:rPr>
          <w:rFonts w:hint="eastAsia" w:ascii="仿宋" w:hAnsi="仿宋" w:eastAsia="仿宋" w:cs="仿宋"/>
          <w:sz w:val="24"/>
          <w:szCs w:val="32"/>
          <w:lang w:val="en-US" w:eastAsia="zh-CN"/>
        </w:rPr>
      </w:pPr>
    </w:p>
    <w:p w14:paraId="44666223">
      <w:pPr>
        <w:pStyle w:val="2"/>
        <w:spacing w:line="360" w:lineRule="auto"/>
        <w:ind w:left="0" w:leftChars="0" w:firstLine="0" w:firstLineChars="0"/>
        <w:jc w:val="center"/>
        <w:rPr>
          <w:rFonts w:hint="eastAsia" w:ascii="仿宋" w:hAnsi="仿宋" w:eastAsia="仿宋" w:cs="仿宋"/>
          <w:sz w:val="24"/>
          <w:szCs w:val="32"/>
          <w:lang w:val="en-US" w:eastAsia="zh-CN"/>
        </w:rPr>
      </w:pPr>
      <w:r>
        <w:rPr>
          <w:rFonts w:hint="eastAsia" w:ascii="仿宋" w:hAnsi="仿宋" w:eastAsia="仿宋" w:cs="仿宋"/>
          <w:b/>
          <w:bCs/>
          <w:sz w:val="28"/>
          <w:szCs w:val="36"/>
          <w:lang w:val="en-US" w:eastAsia="zh-CN"/>
        </w:rPr>
        <w:t>第五章 开标</w:t>
      </w:r>
    </w:p>
    <w:p w14:paraId="4F93A842">
      <w:pPr>
        <w:pStyle w:val="2"/>
        <w:spacing w:line="360" w:lineRule="auto"/>
        <w:ind w:left="0" w:leftChars="0" w:firstLine="0" w:firstLineChars="0"/>
        <w:rPr>
          <w:rFonts w:hint="eastAsia" w:ascii="仿宋" w:hAnsi="仿宋" w:eastAsia="仿宋" w:cs="仿宋"/>
          <w:sz w:val="24"/>
          <w:szCs w:val="32"/>
          <w:lang w:val="en-US" w:eastAsia="zh-CN"/>
        </w:rPr>
      </w:pPr>
    </w:p>
    <w:p w14:paraId="41393D57">
      <w:pPr>
        <w:pStyle w:val="2"/>
        <w:spacing w:line="360" w:lineRule="auto"/>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二十八、开标</w:t>
      </w:r>
    </w:p>
    <w:p w14:paraId="20D99EED">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投标人须在采购文件规定的解密时间段里面进行在线解密，逾期未解密的作无效处理。解密方法为登录“深圳政府采购智慧平台”系统，点击【我的项目】→【项目流程】→【开标及解密】功能点上进行在线解密、查询开标情况。</w:t>
      </w:r>
    </w:p>
    <w:p w14:paraId="24FFA1F7">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2、采购代理机构将在满足开标条件（①解密时间结束，解密后的投标供应商数量满足开标要求或②解密时间结束前所有投标供应商均完成投标文件解密）后，对投标文件进行开标，并在网上公布开标结果。</w:t>
      </w:r>
    </w:p>
    <w:p w14:paraId="2CE0E668">
      <w:pPr>
        <w:pStyle w:val="2"/>
        <w:spacing w:line="360" w:lineRule="auto"/>
        <w:ind w:left="0" w:leftChars="0" w:firstLine="0" w:firstLineChars="0"/>
        <w:rPr>
          <w:rFonts w:hint="eastAsia" w:ascii="仿宋" w:hAnsi="仿宋" w:eastAsia="仿宋" w:cs="仿宋"/>
          <w:sz w:val="24"/>
          <w:szCs w:val="32"/>
          <w:lang w:val="en-US" w:eastAsia="zh-CN"/>
        </w:rPr>
      </w:pPr>
    </w:p>
    <w:p w14:paraId="4D17CAE8">
      <w:pPr>
        <w:pStyle w:val="2"/>
        <w:spacing w:line="360" w:lineRule="auto"/>
        <w:ind w:left="0" w:leftChars="0" w:firstLine="0" w:firstLineChars="0"/>
        <w:jc w:val="center"/>
        <w:rPr>
          <w:rFonts w:hint="eastAsia" w:ascii="仿宋" w:hAnsi="仿宋" w:eastAsia="仿宋" w:cs="仿宋"/>
          <w:sz w:val="24"/>
          <w:szCs w:val="32"/>
          <w:lang w:val="en-US" w:eastAsia="zh-CN"/>
        </w:rPr>
      </w:pPr>
      <w:r>
        <w:rPr>
          <w:rFonts w:hint="eastAsia" w:ascii="仿宋" w:hAnsi="仿宋" w:eastAsia="仿宋" w:cs="仿宋"/>
          <w:b/>
          <w:bCs/>
          <w:sz w:val="28"/>
          <w:szCs w:val="36"/>
          <w:lang w:val="en-US" w:eastAsia="zh-CN"/>
        </w:rPr>
        <w:t>第六章 评标要求</w:t>
      </w:r>
    </w:p>
    <w:p w14:paraId="46E303B3">
      <w:pPr>
        <w:pStyle w:val="2"/>
        <w:spacing w:line="360" w:lineRule="auto"/>
        <w:ind w:left="0" w:leftChars="0" w:firstLine="0" w:firstLineChars="0"/>
        <w:rPr>
          <w:rFonts w:hint="eastAsia" w:ascii="仿宋" w:hAnsi="仿宋" w:eastAsia="仿宋" w:cs="仿宋"/>
          <w:sz w:val="24"/>
          <w:szCs w:val="32"/>
          <w:lang w:val="en-US" w:eastAsia="zh-CN"/>
        </w:rPr>
      </w:pPr>
    </w:p>
    <w:p w14:paraId="53CFEB15">
      <w:pPr>
        <w:pStyle w:val="2"/>
        <w:spacing w:line="360" w:lineRule="auto"/>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二十九、评审委员会组成</w:t>
      </w:r>
    </w:p>
    <w:p w14:paraId="643D102C">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1、网上开标结束后召开评标会议，评审委员会由采购代理机构依法组建，负责评标活动。</w:t>
      </w:r>
    </w:p>
    <w:p w14:paraId="609E259A">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1.1、评审委员会的组成及行为规范执行《深圳经济特区政府采购条例实施细则》，评审委员会由评审专家组成，人数为五人以上的单数，评审专家从深圳市政府采购评审专家库中随机抽取。</w:t>
      </w:r>
    </w:p>
    <w:p w14:paraId="01012F18">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1.2、采购人代表须持本单位签发的《评标授权书》参加评标。</w:t>
      </w:r>
    </w:p>
    <w:p w14:paraId="6BFF2B88">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2、评标定标应当遵循公平、公正、科学、择优的原则。</w:t>
      </w:r>
    </w:p>
    <w:p w14:paraId="252525F3">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3、评标活动依法进行，任何单位和个人不得非法干预评标过程和结果。</w:t>
      </w:r>
    </w:p>
    <w:p w14:paraId="675D7FFA">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4、评标过程中不允许违背评标程序或采用采购文件未载明的评标方法或评标因素进行评标。</w:t>
      </w:r>
    </w:p>
    <w:p w14:paraId="36BEA09D">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5、开标后，直到签订合同为止，凡属于对投标文件的审查、澄清、评价和比较的有关资料以及中标候选人的推荐情况、与评标有关的其他任何情况均严格保密（信息公开的内容除外）。</w:t>
      </w:r>
    </w:p>
    <w:p w14:paraId="0995DCB6">
      <w:pPr>
        <w:pStyle w:val="2"/>
        <w:spacing w:line="360" w:lineRule="auto"/>
        <w:ind w:left="0" w:leftChars="0" w:firstLine="0" w:firstLineChars="0"/>
        <w:rPr>
          <w:rFonts w:hint="eastAsia" w:ascii="仿宋" w:hAnsi="仿宋" w:eastAsia="仿宋" w:cs="仿宋"/>
          <w:b/>
          <w:bCs/>
          <w:sz w:val="24"/>
          <w:szCs w:val="32"/>
          <w:lang w:val="en-US" w:eastAsia="zh-CN"/>
        </w:rPr>
      </w:pPr>
    </w:p>
    <w:p w14:paraId="73B53151">
      <w:pPr>
        <w:pStyle w:val="2"/>
        <w:spacing w:line="360" w:lineRule="auto"/>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三十、向评审委员会提供的资料</w:t>
      </w:r>
    </w:p>
    <w:p w14:paraId="2B5C05AD">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1、公开发布的采购文件，包括图纸、服务清单、答疑文件等。</w:t>
      </w:r>
    </w:p>
    <w:p w14:paraId="6BE9CB1A">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2、其他评标必须的资料。</w:t>
      </w:r>
    </w:p>
    <w:p w14:paraId="08D2B4FE">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3、评审委员会应当认真研究采购文件，至少应了解熟悉以下内容：</w:t>
      </w:r>
    </w:p>
    <w:p w14:paraId="52F84401">
      <w:pPr>
        <w:pStyle w:val="2"/>
        <w:spacing w:line="360" w:lineRule="auto"/>
        <w:ind w:left="0" w:leftChars="0" w:firstLine="720" w:firstLineChars="3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（1）采购的目的。</w:t>
      </w:r>
    </w:p>
    <w:p w14:paraId="0DB889FF">
      <w:pPr>
        <w:pStyle w:val="2"/>
        <w:spacing w:line="360" w:lineRule="auto"/>
        <w:ind w:left="0" w:leftChars="0" w:firstLine="720" w:firstLineChars="3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（2）采购项目需求的范围和性质。</w:t>
      </w:r>
    </w:p>
    <w:p w14:paraId="73CBEC81">
      <w:pPr>
        <w:pStyle w:val="2"/>
        <w:spacing w:line="360" w:lineRule="auto"/>
        <w:ind w:left="0" w:leftChars="0" w:firstLine="720" w:firstLineChars="3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（3）采购文件规定的投标人的资格、财政预算限额、商务条款。</w:t>
      </w:r>
    </w:p>
    <w:p w14:paraId="10B8A956">
      <w:pPr>
        <w:pStyle w:val="2"/>
        <w:spacing w:line="360" w:lineRule="auto"/>
        <w:ind w:left="0" w:leftChars="0" w:firstLine="720" w:firstLineChars="3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（4）采购文件规定的评标程序、评标方法和评标因素。</w:t>
      </w:r>
    </w:p>
    <w:p w14:paraId="7E3DEFCD">
      <w:pPr>
        <w:pStyle w:val="2"/>
        <w:spacing w:line="360" w:lineRule="auto"/>
        <w:ind w:left="0" w:leftChars="0" w:firstLine="720" w:firstLineChars="3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（5）采购文件所列示的资格性审查表及符合性审查表。</w:t>
      </w:r>
    </w:p>
    <w:p w14:paraId="2C4A634E">
      <w:pPr>
        <w:pStyle w:val="2"/>
        <w:spacing w:line="360" w:lineRule="auto"/>
        <w:ind w:left="0" w:leftChars="0" w:firstLine="0" w:firstLineChars="0"/>
        <w:rPr>
          <w:rFonts w:hint="eastAsia" w:ascii="仿宋" w:hAnsi="仿宋" w:eastAsia="仿宋" w:cs="仿宋"/>
          <w:b/>
          <w:bCs/>
          <w:sz w:val="24"/>
          <w:szCs w:val="32"/>
          <w:lang w:val="en-US" w:eastAsia="zh-CN"/>
        </w:rPr>
      </w:pPr>
    </w:p>
    <w:p w14:paraId="79CB1692">
      <w:pPr>
        <w:pStyle w:val="2"/>
        <w:spacing w:line="360" w:lineRule="auto"/>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三十一、独立评审</w:t>
      </w:r>
    </w:p>
    <w:p w14:paraId="38B2B3EE">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评审委员会成员的评标活动应当独立进行，并应遵循投标文件初审、澄清有关问题、比较与评价、确定中标供应商、编写评审报告的工作程序。</w:t>
      </w:r>
    </w:p>
    <w:p w14:paraId="4819D895">
      <w:pPr>
        <w:pStyle w:val="2"/>
        <w:spacing w:line="360" w:lineRule="auto"/>
        <w:ind w:left="0" w:leftChars="0" w:firstLine="0" w:firstLineChars="0"/>
        <w:rPr>
          <w:rFonts w:hint="eastAsia" w:ascii="仿宋" w:hAnsi="仿宋" w:eastAsia="仿宋" w:cs="仿宋"/>
          <w:sz w:val="24"/>
          <w:szCs w:val="32"/>
          <w:lang w:val="en-US" w:eastAsia="zh-CN"/>
        </w:rPr>
      </w:pPr>
    </w:p>
    <w:p w14:paraId="0A659367">
      <w:pPr>
        <w:pStyle w:val="2"/>
        <w:spacing w:line="360" w:lineRule="auto"/>
        <w:ind w:left="0" w:leftChars="0" w:firstLine="0" w:firstLineChars="0"/>
        <w:jc w:val="center"/>
        <w:rPr>
          <w:rFonts w:hint="eastAsia" w:ascii="仿宋" w:hAnsi="仿宋" w:eastAsia="仿宋" w:cs="仿宋"/>
          <w:sz w:val="24"/>
          <w:szCs w:val="32"/>
          <w:lang w:val="en-US" w:eastAsia="zh-CN"/>
        </w:rPr>
      </w:pPr>
      <w:r>
        <w:rPr>
          <w:rFonts w:hint="eastAsia" w:ascii="仿宋" w:hAnsi="仿宋" w:eastAsia="仿宋" w:cs="仿宋"/>
          <w:b/>
          <w:bCs/>
          <w:sz w:val="28"/>
          <w:szCs w:val="36"/>
          <w:lang w:val="en-US" w:eastAsia="zh-CN"/>
        </w:rPr>
        <w:t>第七章 评标程序及评标方法</w:t>
      </w:r>
    </w:p>
    <w:p w14:paraId="4B8DADC0">
      <w:pPr>
        <w:pStyle w:val="2"/>
        <w:spacing w:line="360" w:lineRule="auto"/>
        <w:ind w:left="0" w:leftChars="0" w:firstLine="0" w:firstLineChars="0"/>
        <w:rPr>
          <w:rFonts w:hint="eastAsia" w:ascii="仿宋" w:hAnsi="仿宋" w:eastAsia="仿宋" w:cs="仿宋"/>
          <w:sz w:val="24"/>
          <w:szCs w:val="32"/>
          <w:lang w:val="en-US" w:eastAsia="zh-CN"/>
        </w:rPr>
      </w:pPr>
    </w:p>
    <w:p w14:paraId="2F849BCE">
      <w:pPr>
        <w:pStyle w:val="2"/>
        <w:spacing w:line="360" w:lineRule="auto"/>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三十二、投标文件初审</w:t>
      </w:r>
    </w:p>
    <w:p w14:paraId="07BD1BA3">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1、投标文件初审包括资格性审查和符合性审查。</w:t>
      </w:r>
    </w:p>
    <w:p w14:paraId="51339370">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1.1、资格性审查：依据法律法规和采购文件的规定，对投标文件中的资格证明等进行审查，以确定投标供应商是否具备投标资格。</w:t>
      </w:r>
    </w:p>
    <w:p w14:paraId="27ACC2A2">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1.2、符合性审查：依据采购文件的规定，从投标文件的有效性、完整性和对采购文件的响应程度进行审查，以确定是否对采购文件的实质性要求作出响应。</w:t>
      </w:r>
    </w:p>
    <w:p w14:paraId="6FD40420">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 投标文件初审内容请详见《资格性审查表》和《符合性审查表》部分。投标人若有一条审查不通过则按投标无效处理。。</w:t>
      </w:r>
    </w:p>
    <w:p w14:paraId="0ECC4FDE">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3、投标文件初审中关于供应商家数的计算</w:t>
      </w:r>
    </w:p>
    <w:p w14:paraId="473774DA">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3.1、采用最低评标价法的采购项目，提供相同品牌产品的不同投标人参加同一合同项下投标的，以其中通过资格审查、符合性审查且报价最低的参加评标；报价相同的，由采购人或者采购人委托评审委员会按照采购文件规定的方式确定一个参加评标的投标人，采购文件未规定的采取随机抽取方式确定，其他投标无效。</w:t>
      </w:r>
    </w:p>
    <w:p w14:paraId="6AB698DC">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3C96EF79">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3.3、非单一产品采购项目，采购人应当根据采购项目技术构成、产品价格比重等合理确定核心产品，并在采购文件中载明。多家投标人提供的核心产品品牌相同的，按前两款规定处理。</w:t>
      </w:r>
    </w:p>
    <w:p w14:paraId="3FBB1412">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4、投标人投标文件作无效处理的情形，具体包括但不限于以下：</w:t>
      </w:r>
    </w:p>
    <w:p w14:paraId="5B590C9B">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4.1、不同投标人的投标文件由同一单位或者同一个人编制，或者由同一个人分阶段参与编制。</w:t>
      </w:r>
    </w:p>
    <w:p w14:paraId="393A6996">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4.2、不同投标人委托同一单位或者个人办理投标事宜。</w:t>
      </w:r>
    </w:p>
    <w:p w14:paraId="00DC45DA">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4.3、不同投标人的投标文件载明的项目管理成员或者联系人员为同一人。</w:t>
      </w:r>
    </w:p>
    <w:p w14:paraId="402567CC">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4.4、不同投标人的投标文件异常一致或者投标报价呈规律性差异。</w:t>
      </w:r>
    </w:p>
    <w:p w14:paraId="4FACEB4E">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4.5、不同投标人的投标文件相互混装。</w:t>
      </w:r>
    </w:p>
    <w:p w14:paraId="2B020913">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4.6、投标供应商之间相互约定给予未中标的供应商利益补偿。</w:t>
      </w:r>
    </w:p>
    <w:p w14:paraId="6E380DBD">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4.7、不同投标供应商的法定代表人、主要经营负责人、项目投标授权代表人、项目负责人、主要技术人员为同一人、属同一单位或者同一单位缴纳社会保险。</w:t>
      </w:r>
    </w:p>
    <w:p w14:paraId="09B03867">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4.8、不同投标供应商的投标文件内容存在非正常一致。</w:t>
      </w:r>
    </w:p>
    <w:p w14:paraId="1B04617A">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4.9、在同一单位工作人员为两家以上（含两家）供应商进行同一项投标活动。</w:t>
      </w:r>
    </w:p>
    <w:p w14:paraId="5BF0BAF6">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4.10、主管部门依照法律、法规认定的其他情形。</w:t>
      </w:r>
    </w:p>
    <w:p w14:paraId="0B93579C">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5、对不属于《资格性审查表》和《符合性审查表》所列的其他情形，除专用条款另有规定和“三十二、4”条款所列情形外，不得作为投标无效的理由。</w:t>
      </w:r>
    </w:p>
    <w:p w14:paraId="3B7C4967">
      <w:pPr>
        <w:pStyle w:val="2"/>
        <w:spacing w:line="360" w:lineRule="auto"/>
        <w:ind w:left="0" w:leftChars="0" w:firstLine="0" w:firstLineChars="0"/>
        <w:rPr>
          <w:rFonts w:hint="eastAsia" w:ascii="仿宋" w:hAnsi="仿宋" w:eastAsia="仿宋" w:cs="仿宋"/>
          <w:b/>
          <w:bCs/>
          <w:sz w:val="24"/>
          <w:szCs w:val="32"/>
          <w:lang w:val="en-US" w:eastAsia="zh-CN"/>
        </w:rPr>
      </w:pPr>
    </w:p>
    <w:p w14:paraId="42AA1131">
      <w:pPr>
        <w:pStyle w:val="2"/>
        <w:spacing w:line="360" w:lineRule="auto"/>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三十三、澄清有关问题</w:t>
      </w:r>
    </w:p>
    <w:p w14:paraId="00C8DD6D">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1、为了有助于投标文件的审查、评价和比较，对于投标文件中含义不明确、同类问题表述不一致或者有明显文字和计算错误的内容，评审委员会可以以书面形式要求投标人作出必要的澄清、说明或者补正。</w:t>
      </w:r>
    </w:p>
    <w:p w14:paraId="3439538B">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133A52A8">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3、根据本通用条款第三十四条，凡属于评审委员会在评审中发现的算术错误进行核实的修改不在此列。</w:t>
      </w:r>
    </w:p>
    <w:p w14:paraId="74F917BE">
      <w:pPr>
        <w:pStyle w:val="2"/>
        <w:spacing w:line="360" w:lineRule="auto"/>
        <w:ind w:left="0" w:leftChars="0" w:firstLine="0" w:firstLineChars="0"/>
        <w:rPr>
          <w:rFonts w:hint="eastAsia" w:ascii="仿宋" w:hAnsi="仿宋" w:eastAsia="仿宋" w:cs="仿宋"/>
          <w:b/>
          <w:bCs/>
          <w:sz w:val="24"/>
          <w:szCs w:val="32"/>
          <w:lang w:val="en-US" w:eastAsia="zh-CN"/>
        </w:rPr>
      </w:pPr>
      <w:bookmarkStart w:id="0" w:name="_Toc73518151"/>
      <w:bookmarkStart w:id="1" w:name="_Toc73521581"/>
      <w:bookmarkStart w:id="2" w:name="_Toc73521669"/>
      <w:bookmarkStart w:id="3" w:name="_Toc100052400"/>
      <w:bookmarkStart w:id="4" w:name="_Toc73517673"/>
    </w:p>
    <w:p w14:paraId="7F0E756F">
      <w:pPr>
        <w:pStyle w:val="2"/>
        <w:spacing w:line="360" w:lineRule="auto"/>
        <w:ind w:left="0" w:leftChars="0" w:firstLine="0" w:firstLineChars="0"/>
        <w:rPr>
          <w:rFonts w:hint="eastAsia" w:ascii="仿宋" w:hAnsi="仿宋" w:eastAsia="仿宋" w:cs="仿宋"/>
          <w:sz w:val="24"/>
          <w:szCs w:val="32"/>
          <w:lang w:val="en-US" w:eastAsia="zh-CN"/>
        </w:rPr>
      </w:pPr>
      <w:r>
        <w:rPr>
          <w:rFonts w:hint="eastAsia" w:ascii="仿宋" w:hAnsi="仿宋" w:eastAsia="仿宋" w:cs="仿宋"/>
          <w:b/>
          <w:bCs/>
          <w:sz w:val="24"/>
          <w:szCs w:val="32"/>
          <w:lang w:val="en-US" w:eastAsia="zh-CN"/>
        </w:rPr>
        <w:t>三十四、错误的修正</w:t>
      </w:r>
      <w:bookmarkEnd w:id="0"/>
      <w:bookmarkEnd w:id="1"/>
      <w:bookmarkEnd w:id="2"/>
      <w:bookmarkEnd w:id="3"/>
      <w:bookmarkEnd w:id="4"/>
    </w:p>
    <w:p w14:paraId="5BD4C7FA">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投标文件报价出现前后不一致的，除专用条款另有规定外，按照下列规定修正：</w:t>
      </w:r>
    </w:p>
    <w:p w14:paraId="30813E28">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1、投标文件中开标一览表内容与投标文件中相应内容不一致的，以开标一览表为准。</w:t>
      </w:r>
    </w:p>
    <w:p w14:paraId="55772A50">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2、大写金额和小写金额不一致的，以大写金额为准。</w:t>
      </w:r>
    </w:p>
    <w:p w14:paraId="65B5A994">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3、单价金额小数点或者百分比有明显错位，以开标一览表的总价为准，并修改单价。</w:t>
      </w:r>
    </w:p>
    <w:p w14:paraId="7A7B072F">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4、总价金额与按单价汇总金额不一致的，以单价金额计算结果为准。</w:t>
      </w:r>
    </w:p>
    <w:p w14:paraId="113C65D8">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5、同时出现两种以上不一致的，按照前款规定的顺序修正。修正后的报价按照本通用条款三十三条的规定，经投标人确认后产生约束力，投标人不确认的，其投标无效。</w:t>
      </w:r>
    </w:p>
    <w:p w14:paraId="34AE13F5">
      <w:pPr>
        <w:pStyle w:val="2"/>
        <w:spacing w:line="360" w:lineRule="auto"/>
        <w:ind w:left="0" w:leftChars="0" w:firstLine="0" w:firstLineChars="0"/>
        <w:rPr>
          <w:rFonts w:hint="eastAsia" w:ascii="仿宋" w:hAnsi="仿宋" w:eastAsia="仿宋" w:cs="仿宋"/>
          <w:b/>
          <w:bCs/>
          <w:sz w:val="24"/>
          <w:szCs w:val="32"/>
          <w:lang w:val="en-US" w:eastAsia="zh-CN"/>
        </w:rPr>
      </w:pPr>
    </w:p>
    <w:p w14:paraId="22F169AA">
      <w:pPr>
        <w:pStyle w:val="2"/>
        <w:spacing w:line="360" w:lineRule="auto"/>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三十五、投标文件的比较与评价</w:t>
      </w:r>
    </w:p>
    <w:p w14:paraId="73EF7587">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1A736A5D">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2、评审委员会成员对需要共同认定的事项存在争议的，应当按照少数服从多数的原则作出结论。持不同意见的评审委员会成员应当在评标报告上签署不同意见及理由，否则视为同意评标报告。</w:t>
      </w:r>
    </w:p>
    <w:p w14:paraId="6796AEBE">
      <w:pPr>
        <w:pStyle w:val="2"/>
        <w:spacing w:line="360" w:lineRule="auto"/>
        <w:ind w:left="0" w:leftChars="0" w:firstLine="0" w:firstLineChars="0"/>
        <w:rPr>
          <w:rFonts w:hint="eastAsia" w:ascii="仿宋" w:hAnsi="仿宋" w:eastAsia="仿宋" w:cs="仿宋"/>
          <w:b/>
          <w:bCs/>
          <w:sz w:val="24"/>
          <w:szCs w:val="32"/>
          <w:lang w:val="en-US" w:eastAsia="zh-CN"/>
        </w:rPr>
      </w:pPr>
    </w:p>
    <w:p w14:paraId="73D4905B">
      <w:pPr>
        <w:pStyle w:val="2"/>
        <w:spacing w:line="360" w:lineRule="auto"/>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三十六、实地考察、演示或设备测试</w:t>
      </w:r>
    </w:p>
    <w:p w14:paraId="0C877F92">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1、在采购活动过程中，评审委员会有权决定是否对本项目投标人进行现场勘察或实地考察或检验有关证明材料的原件。投标人应随时做好接受检查的准备。</w:t>
      </w:r>
    </w:p>
    <w:p w14:paraId="40DA4740">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2、若采购文件要求进行现场演示或设备测试的，投标人应做好相应准备。</w:t>
      </w:r>
    </w:p>
    <w:p w14:paraId="062C23AB">
      <w:pPr>
        <w:pStyle w:val="2"/>
        <w:spacing w:line="360" w:lineRule="auto"/>
        <w:ind w:left="0" w:leftChars="0" w:firstLine="0" w:firstLineChars="0"/>
        <w:rPr>
          <w:rFonts w:hint="eastAsia" w:ascii="仿宋" w:hAnsi="仿宋" w:eastAsia="仿宋" w:cs="仿宋"/>
          <w:b/>
          <w:bCs/>
          <w:sz w:val="24"/>
          <w:szCs w:val="32"/>
          <w:lang w:val="en-US" w:eastAsia="zh-CN"/>
        </w:rPr>
      </w:pPr>
    </w:p>
    <w:p w14:paraId="690BBD3A">
      <w:pPr>
        <w:pStyle w:val="2"/>
        <w:spacing w:line="360" w:lineRule="auto"/>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三十七、评审方法</w:t>
      </w:r>
    </w:p>
    <w:p w14:paraId="5FD43FD5">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1、评审方法</w:t>
      </w:r>
    </w:p>
    <w:p w14:paraId="68189B8C">
      <w:pPr>
        <w:pStyle w:val="2"/>
        <w:spacing w:line="360" w:lineRule="auto"/>
        <w:ind w:left="0" w:leftChars="0" w:firstLine="960" w:firstLineChars="4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1.1、最低价法</w:t>
      </w:r>
    </w:p>
    <w:p w14:paraId="7BC92652">
      <w:pPr>
        <w:pStyle w:val="2"/>
        <w:spacing w:line="360" w:lineRule="auto"/>
        <w:ind w:left="958" w:leftChars="456"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最低评标价法，是指投标文件满足采购文件全部实质性要求，且投标报价最低的投标人为中标候选人的评标方法。</w:t>
      </w:r>
    </w:p>
    <w:p w14:paraId="50CF3F38">
      <w:pPr>
        <w:pStyle w:val="2"/>
        <w:spacing w:line="360" w:lineRule="auto"/>
        <w:ind w:left="0" w:leftChars="0" w:firstLine="960" w:firstLineChars="4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1.2、综合评分法</w:t>
      </w:r>
    </w:p>
    <w:p w14:paraId="5DBA34F0">
      <w:pPr>
        <w:pStyle w:val="2"/>
        <w:spacing w:line="360" w:lineRule="auto"/>
        <w:ind w:left="958" w:leftChars="456"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综合评分法，是指投标文件满足采购文件全部实质性要求，且按照评审因素的量化指标评审得分最高的投标人为中标候选人的评标方法。</w:t>
      </w:r>
    </w:p>
    <w:p w14:paraId="6B24B4D0">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2、本项目采用的评标方法见本项目采购文件第一册“专用条款”的相关内容。</w:t>
      </w:r>
    </w:p>
    <w:p w14:paraId="7B09F31D">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3、重新评审的情形</w:t>
      </w:r>
    </w:p>
    <w:p w14:paraId="23B711AA">
      <w:pPr>
        <w:pStyle w:val="2"/>
        <w:spacing w:line="360" w:lineRule="auto"/>
        <w:ind w:left="0" w:leftChars="0" w:firstLine="960" w:firstLineChars="4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评审结果汇总完成后，除下列情形外，任何人不得修改评审结果：</w:t>
      </w:r>
    </w:p>
    <w:p w14:paraId="515EA9A6">
      <w:pPr>
        <w:pStyle w:val="2"/>
        <w:spacing w:line="360" w:lineRule="auto"/>
        <w:ind w:left="0" w:leftChars="0" w:firstLine="960" w:firstLineChars="4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3.1、分值汇总计算错误的。</w:t>
      </w:r>
    </w:p>
    <w:p w14:paraId="22C4B170">
      <w:pPr>
        <w:pStyle w:val="2"/>
        <w:spacing w:line="360" w:lineRule="auto"/>
        <w:ind w:left="0" w:leftChars="0" w:firstLine="960" w:firstLineChars="4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3.2、分项评分超出评分标准范围的。</w:t>
      </w:r>
    </w:p>
    <w:p w14:paraId="1E34BFFA">
      <w:pPr>
        <w:pStyle w:val="2"/>
        <w:spacing w:line="360" w:lineRule="auto"/>
        <w:ind w:left="0" w:leftChars="0" w:firstLine="960" w:firstLineChars="4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3.3、评审委员会成员对客观评审因素评分不一致的。</w:t>
      </w:r>
    </w:p>
    <w:p w14:paraId="6453D5AD">
      <w:pPr>
        <w:pStyle w:val="2"/>
        <w:spacing w:line="360" w:lineRule="auto"/>
        <w:ind w:left="0" w:leftChars="0" w:firstLine="960" w:firstLineChars="4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3.4、经评审委员会认定评分畸高、畸低的。</w:t>
      </w:r>
    </w:p>
    <w:p w14:paraId="06D7F252">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评审报告签署前，经复核发现存在以上情形之一的，评审委员会应当当场修改评审结果，并在评审报告中记载；评审报告签署后，采购人或者采购代理机构发现存在以上情形之一的，应当组织原评审委员会进行重新评审，重新评审改变评标结果的，书面报告本级财政部门。</w:t>
      </w:r>
    </w:p>
    <w:p w14:paraId="1F107D6F">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投标人对本条第一款情形提出质疑的，采购人或者采购代理机构可以组织原评审委员会进行重新评审，重新评审改变评标结果的，应当书面报告本级财政部门。</w:t>
      </w:r>
    </w:p>
    <w:p w14:paraId="75CFAD2F">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4、重新组建评审委员会的情形</w:t>
      </w:r>
    </w:p>
    <w:p w14:paraId="404B5B7D">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评审委员会或者其成员存在下列情形导致评标结果无效的，重新组建评审委员会进行评标，并书面报告本级财政部门：</w:t>
      </w:r>
    </w:p>
    <w:p w14:paraId="31C63109">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4.1、评审委员会组成不符合《政府采购货物和服务招标投标管理办法》规定的。</w:t>
      </w:r>
    </w:p>
    <w:p w14:paraId="5B27FBE7">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4.2、有《政府采购货物和服务招标投标管理办法》第六十二条第一至五项情形的。</w:t>
      </w:r>
    </w:p>
    <w:p w14:paraId="7A5515FB">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4.3、评审委员会及其成员独立评标受到非法干预的。</w:t>
      </w:r>
    </w:p>
    <w:p w14:paraId="375C800A">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4.4、有政府采购法实施条例第七十五条规定的违法行为的。</w:t>
      </w:r>
    </w:p>
    <w:p w14:paraId="732BAB15">
      <w:pPr>
        <w:pStyle w:val="2"/>
        <w:spacing w:line="360" w:lineRule="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有违法违规行为的原评审委员会成员不得参加重新组建的评审委员会。</w:t>
      </w:r>
    </w:p>
    <w:p w14:paraId="407E35BF">
      <w:pPr>
        <w:pStyle w:val="2"/>
        <w:spacing w:line="360" w:lineRule="auto"/>
        <w:ind w:left="0" w:leftChars="0" w:firstLine="0" w:firstLineChars="0"/>
        <w:rPr>
          <w:rFonts w:hint="eastAsia" w:ascii="仿宋" w:hAnsi="仿宋" w:eastAsia="仿宋" w:cs="仿宋"/>
          <w:sz w:val="24"/>
          <w:szCs w:val="32"/>
          <w:lang w:val="en-US" w:eastAsia="zh-CN"/>
        </w:rPr>
      </w:pPr>
    </w:p>
    <w:p w14:paraId="39D336EB">
      <w:pPr>
        <w:pStyle w:val="2"/>
        <w:spacing w:line="360" w:lineRule="auto"/>
        <w:ind w:left="0" w:leftChars="0" w:firstLine="0" w:firstLineChars="0"/>
        <w:jc w:val="center"/>
        <w:rPr>
          <w:rFonts w:hint="eastAsia" w:ascii="仿宋" w:hAnsi="仿宋" w:eastAsia="仿宋" w:cs="仿宋"/>
          <w:sz w:val="24"/>
          <w:szCs w:val="32"/>
          <w:lang w:val="en-US" w:eastAsia="zh-CN"/>
        </w:rPr>
      </w:pPr>
      <w:r>
        <w:rPr>
          <w:rFonts w:hint="eastAsia" w:ascii="仿宋" w:hAnsi="仿宋" w:eastAsia="仿宋" w:cs="仿宋"/>
          <w:b/>
          <w:bCs/>
          <w:sz w:val="28"/>
          <w:szCs w:val="36"/>
          <w:lang w:val="en-US" w:eastAsia="zh-CN"/>
        </w:rPr>
        <w:t>第八章 定标及公示</w:t>
      </w:r>
    </w:p>
    <w:p w14:paraId="7DFCEC68">
      <w:pPr>
        <w:pStyle w:val="2"/>
        <w:spacing w:line="360" w:lineRule="auto"/>
        <w:ind w:left="0" w:leftChars="0" w:firstLine="0" w:firstLineChars="0"/>
        <w:rPr>
          <w:rFonts w:hint="eastAsia" w:ascii="仿宋" w:hAnsi="仿宋" w:eastAsia="仿宋" w:cs="仿宋"/>
          <w:sz w:val="24"/>
          <w:szCs w:val="32"/>
          <w:lang w:val="en-US" w:eastAsia="zh-CN"/>
        </w:rPr>
      </w:pPr>
    </w:p>
    <w:p w14:paraId="2123A71C">
      <w:pPr>
        <w:pStyle w:val="2"/>
        <w:spacing w:line="360" w:lineRule="auto"/>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三十八、定标方法</w:t>
      </w:r>
    </w:p>
    <w:p w14:paraId="15A9F904">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1、非评定分离项目定标方法</w:t>
      </w:r>
    </w:p>
    <w:p w14:paraId="4C6E6013">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1.1、评审委员会依据本项目采购文件所约定的评标方法进行评审和比较，向采购代理机构提交书面评审报告，并根据评标方法比较评价结果从优到劣进行排序，并推荐中标候选人或确定中标供应商。</w:t>
      </w:r>
    </w:p>
    <w:p w14:paraId="7F023FDA">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1.2、采用最低评标价法的，评审结果按投标报价由低到高顺序排列。投标报价相同的并列。投标文件满足采购文件全部实质性要求且投标报价最低的投标人为排名第一的中标候选人。</w:t>
      </w:r>
    </w:p>
    <w:p w14:paraId="1CA3BA57">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1.3、采用综合评分法的，评审结果按评审后得分由高到低顺序排列。得分相同的，按投标报价由低到高顺序排列。得分且投标报价相同的并列。投标文件满足采购文件全部实质性要求，且按照评审因素的量化指标评审得分最高的投标人为排名第一的中标候选人。</w:t>
      </w:r>
    </w:p>
    <w:p w14:paraId="7C8C1AD6">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2、评定分离项目定标方法</w:t>
      </w:r>
    </w:p>
    <w:p w14:paraId="23B973BA">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2.1、根据《深圳政府采购评定分离管理办法》等有关规定，评审委员会按照本项目规定的评审方法对投标文件进行评审、推荐候选中标供应商并出具书面评审报告，由采购人根据评审委员会出具的评审报告和推荐的候选中标供应商确定中标供应商。</w:t>
      </w:r>
    </w:p>
    <w:p w14:paraId="4A458C00">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2.2、评定分离项目采用综合评分法评审，评审委员会按照评审结果，推荐“N+2”数量（N为需要的中标供应商数量，当有效供应商少于“N+2”时，全部推荐；N的具体数量由采购人在项目申报时确定）的候选中标供应商。</w:t>
      </w:r>
    </w:p>
    <w:p w14:paraId="4318B8DF">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2.3、采购人应当按照自定法法确定中标供应商。自定法是指采购人组织定标委员会，由定标委员会在候选中标供应商中确定中标供应商。</w:t>
      </w:r>
    </w:p>
    <w:p w14:paraId="6721E7C1">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说明：采购人及投标供应商应按照上述方法提前做好相关准备。</w:t>
      </w:r>
    </w:p>
    <w:p w14:paraId="5D4B52B4">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3、采购文件第一册“专用条款”另有规定的，按专用条款相关要求定标。</w:t>
      </w:r>
    </w:p>
    <w:p w14:paraId="589F30F9">
      <w:pPr>
        <w:pStyle w:val="2"/>
        <w:spacing w:line="360" w:lineRule="auto"/>
        <w:ind w:left="0" w:leftChars="0" w:firstLine="0" w:firstLineChars="0"/>
        <w:rPr>
          <w:rFonts w:hint="eastAsia" w:ascii="仿宋" w:hAnsi="仿宋" w:eastAsia="仿宋" w:cs="仿宋"/>
          <w:b/>
          <w:bCs/>
          <w:sz w:val="24"/>
          <w:szCs w:val="32"/>
          <w:lang w:val="en-US" w:eastAsia="zh-CN"/>
        </w:rPr>
      </w:pPr>
    </w:p>
    <w:p w14:paraId="477906D9">
      <w:pPr>
        <w:pStyle w:val="2"/>
        <w:spacing w:line="360" w:lineRule="auto"/>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三十九、编写评审报告</w:t>
      </w:r>
    </w:p>
    <w:p w14:paraId="76046AFB">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评审报告是评审委员会根据全体评标成员签字的原始评标记录和评审结果编写的报告，评审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在案。</w:t>
      </w:r>
    </w:p>
    <w:p w14:paraId="6B74CA22">
      <w:pPr>
        <w:pStyle w:val="2"/>
        <w:spacing w:line="360" w:lineRule="auto"/>
        <w:ind w:left="0" w:leftChars="0" w:firstLine="0" w:firstLineChars="0"/>
        <w:rPr>
          <w:rFonts w:hint="eastAsia" w:ascii="仿宋" w:hAnsi="仿宋" w:eastAsia="仿宋" w:cs="仿宋"/>
          <w:b/>
          <w:bCs/>
          <w:sz w:val="24"/>
          <w:szCs w:val="32"/>
          <w:lang w:val="en-US" w:eastAsia="zh-CN"/>
        </w:rPr>
      </w:pPr>
    </w:p>
    <w:p w14:paraId="3D7C5BC8">
      <w:pPr>
        <w:pStyle w:val="2"/>
        <w:spacing w:line="360" w:lineRule="auto"/>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四十、采购结果公告</w:t>
      </w:r>
    </w:p>
    <w:p w14:paraId="4D79C54F">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为体现“公开、公平、公正”的原则，评审结束后并经过采购人确认，采购代理机构将在“深圳政府采购智慧平台”上发布采购结果公告。供应商如对评标结果有异议，可在发布公示日期起五个工作日内向采购代理机构提出。若在公示期内未提出质疑，则视为认同该评标结果。</w:t>
      </w:r>
    </w:p>
    <w:p w14:paraId="0B0BB21E">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2、质疑投诉供应商应保证质疑投诉内容的真实性和可靠性，并承担相应的法律责任。</w:t>
      </w:r>
    </w:p>
    <w:p w14:paraId="29BE8E6B">
      <w:pPr>
        <w:pStyle w:val="2"/>
        <w:spacing w:line="360" w:lineRule="auto"/>
        <w:ind w:left="0" w:leftChars="0" w:firstLine="0" w:firstLineChars="0"/>
        <w:rPr>
          <w:rFonts w:hint="eastAsia" w:ascii="仿宋" w:hAnsi="仿宋" w:eastAsia="仿宋" w:cs="仿宋"/>
          <w:b/>
          <w:bCs/>
          <w:sz w:val="24"/>
          <w:szCs w:val="32"/>
          <w:lang w:val="en-US" w:eastAsia="zh-CN"/>
        </w:rPr>
      </w:pPr>
    </w:p>
    <w:p w14:paraId="2C930343">
      <w:pPr>
        <w:pStyle w:val="2"/>
        <w:spacing w:line="360" w:lineRule="auto"/>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四十一、中标（成交）通知书</w:t>
      </w:r>
    </w:p>
    <w:p w14:paraId="7E2A612E">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1、采购结果公告公布以后,公示期内无有效质疑投诉,且中标（成交）供应商向采购代价机构缴纳采购代理服务费后，采购代理机构将向中标（成交）供应商和采购人发出中标（成交）通知书。</w:t>
      </w:r>
    </w:p>
    <w:p w14:paraId="75F10720">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2、中标（成交）通知书是合同的重要组成部分。</w:t>
      </w:r>
    </w:p>
    <w:p w14:paraId="5A6E87CD">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3、因质疑投诉或其它原因导致项目采购结果变更或采购终止的，采购代理结构有权吊销中标（成交）通知书。</w:t>
      </w:r>
    </w:p>
    <w:p w14:paraId="2E7D46CF">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4、采购代理服务费</w:t>
      </w:r>
    </w:p>
    <w:p w14:paraId="1B3CAC25">
      <w:pPr>
        <w:pStyle w:val="2"/>
        <w:spacing w:line="360" w:lineRule="auto"/>
        <w:ind w:left="479" w:leftChars="228" w:firstLine="480" w:firstLineChars="200"/>
        <w:rPr>
          <w:rFonts w:hint="eastAsia" w:ascii="仿宋" w:hAnsi="仿宋" w:eastAsia="仿宋" w:cs="仿宋"/>
          <w:sz w:val="24"/>
          <w:szCs w:val="32"/>
          <w:vertAlign w:val="baseline"/>
          <w:lang w:val="en-US" w:eastAsia="zh-CN"/>
        </w:rPr>
      </w:pPr>
      <w:r>
        <w:rPr>
          <w:rFonts w:hint="eastAsia" w:ascii="仿宋" w:hAnsi="仿宋" w:eastAsia="仿宋" w:cs="仿宋"/>
          <w:sz w:val="24"/>
          <w:szCs w:val="32"/>
          <w:lang w:val="en-US" w:eastAsia="zh-CN"/>
        </w:rPr>
        <w:t>中标人须在采购结果公告公示期结束后，向采购代理机构缴纳采购代理服务费。采购代理服务费按照差额定率累进法计算。具体收费标准详见下表：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6"/>
        <w:gridCol w:w="2112"/>
        <w:gridCol w:w="2112"/>
        <w:gridCol w:w="2114"/>
      </w:tblGrid>
      <w:tr w14:paraId="09C6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3176" w:type="dxa"/>
            <w:tcBorders>
              <w:top w:val="double" w:color="auto" w:sz="4" w:space="0"/>
              <w:left w:val="double" w:color="auto" w:sz="4" w:space="0"/>
            </w:tcBorders>
            <mc:AlternateContent>
              <mc:Choice Requires="wpsCustomData">
                <wpsCustomData:diagonals>
                  <wpsCustomData:diagonal from="30000" to="6800">
                    <wpsCustomData:border w:val="single" w:color="auto" w:sz="4" w:space="0"/>
                  </wpsCustomData:diagonal>
                  <wpsCustomData:diagonal from="30000" to="13700">
                    <wpsCustomData:border w:val="single" w:color="auto" w:sz="4" w:space="0"/>
                  </wpsCustomData:diagonal>
                </wpsCustomData:diagonals>
              </mc:Choice>
            </mc:AlternateContent>
          </w:tcPr>
          <w:p w14:paraId="401E1BB0">
            <w:pPr>
              <w:pStyle w:val="2"/>
              <w:snapToGrid w:val="0"/>
              <w:spacing w:line="360" w:lineRule="auto"/>
              <w:ind w:left="0" w:leftChars="0" w:firstLine="0" w:firstLineChars="0"/>
              <w:rPr>
                <w:rFonts w:hint="eastAsia" w:ascii="仿宋" w:hAnsi="仿宋" w:eastAsia="仿宋" w:cs="仿宋"/>
                <w:sz w:val="18"/>
                <w:szCs w:val="21"/>
                <w:vertAlign w:val="baseline"/>
                <w:lang w:val="en-US" w:eastAsia="zh-CN"/>
              </w:rPr>
            </w:pPr>
          </w:p>
          <w:p w14:paraId="35289BEA">
            <w:pPr>
              <w:pStyle w:val="2"/>
              <w:snapToGrid w:val="0"/>
              <w:spacing w:line="360" w:lineRule="auto"/>
              <w:ind w:left="0" w:leftChars="0" w:firstLine="0" w:firstLineChars="0"/>
              <w:rPr>
                <w:rFonts w:hint="eastAsia" w:ascii="仿宋" w:hAnsi="仿宋" w:eastAsia="仿宋" w:cs="仿宋"/>
                <w:sz w:val="24"/>
                <w:szCs w:val="24"/>
                <w:vertAlign w:val="baseline"/>
                <w:lang w:val="en-US" w:eastAsia="zh-CN"/>
              </w:rPr>
            </w:pPr>
          </w:p>
          <w:p w14:paraId="01CC63D3">
            <w:pPr>
              <w:pStyle w:val="2"/>
              <w:snapToGrid w:val="0"/>
              <w:spacing w:line="360" w:lineRule="auto"/>
              <w:ind w:left="0" w:leftChars="0" w:firstLine="0" w:firstLineChars="0"/>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中标金额（万元）</w:t>
            </w:r>
          </w:p>
          <w:p w14:paraId="6E54C8F3">
            <w:pPr>
              <w:pStyle w:val="2"/>
              <w:snapToGrid w:val="0"/>
              <w:spacing w:line="360" w:lineRule="auto"/>
              <w:ind w:left="0" w:leftChars="0" w:firstLine="0" w:firstLineChars="0"/>
              <w:rPr>
                <w:rFonts w:hint="default" w:ascii="仿宋" w:hAnsi="仿宋" w:eastAsia="仿宋" w:cs="仿宋"/>
                <w:sz w:val="24"/>
                <w:szCs w:val="32"/>
                <w:vertAlign w:val="baseline"/>
                <w:lang w:val="en-US" w:eastAsia="zh-CN"/>
              </w:rPr>
            </w:pPr>
          </w:p>
          <w:p w14:paraId="1A1F6D43">
            <w:pPr>
              <w:pStyle w:val="2"/>
              <w:snapToGrid w:val="0"/>
              <w:spacing w:line="360" w:lineRule="auto"/>
              <w:ind w:left="0" w:leftChars="0" w:firstLine="0" w:firstLineChars="0"/>
              <mc:AlternateContent>
                <mc:Choice Requires="wpsCustomData">
                  <wpsCustomData:diagonalParaType/>
                </mc:Choice>
              </mc:AlternateContent>
              <w:rPr>
                <w:rFonts w:hint="default" w:ascii="仿宋" w:hAnsi="仿宋" w:eastAsia="仿宋" w:cs="仿宋"/>
                <w:sz w:val="24"/>
                <w:szCs w:val="32"/>
                <w:vertAlign w:val="baseline"/>
                <w:lang w:val="en-US" w:eastAsia="zh-CN"/>
              </w:rPr>
            </w:pPr>
          </w:p>
          <w:p w14:paraId="4BE30671">
            <w:pPr>
              <w:pStyle w:val="2"/>
              <w:snapToGrid w:val="0"/>
              <w:spacing w:line="360" w:lineRule="auto"/>
              <w:ind w:left="0" w:leftChars="0" w:firstLine="0" w:firstLineChars="0"/>
              <w:rPr>
                <w:rFonts w:hint="eastAsia" w:ascii="仿宋" w:hAnsi="仿宋" w:eastAsia="仿宋" w:cs="仿宋"/>
                <w:sz w:val="24"/>
                <w:szCs w:val="32"/>
                <w:vertAlign w:val="baseline"/>
                <w:lang w:val="en-US" w:eastAsia="zh-CN"/>
              </w:rPr>
            </w:pPr>
          </w:p>
          <w:p w14:paraId="4E017F0A">
            <w:pPr>
              <w:pStyle w:val="2"/>
              <w:snapToGrid w:val="0"/>
              <w:spacing w:line="360" w:lineRule="auto"/>
              <mc:AlternateContent>
                <mc:Choice Requires="wpsCustomData">
                  <wpsCustomData:diagonalParaType/>
                </mc:Choice>
              </mc:AlternateContent>
              <w:rPr>
                <w:rFonts w:hint="default"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费率</w:t>
            </w:r>
          </w:p>
          <w:p w14:paraId="79690A27">
            <w:pPr>
              <w:pStyle w:val="2"/>
              <w:spacing w:line="360" w:lineRule="auto"/>
              <w:ind w:left="0" w:leftChars="0" w:firstLine="0" w:firstLineChars="0"/>
              <w:rPr>
                <w:rFonts w:hint="eastAsia" w:ascii="仿宋" w:hAnsi="仿宋" w:eastAsia="仿宋" w:cs="仿宋"/>
                <w:sz w:val="24"/>
                <w:szCs w:val="32"/>
                <w:vertAlign w:val="baseline"/>
                <w:lang w:val="en-US" w:eastAsia="zh-CN"/>
              </w:rPr>
            </w:pPr>
          </w:p>
          <w:p w14:paraId="05E870C6">
            <w:pPr>
              <w:pStyle w:val="2"/>
              <w:spacing w:line="360" w:lineRule="auto"/>
              <w:ind w:left="0" w:leftChars="0" w:firstLine="0" w:firstLineChars="0"/>
              <w:rPr>
                <w:rFonts w:hint="default"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项目类型</w:t>
            </w:r>
          </w:p>
        </w:tc>
        <w:tc>
          <w:tcPr>
            <w:tcW w:w="2112" w:type="dxa"/>
            <w:tcBorders>
              <w:top w:val="double" w:color="auto" w:sz="4" w:space="0"/>
            </w:tcBorders>
            <w:vAlign w:val="center"/>
          </w:tcPr>
          <w:p w14:paraId="2B081B77">
            <w:pPr>
              <w:pStyle w:val="2"/>
              <w:spacing w:line="360" w:lineRule="auto"/>
              <w:ind w:left="0" w:leftChars="0" w:firstLine="0" w:firstLineChars="0"/>
              <w:jc w:val="center"/>
              <w:rPr>
                <w:rFonts w:hint="default"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货物类</w:t>
            </w:r>
          </w:p>
        </w:tc>
        <w:tc>
          <w:tcPr>
            <w:tcW w:w="2112" w:type="dxa"/>
            <w:tcBorders>
              <w:top w:val="double" w:color="auto" w:sz="4" w:space="0"/>
            </w:tcBorders>
            <w:vAlign w:val="center"/>
          </w:tcPr>
          <w:p w14:paraId="5A6082F2">
            <w:pPr>
              <w:pStyle w:val="2"/>
              <w:spacing w:line="360" w:lineRule="auto"/>
              <w:ind w:left="0" w:leftChars="0" w:firstLine="0" w:firstLineChars="0"/>
              <w:jc w:val="center"/>
              <w:rPr>
                <w:rFonts w:hint="default"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服务类</w:t>
            </w:r>
          </w:p>
        </w:tc>
        <w:tc>
          <w:tcPr>
            <w:tcW w:w="2114" w:type="dxa"/>
            <w:tcBorders>
              <w:top w:val="double" w:color="auto" w:sz="4" w:space="0"/>
              <w:right w:val="double" w:color="auto" w:sz="4" w:space="0"/>
            </w:tcBorders>
            <w:vAlign w:val="center"/>
          </w:tcPr>
          <w:p w14:paraId="64531FB6">
            <w:pPr>
              <w:pStyle w:val="2"/>
              <w:spacing w:line="360" w:lineRule="auto"/>
              <w:ind w:left="0" w:leftChars="0" w:firstLine="0" w:firstLineChars="0"/>
              <w:jc w:val="center"/>
              <w:rPr>
                <w:rFonts w:hint="default"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工程类</w:t>
            </w:r>
          </w:p>
        </w:tc>
      </w:tr>
      <w:tr w14:paraId="39453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6" w:type="dxa"/>
            <w:tcBorders>
              <w:left w:val="double" w:color="auto" w:sz="4" w:space="0"/>
            </w:tcBorders>
            <w:vAlign w:val="center"/>
          </w:tcPr>
          <w:p w14:paraId="40B8935D">
            <w:pPr>
              <w:pStyle w:val="2"/>
              <w:spacing w:line="360" w:lineRule="auto"/>
              <w:ind w:left="0" w:leftChars="0" w:firstLine="0" w:firstLineChars="0"/>
              <w:jc w:val="center"/>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100以下</w:t>
            </w:r>
          </w:p>
        </w:tc>
        <w:tc>
          <w:tcPr>
            <w:tcW w:w="2112" w:type="dxa"/>
            <w:vAlign w:val="center"/>
          </w:tcPr>
          <w:p w14:paraId="428282D6">
            <w:pPr>
              <w:pStyle w:val="2"/>
              <w:spacing w:line="360" w:lineRule="auto"/>
              <w:ind w:left="0" w:leftChars="0" w:firstLine="0" w:firstLineChars="0"/>
              <w:jc w:val="center"/>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1.800%</w:t>
            </w:r>
          </w:p>
        </w:tc>
        <w:tc>
          <w:tcPr>
            <w:tcW w:w="2112" w:type="dxa"/>
            <w:vAlign w:val="center"/>
          </w:tcPr>
          <w:p w14:paraId="0E997D31">
            <w:pPr>
              <w:pStyle w:val="2"/>
              <w:spacing w:line="360" w:lineRule="auto"/>
              <w:ind w:left="0" w:leftChars="0" w:firstLine="0" w:firstLineChars="0"/>
              <w:jc w:val="center"/>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1.800%</w:t>
            </w:r>
          </w:p>
        </w:tc>
        <w:tc>
          <w:tcPr>
            <w:tcW w:w="2114" w:type="dxa"/>
            <w:tcBorders>
              <w:right w:val="double" w:color="auto" w:sz="4" w:space="0"/>
            </w:tcBorders>
            <w:vAlign w:val="center"/>
          </w:tcPr>
          <w:p w14:paraId="0AD4EDEE">
            <w:pPr>
              <w:pStyle w:val="2"/>
              <w:spacing w:line="360" w:lineRule="auto"/>
              <w:ind w:left="0" w:leftChars="0" w:firstLine="0" w:firstLineChars="0"/>
              <w:jc w:val="center"/>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1.300%</w:t>
            </w:r>
          </w:p>
        </w:tc>
      </w:tr>
      <w:tr w14:paraId="7DDFE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6" w:type="dxa"/>
            <w:tcBorders>
              <w:left w:val="double" w:color="auto" w:sz="4" w:space="0"/>
            </w:tcBorders>
            <w:vAlign w:val="center"/>
          </w:tcPr>
          <w:p w14:paraId="5B9290CD">
            <w:pPr>
              <w:pStyle w:val="2"/>
              <w:spacing w:line="360" w:lineRule="auto"/>
              <w:ind w:left="0" w:leftChars="0" w:firstLine="0" w:firstLineChars="0"/>
              <w:jc w:val="center"/>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100～500</w:t>
            </w:r>
          </w:p>
        </w:tc>
        <w:tc>
          <w:tcPr>
            <w:tcW w:w="2112" w:type="dxa"/>
            <w:vAlign w:val="center"/>
          </w:tcPr>
          <w:p w14:paraId="2A4A4914">
            <w:pPr>
              <w:pStyle w:val="2"/>
              <w:spacing w:line="360" w:lineRule="auto"/>
              <w:ind w:left="0" w:leftChars="0" w:firstLine="0" w:firstLineChars="0"/>
              <w:jc w:val="center"/>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1.400%</w:t>
            </w:r>
          </w:p>
        </w:tc>
        <w:tc>
          <w:tcPr>
            <w:tcW w:w="2112" w:type="dxa"/>
            <w:vAlign w:val="center"/>
          </w:tcPr>
          <w:p w14:paraId="4AE61651">
            <w:pPr>
              <w:pStyle w:val="2"/>
              <w:spacing w:line="360" w:lineRule="auto"/>
              <w:ind w:left="0" w:leftChars="0" w:firstLine="0" w:firstLineChars="0"/>
              <w:jc w:val="center"/>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1.100%</w:t>
            </w:r>
          </w:p>
        </w:tc>
        <w:tc>
          <w:tcPr>
            <w:tcW w:w="2114" w:type="dxa"/>
            <w:tcBorders>
              <w:right w:val="double" w:color="auto" w:sz="4" w:space="0"/>
            </w:tcBorders>
            <w:vAlign w:val="center"/>
          </w:tcPr>
          <w:p w14:paraId="054032E4">
            <w:pPr>
              <w:pStyle w:val="2"/>
              <w:spacing w:line="360" w:lineRule="auto"/>
              <w:ind w:left="0" w:leftChars="0" w:firstLine="0" w:firstLineChars="0"/>
              <w:jc w:val="center"/>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1.000%</w:t>
            </w:r>
          </w:p>
        </w:tc>
      </w:tr>
      <w:tr w14:paraId="69800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6" w:type="dxa"/>
            <w:tcBorders>
              <w:left w:val="double" w:color="auto" w:sz="4" w:space="0"/>
              <w:bottom w:val="double" w:color="auto" w:sz="4" w:space="0"/>
            </w:tcBorders>
            <w:vAlign w:val="center"/>
          </w:tcPr>
          <w:p w14:paraId="1C9A5491">
            <w:pPr>
              <w:pStyle w:val="2"/>
              <w:spacing w:line="360" w:lineRule="auto"/>
              <w:ind w:left="0" w:leftChars="0" w:firstLine="0" w:firstLineChars="0"/>
              <w:jc w:val="center"/>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500～1000</w:t>
            </w:r>
          </w:p>
        </w:tc>
        <w:tc>
          <w:tcPr>
            <w:tcW w:w="2112" w:type="dxa"/>
            <w:tcBorders>
              <w:bottom w:val="double" w:color="auto" w:sz="4" w:space="0"/>
            </w:tcBorders>
            <w:vAlign w:val="center"/>
          </w:tcPr>
          <w:p w14:paraId="74BCE869">
            <w:pPr>
              <w:pStyle w:val="2"/>
              <w:spacing w:line="360" w:lineRule="auto"/>
              <w:ind w:left="0" w:leftChars="0" w:firstLine="0" w:firstLineChars="0"/>
              <w:jc w:val="center"/>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1.100%</w:t>
            </w:r>
          </w:p>
        </w:tc>
        <w:tc>
          <w:tcPr>
            <w:tcW w:w="2112" w:type="dxa"/>
            <w:tcBorders>
              <w:bottom w:val="double" w:color="auto" w:sz="4" w:space="0"/>
            </w:tcBorders>
            <w:vAlign w:val="center"/>
          </w:tcPr>
          <w:p w14:paraId="03EC4411">
            <w:pPr>
              <w:pStyle w:val="2"/>
              <w:spacing w:line="360" w:lineRule="auto"/>
              <w:ind w:left="0" w:leftChars="0" w:firstLine="0" w:firstLineChars="0"/>
              <w:jc w:val="center"/>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0.750%</w:t>
            </w:r>
          </w:p>
        </w:tc>
        <w:tc>
          <w:tcPr>
            <w:tcW w:w="2114" w:type="dxa"/>
            <w:tcBorders>
              <w:bottom w:val="double" w:color="auto" w:sz="4" w:space="0"/>
              <w:right w:val="double" w:color="auto" w:sz="4" w:space="0"/>
            </w:tcBorders>
            <w:vAlign w:val="center"/>
          </w:tcPr>
          <w:p w14:paraId="49CBDDEC">
            <w:pPr>
              <w:pStyle w:val="2"/>
              <w:spacing w:line="360" w:lineRule="auto"/>
              <w:ind w:left="0" w:leftChars="0" w:firstLine="0" w:firstLineChars="0"/>
              <w:jc w:val="center"/>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0.850%</w:t>
            </w:r>
          </w:p>
        </w:tc>
      </w:tr>
    </w:tbl>
    <w:p w14:paraId="0D03402F">
      <w:pPr>
        <w:pStyle w:val="2"/>
        <w:spacing w:line="360" w:lineRule="auto"/>
        <w:ind w:left="0" w:leftChars="0" w:firstLine="0" w:firstLineChars="0"/>
        <w:rPr>
          <w:rFonts w:hint="eastAsia" w:ascii="仿宋" w:hAnsi="仿宋" w:eastAsia="仿宋" w:cs="仿宋"/>
          <w:sz w:val="24"/>
          <w:szCs w:val="32"/>
          <w:lang w:val="en-US" w:eastAsia="zh-CN"/>
        </w:rPr>
      </w:pPr>
    </w:p>
    <w:p w14:paraId="31BA3DF7">
      <w:pPr>
        <w:pStyle w:val="2"/>
        <w:spacing w:line="360" w:lineRule="auto"/>
        <w:ind w:left="0" w:leftChars="0" w:firstLine="0" w:firstLineChars="0"/>
        <w:jc w:val="center"/>
        <w:rPr>
          <w:rFonts w:hint="eastAsia" w:ascii="仿宋" w:hAnsi="仿宋" w:eastAsia="仿宋" w:cs="仿宋"/>
          <w:sz w:val="24"/>
          <w:szCs w:val="32"/>
          <w:lang w:val="en-US" w:eastAsia="zh-CN"/>
        </w:rPr>
      </w:pPr>
      <w:r>
        <w:rPr>
          <w:rFonts w:hint="eastAsia" w:ascii="仿宋" w:hAnsi="仿宋" w:eastAsia="仿宋" w:cs="仿宋"/>
          <w:b/>
          <w:bCs/>
          <w:sz w:val="28"/>
          <w:szCs w:val="36"/>
          <w:lang w:val="en-US" w:eastAsia="zh-CN"/>
        </w:rPr>
        <w:t>第九章 采购失败的后续处理</w:t>
      </w:r>
    </w:p>
    <w:p w14:paraId="0770ECFD">
      <w:pPr>
        <w:pStyle w:val="2"/>
        <w:spacing w:line="360" w:lineRule="auto"/>
        <w:ind w:left="0" w:leftChars="0" w:firstLine="0" w:firstLineChars="0"/>
        <w:rPr>
          <w:rFonts w:hint="eastAsia" w:ascii="仿宋" w:hAnsi="仿宋" w:eastAsia="仿宋" w:cs="仿宋"/>
          <w:sz w:val="24"/>
          <w:szCs w:val="32"/>
          <w:lang w:val="en-US" w:eastAsia="zh-CN"/>
        </w:rPr>
      </w:pPr>
    </w:p>
    <w:p w14:paraId="7B41E715">
      <w:pPr>
        <w:pStyle w:val="2"/>
        <w:spacing w:line="360" w:lineRule="auto"/>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四十二、采购失败的处理</w:t>
      </w:r>
    </w:p>
    <w:p w14:paraId="4C8AC769">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1、本项目采购过程中若由于投标截止后实际递交投标文件的供应商数量不足、经评审委员会评审对采购文件作实质响应的供应商不足等原因造成采购失败，可由采购代理机构重新组织采购。</w:t>
      </w:r>
    </w:p>
    <w:p w14:paraId="0516BDE5">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2、对采购失败的项目，评审委员会在出具该项目采购失败结论的同时，提出重新采购组织形式的建议，以及进一步完善采购文件的资格、技术、商务要求的修改建议。</w:t>
      </w:r>
    </w:p>
    <w:p w14:paraId="653EAD23">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3、重新组织采购有以下两种组织形式：</w:t>
      </w:r>
    </w:p>
    <w:p w14:paraId="4ACC56CA">
      <w:pPr>
        <w:pStyle w:val="2"/>
        <w:spacing w:line="360" w:lineRule="auto"/>
        <w:ind w:left="0" w:leftChars="0" w:firstLine="960" w:firstLineChars="4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3.1、由采购代理机构重新组织项目采购活动。</w:t>
      </w:r>
    </w:p>
    <w:p w14:paraId="05E9CB44">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3.2、根据实际情况，采购预算金额在400万元以下，经采购单位内部审批同意，可转为竞争性谈判或单一来源谈判方式采购；采购预算金额在400万元（含）以上需要向同级财政部门提出非公开招标方式申请，经同级财政部门批准，采购失败项目可转为竞争性谈判或单一来源谈判方式采购。</w:t>
      </w:r>
    </w:p>
    <w:p w14:paraId="17A98B2B">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4、采购失败项目重新组织采购活动的，由采购代理机构重新按相关采购流程组织采购活动。</w:t>
      </w:r>
    </w:p>
    <w:p w14:paraId="73837FB9">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5、采购失败项目经同级财政部门批准转为竞争性谈判或单一来源谈判方式采购的，按相关规定要求组织采购活动。</w:t>
      </w:r>
    </w:p>
    <w:p w14:paraId="12F55498">
      <w:pPr>
        <w:pStyle w:val="2"/>
        <w:spacing w:line="360" w:lineRule="auto"/>
        <w:ind w:left="0" w:leftChars="0" w:firstLine="0" w:firstLineChars="0"/>
        <w:rPr>
          <w:rFonts w:hint="eastAsia" w:ascii="仿宋" w:hAnsi="仿宋" w:eastAsia="仿宋" w:cs="仿宋"/>
          <w:sz w:val="24"/>
          <w:szCs w:val="32"/>
          <w:lang w:val="en-US" w:eastAsia="zh-CN"/>
        </w:rPr>
      </w:pPr>
    </w:p>
    <w:p w14:paraId="3E4AA30C">
      <w:pPr>
        <w:pStyle w:val="2"/>
        <w:spacing w:line="360" w:lineRule="auto"/>
        <w:ind w:left="0" w:leftChars="0" w:firstLine="0" w:firstLineChars="0"/>
        <w:jc w:val="center"/>
        <w:rPr>
          <w:rFonts w:hint="eastAsia" w:ascii="仿宋" w:hAnsi="仿宋" w:eastAsia="仿宋" w:cs="仿宋"/>
          <w:sz w:val="24"/>
          <w:szCs w:val="32"/>
          <w:lang w:val="en-US" w:eastAsia="zh-CN"/>
        </w:rPr>
      </w:pPr>
      <w:r>
        <w:rPr>
          <w:rFonts w:hint="eastAsia" w:ascii="仿宋" w:hAnsi="仿宋" w:eastAsia="仿宋" w:cs="仿宋"/>
          <w:b/>
          <w:bCs/>
          <w:sz w:val="28"/>
          <w:szCs w:val="36"/>
          <w:lang w:val="en-US" w:eastAsia="zh-CN"/>
        </w:rPr>
        <w:t>第十章 合同的授予与备案</w:t>
      </w:r>
    </w:p>
    <w:p w14:paraId="4FE4D45B">
      <w:pPr>
        <w:pStyle w:val="2"/>
        <w:spacing w:line="360" w:lineRule="auto"/>
        <w:ind w:left="0" w:leftChars="0" w:firstLine="0" w:firstLineChars="0"/>
        <w:rPr>
          <w:rFonts w:hint="eastAsia" w:ascii="仿宋" w:hAnsi="仿宋" w:eastAsia="仿宋" w:cs="仿宋"/>
          <w:sz w:val="24"/>
          <w:szCs w:val="32"/>
          <w:lang w:val="en-US" w:eastAsia="zh-CN"/>
        </w:rPr>
      </w:pPr>
    </w:p>
    <w:p w14:paraId="5E8D40DA">
      <w:pPr>
        <w:pStyle w:val="2"/>
        <w:spacing w:line="360" w:lineRule="auto"/>
        <w:ind w:left="0" w:leftChars="0" w:firstLine="0" w:firstLineChars="0"/>
        <w:rPr>
          <w:rFonts w:hint="eastAsia" w:ascii="仿宋" w:hAnsi="仿宋" w:eastAsia="仿宋" w:cs="仿宋"/>
          <w:b/>
          <w:bCs/>
          <w:sz w:val="24"/>
          <w:szCs w:val="32"/>
          <w:lang w:val="en-US" w:eastAsia="zh-CN"/>
        </w:rPr>
      </w:pPr>
      <w:bookmarkStart w:id="5" w:name="_Toc73517679"/>
      <w:bookmarkStart w:id="6" w:name="_Toc73518157"/>
      <w:bookmarkStart w:id="7" w:name="_Toc100052408"/>
      <w:bookmarkStart w:id="8" w:name="_Toc73521586"/>
      <w:bookmarkStart w:id="9" w:name="_Toc73521674"/>
      <w:r>
        <w:rPr>
          <w:rFonts w:hint="eastAsia" w:ascii="仿宋" w:hAnsi="仿宋" w:eastAsia="仿宋" w:cs="仿宋"/>
          <w:b/>
          <w:bCs/>
          <w:sz w:val="24"/>
          <w:szCs w:val="32"/>
          <w:lang w:val="en-US" w:eastAsia="zh-CN"/>
        </w:rPr>
        <w:t>四十三、合同授予标准</w:t>
      </w:r>
      <w:bookmarkEnd w:id="5"/>
      <w:bookmarkEnd w:id="6"/>
      <w:bookmarkEnd w:id="7"/>
      <w:bookmarkEnd w:id="8"/>
      <w:bookmarkEnd w:id="9"/>
    </w:p>
    <w:p w14:paraId="3AE4F04B">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本项目的合同将授予按本采购文件规定评审确定的中标供应商。</w:t>
      </w:r>
    </w:p>
    <w:p w14:paraId="3F9DEA51">
      <w:pPr>
        <w:pStyle w:val="2"/>
        <w:spacing w:line="360" w:lineRule="auto"/>
        <w:ind w:left="0" w:leftChars="0" w:firstLine="0" w:firstLineChars="0"/>
        <w:rPr>
          <w:rFonts w:hint="eastAsia" w:ascii="仿宋" w:hAnsi="仿宋" w:eastAsia="仿宋" w:cs="仿宋"/>
          <w:b/>
          <w:bCs/>
          <w:sz w:val="24"/>
          <w:szCs w:val="32"/>
          <w:lang w:val="en-US" w:eastAsia="zh-CN"/>
        </w:rPr>
      </w:pPr>
    </w:p>
    <w:p w14:paraId="61B119AB">
      <w:pPr>
        <w:pStyle w:val="2"/>
        <w:spacing w:line="360" w:lineRule="auto"/>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四十四、接受和拒绝任何或所有投标的权力</w:t>
      </w:r>
    </w:p>
    <w:p w14:paraId="0C449013">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采购代理机构和采购人保留在投标之前任何时候接受或拒绝任何投标或所有投标，以及宣布项目采购无效的权力，对受影响的投标人不承担任何责任，也无义务向受影响的投标人解释采取这一行动的理由。</w:t>
      </w:r>
    </w:p>
    <w:p w14:paraId="4A16FDE9">
      <w:pPr>
        <w:pStyle w:val="2"/>
        <w:spacing w:line="360" w:lineRule="auto"/>
        <w:ind w:left="0" w:leftChars="0" w:firstLine="0" w:firstLineChars="0"/>
        <w:rPr>
          <w:rFonts w:hint="eastAsia" w:ascii="仿宋" w:hAnsi="仿宋" w:eastAsia="仿宋" w:cs="仿宋"/>
          <w:b/>
          <w:bCs/>
          <w:sz w:val="24"/>
          <w:szCs w:val="32"/>
          <w:lang w:val="en-US" w:eastAsia="zh-CN"/>
        </w:rPr>
      </w:pPr>
      <w:bookmarkStart w:id="10" w:name="_Toc73518160"/>
      <w:bookmarkStart w:id="11" w:name="_Toc73521589"/>
      <w:bookmarkStart w:id="12" w:name="_Toc100052410"/>
      <w:bookmarkStart w:id="13" w:name="_Toc73517682"/>
      <w:bookmarkStart w:id="14" w:name="_Toc73521677"/>
    </w:p>
    <w:p w14:paraId="6AEDCE62">
      <w:pPr>
        <w:pStyle w:val="2"/>
        <w:spacing w:line="360" w:lineRule="auto"/>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四十五、合同协议书的签订</w:t>
      </w:r>
      <w:bookmarkEnd w:id="10"/>
      <w:bookmarkEnd w:id="11"/>
      <w:bookmarkEnd w:id="12"/>
      <w:bookmarkEnd w:id="13"/>
      <w:bookmarkEnd w:id="14"/>
    </w:p>
    <w:p w14:paraId="6B1FE694">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1、中标（成交）供应商将于中标（成交）通知书发出之日，按照采购文件（招标文件和投标文件等）内容与采购人签订采购合同；合同的实质性内容应当符合采购文件的规定。</w:t>
      </w:r>
    </w:p>
    <w:p w14:paraId="155B6590">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2、中标（成交）供应商如不按本通用条款第“四十五、1”款的规定与采购人签订采购合同，情节严重的，并由同级财政部门记入供应商诚信档案，予以通报。</w:t>
      </w:r>
    </w:p>
    <w:p w14:paraId="420D8EA7">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3、中标（成交）供应商应当按照采购合同约定履行义务，完成中标项目，不得将中标项目转让（转包）给他人。</w:t>
      </w:r>
    </w:p>
    <w:p w14:paraId="525EACFC">
      <w:pPr>
        <w:pStyle w:val="2"/>
        <w:spacing w:line="360" w:lineRule="auto"/>
        <w:ind w:left="0" w:leftChars="0" w:firstLine="0" w:firstLineChars="0"/>
        <w:rPr>
          <w:rFonts w:hint="eastAsia" w:ascii="仿宋" w:hAnsi="仿宋" w:eastAsia="仿宋" w:cs="仿宋"/>
          <w:b/>
          <w:bCs/>
          <w:sz w:val="24"/>
          <w:szCs w:val="32"/>
          <w:lang w:val="en-US" w:eastAsia="zh-CN"/>
        </w:rPr>
      </w:pPr>
      <w:bookmarkStart w:id="15" w:name="_Toc73517683"/>
      <w:bookmarkStart w:id="16" w:name="_Toc73521678"/>
      <w:bookmarkStart w:id="17" w:name="_Toc100052411"/>
      <w:bookmarkStart w:id="18" w:name="_Toc73518161"/>
      <w:bookmarkStart w:id="19" w:name="_Toc73521590"/>
    </w:p>
    <w:p w14:paraId="3DA217EE">
      <w:pPr>
        <w:pStyle w:val="2"/>
        <w:spacing w:line="360" w:lineRule="auto"/>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四十六、履约担保</w:t>
      </w:r>
      <w:bookmarkEnd w:id="15"/>
      <w:bookmarkEnd w:id="16"/>
      <w:bookmarkEnd w:id="17"/>
      <w:bookmarkEnd w:id="18"/>
      <w:bookmarkEnd w:id="19"/>
    </w:p>
    <w:p w14:paraId="5FE6A4EF">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1、在签订项目合同的同时，中标（成交）供应商应按于采购人协商后规定的金额向采购人提交履约保证金。</w:t>
      </w:r>
    </w:p>
    <w:p w14:paraId="6DB37576">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允许中标（成交）供应商自主选择以支票、汇票、本票、保函等非现金方式提交履约担保；中标（成交）供应商提交履约担保不是合同签订的前提条件，不能要求中标（成交）供应商提供除法律、法规明确规定外的其他担保。</w:t>
      </w:r>
    </w:p>
    <w:p w14:paraId="029A1C43">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3、项目服务期满之后,经验收合格后，采购人在规定时间内办理解除履约担保手续。</w:t>
      </w:r>
    </w:p>
    <w:p w14:paraId="2973BADE">
      <w:pPr>
        <w:pStyle w:val="2"/>
        <w:spacing w:line="360" w:lineRule="auto"/>
        <w:ind w:left="0" w:leftChars="0" w:firstLine="0" w:firstLineChars="0"/>
        <w:rPr>
          <w:rFonts w:hint="eastAsia" w:ascii="仿宋" w:hAnsi="仿宋" w:eastAsia="仿宋" w:cs="仿宋"/>
          <w:b/>
          <w:bCs/>
          <w:sz w:val="24"/>
          <w:szCs w:val="32"/>
          <w:lang w:val="en-US" w:eastAsia="zh-CN"/>
        </w:rPr>
      </w:pPr>
    </w:p>
    <w:p w14:paraId="78580626">
      <w:pPr>
        <w:pStyle w:val="2"/>
        <w:spacing w:line="360" w:lineRule="auto"/>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四十七、合同的备案</w:t>
      </w:r>
    </w:p>
    <w:p w14:paraId="6A119415">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采购人与中标（成交）供应商应于合同签订之日起十日内，由采购人或委托中标（成交）供应商将采购合同副本抄送合同备案工作实施机构备案。</w:t>
      </w:r>
    </w:p>
    <w:p w14:paraId="191874E6">
      <w:pPr>
        <w:pStyle w:val="2"/>
        <w:spacing w:line="360" w:lineRule="auto"/>
        <w:ind w:left="0" w:leftChars="0" w:firstLine="0" w:firstLineChars="0"/>
        <w:rPr>
          <w:rFonts w:hint="eastAsia" w:ascii="仿宋" w:hAnsi="仿宋" w:eastAsia="仿宋" w:cs="仿宋"/>
          <w:b/>
          <w:bCs/>
          <w:sz w:val="24"/>
          <w:szCs w:val="32"/>
          <w:lang w:val="en-US" w:eastAsia="zh-CN"/>
        </w:rPr>
      </w:pPr>
    </w:p>
    <w:p w14:paraId="41677A7A">
      <w:pPr>
        <w:pStyle w:val="2"/>
        <w:spacing w:line="360" w:lineRule="auto"/>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四十八、合同的变更</w:t>
      </w:r>
    </w:p>
    <w:p w14:paraId="2D57102D">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合同变更事宜按《深圳市财政局深圳市政府采购中心关于进一步加强市本级政府采购合同备案管理工作的通知》（深财购〔2019〕43号）相关规定执行。</w:t>
      </w:r>
    </w:p>
    <w:p w14:paraId="37FD3CCE">
      <w:pPr>
        <w:pStyle w:val="2"/>
        <w:spacing w:line="360" w:lineRule="auto"/>
        <w:ind w:left="0" w:leftChars="0" w:firstLine="0" w:firstLineChars="0"/>
        <w:rPr>
          <w:rFonts w:hint="eastAsia" w:ascii="仿宋" w:hAnsi="仿宋" w:eastAsia="仿宋" w:cs="仿宋"/>
          <w:b/>
          <w:bCs/>
          <w:sz w:val="24"/>
          <w:szCs w:val="32"/>
          <w:lang w:val="en-US" w:eastAsia="zh-CN"/>
        </w:rPr>
      </w:pPr>
    </w:p>
    <w:p w14:paraId="4C6F3A34">
      <w:pPr>
        <w:pStyle w:val="2"/>
        <w:spacing w:line="360" w:lineRule="auto"/>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四十九、项目验收</w:t>
      </w:r>
    </w:p>
    <w:p w14:paraId="0DA56410">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采购人应当按照采购文件和合同规定的标准和方法，及时组织验收。</w:t>
      </w:r>
    </w:p>
    <w:p w14:paraId="3A755979">
      <w:pPr>
        <w:pStyle w:val="2"/>
        <w:spacing w:line="360" w:lineRule="auto"/>
        <w:ind w:left="0" w:leftChars="0" w:firstLine="0" w:firstLineChars="0"/>
        <w:rPr>
          <w:rFonts w:hint="eastAsia" w:ascii="仿宋" w:hAnsi="仿宋" w:eastAsia="仿宋" w:cs="仿宋"/>
          <w:b/>
          <w:bCs/>
          <w:sz w:val="24"/>
          <w:szCs w:val="32"/>
          <w:lang w:val="en-US" w:eastAsia="zh-CN"/>
        </w:rPr>
      </w:pPr>
    </w:p>
    <w:p w14:paraId="4D4D4ABA">
      <w:pPr>
        <w:pStyle w:val="2"/>
        <w:spacing w:line="360" w:lineRule="auto"/>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五十、宣传</w:t>
      </w:r>
    </w:p>
    <w:p w14:paraId="6969B50F">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凡与政府采购活动有关的宣传或广告，若当中提及政府采购，必须事先将具体对外宣传方案报同级财政部门和采购代理机构，并征得其同意。对外市场宣传包括但不限于以下形式：</w:t>
      </w:r>
    </w:p>
    <w:p w14:paraId="3937C381">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a、名片、宣传册、广告标语等。</w:t>
      </w:r>
    </w:p>
    <w:p w14:paraId="605DC26D">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b、案例介绍、推广等。</w:t>
      </w:r>
    </w:p>
    <w:p w14:paraId="262758D8">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c、工作人员向其他消费群体宣传。</w:t>
      </w:r>
    </w:p>
    <w:p w14:paraId="34390073">
      <w:pPr>
        <w:pStyle w:val="2"/>
        <w:spacing w:line="360" w:lineRule="auto"/>
        <w:ind w:left="0" w:leftChars="0" w:firstLine="0" w:firstLineChars="0"/>
        <w:rPr>
          <w:rFonts w:hint="eastAsia" w:ascii="仿宋" w:hAnsi="仿宋" w:eastAsia="仿宋" w:cs="仿宋"/>
          <w:b/>
          <w:bCs/>
          <w:sz w:val="24"/>
          <w:szCs w:val="32"/>
          <w:lang w:val="en-US" w:eastAsia="zh-CN"/>
        </w:rPr>
      </w:pPr>
    </w:p>
    <w:p w14:paraId="0A70717D">
      <w:pPr>
        <w:pStyle w:val="2"/>
        <w:spacing w:line="360" w:lineRule="auto"/>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五十一、供应商违法责任</w:t>
      </w:r>
    </w:p>
    <w:p w14:paraId="5D5F5BC0">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依据“《深圳经济特区政府采购条例》第五十七条”条款，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FC3A2BF">
      <w:pPr>
        <w:pStyle w:val="2"/>
        <w:spacing w:line="360" w:lineRule="auto"/>
        <w:ind w:left="0" w:leftChars="0" w:firstLine="720" w:firstLineChars="3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（1）在采购活动中应当回避而未回避的。</w:t>
      </w:r>
    </w:p>
    <w:p w14:paraId="6AC33BD2">
      <w:pPr>
        <w:pStyle w:val="2"/>
        <w:spacing w:line="360" w:lineRule="auto"/>
        <w:ind w:left="0" w:leftChars="0" w:firstLine="720" w:firstLineChars="3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（2）未按本条例规定签订、履行采购合同，造成严重后果的。</w:t>
      </w:r>
    </w:p>
    <w:p w14:paraId="354B56AA">
      <w:pPr>
        <w:pStyle w:val="2"/>
        <w:spacing w:line="360" w:lineRule="auto"/>
        <w:ind w:left="0" w:leftChars="0" w:firstLine="720" w:firstLineChars="3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（3）隐瞒真实情况，提供虚假资料的。</w:t>
      </w:r>
    </w:p>
    <w:p w14:paraId="009D4290">
      <w:pPr>
        <w:pStyle w:val="2"/>
        <w:spacing w:line="360" w:lineRule="auto"/>
        <w:ind w:left="0" w:leftChars="0" w:firstLine="720" w:firstLineChars="3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（4）以非法手段排斥其他供应商参与竞争的。</w:t>
      </w:r>
    </w:p>
    <w:p w14:paraId="5A24F16F">
      <w:pPr>
        <w:pStyle w:val="2"/>
        <w:spacing w:line="360" w:lineRule="auto"/>
        <w:ind w:left="0" w:leftChars="0" w:firstLine="720" w:firstLineChars="3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（5）与其他采购参加人串通投标的。</w:t>
      </w:r>
    </w:p>
    <w:p w14:paraId="757D319D">
      <w:pPr>
        <w:pStyle w:val="2"/>
        <w:spacing w:line="360" w:lineRule="auto"/>
        <w:ind w:left="0" w:leftChars="0" w:firstLine="720" w:firstLineChars="3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（6）恶意投诉的。</w:t>
      </w:r>
    </w:p>
    <w:p w14:paraId="77359AEC">
      <w:pPr>
        <w:pStyle w:val="2"/>
        <w:spacing w:line="360" w:lineRule="auto"/>
        <w:ind w:left="0" w:leftChars="0" w:firstLine="720" w:firstLineChars="3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（7）向采购项目相关人行贿或者提供其他不当利益的。</w:t>
      </w:r>
    </w:p>
    <w:p w14:paraId="1A323360">
      <w:pPr>
        <w:pStyle w:val="2"/>
        <w:spacing w:line="360" w:lineRule="auto"/>
        <w:ind w:left="0" w:leftChars="0" w:firstLine="720" w:firstLineChars="3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（8）阻碍、抗拒主管部门监督检查的。</w:t>
      </w:r>
    </w:p>
    <w:p w14:paraId="5CC7616B">
      <w:pPr>
        <w:pStyle w:val="2"/>
        <w:spacing w:line="360" w:lineRule="auto"/>
        <w:ind w:left="0" w:leftChars="0" w:firstLine="720" w:firstLineChars="3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（9）其他违反本条例规定的行为。</w:t>
      </w:r>
    </w:p>
    <w:p w14:paraId="1C2093C8">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2、根据《深圳市财政局关于明确政府采购保证金管理工作的通知》（深财购[2019]42号）的要求，供应商在政府采购活动中出现《深圳经济特区政府采购条例实施细则》第八十四条所列情形的，</w:t>
      </w:r>
      <w:bookmarkStart w:id="20" w:name="_Hlk72440769"/>
      <w:r>
        <w:rPr>
          <w:rFonts w:hint="eastAsia" w:ascii="仿宋" w:hAnsi="仿宋" w:eastAsia="仿宋" w:cs="仿宋"/>
          <w:sz w:val="24"/>
          <w:szCs w:val="32"/>
          <w:lang w:val="en-US" w:eastAsia="zh-CN"/>
        </w:rPr>
        <w:t>采购人或采购代理机构</w:t>
      </w:r>
      <w:bookmarkEnd w:id="20"/>
      <w:r>
        <w:rPr>
          <w:rFonts w:hint="eastAsia" w:ascii="仿宋" w:hAnsi="仿宋" w:eastAsia="仿宋" w:cs="仿宋"/>
          <w:sz w:val="24"/>
          <w:szCs w:val="32"/>
          <w:lang w:val="en-US" w:eastAsia="zh-CN"/>
        </w:rPr>
        <w:t>可将有关情况报同级财政部门，由财政部门根据实际情况记入供应商诚信档案，予以通报：</w:t>
      </w:r>
    </w:p>
    <w:p w14:paraId="3A9E3CD6">
      <w:pPr>
        <w:pStyle w:val="2"/>
        <w:spacing w:line="360" w:lineRule="auto"/>
        <w:ind w:left="0" w:leftChars="0" w:firstLine="720" w:firstLineChars="3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（1）投标截止后，撤销投标的。</w:t>
      </w:r>
    </w:p>
    <w:p w14:paraId="2FE471D1">
      <w:pPr>
        <w:pStyle w:val="2"/>
        <w:spacing w:line="360" w:lineRule="auto"/>
        <w:ind w:left="0" w:leftChars="0" w:firstLine="720" w:firstLineChars="3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（2）中标后无正当理由未在规定期限内签订合同的。</w:t>
      </w:r>
    </w:p>
    <w:p w14:paraId="12C2F7F3">
      <w:pPr>
        <w:pStyle w:val="2"/>
        <w:spacing w:line="360" w:lineRule="auto"/>
        <w:ind w:left="239" w:leftChars="114"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（3）将中标项目转让给他人</w:t>
      </w:r>
      <w:bookmarkStart w:id="22" w:name="_GoBack"/>
      <w:bookmarkEnd w:id="22"/>
      <w:r>
        <w:rPr>
          <w:rFonts w:hint="eastAsia" w:ascii="仿宋" w:hAnsi="仿宋" w:eastAsia="仿宋" w:cs="仿宋"/>
          <w:sz w:val="24"/>
          <w:szCs w:val="32"/>
          <w:lang w:val="en-US" w:eastAsia="zh-CN"/>
        </w:rPr>
        <w:t>或者在投标文件中未说明且未经采购人、采购招标机构同意，将中标项目分包给他人的。</w:t>
      </w:r>
    </w:p>
    <w:p w14:paraId="2D60EA61">
      <w:pPr>
        <w:pStyle w:val="2"/>
        <w:spacing w:line="360" w:lineRule="auto"/>
        <w:ind w:left="239" w:leftChars="114"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（4）拒绝履行合同义务的。</w:t>
      </w:r>
    </w:p>
    <w:p w14:paraId="4AFC462F">
      <w:pPr>
        <w:pStyle w:val="2"/>
        <w:spacing w:line="360" w:lineRule="auto"/>
        <w:ind w:left="0" w:leftChars="0" w:firstLine="0" w:firstLineChars="0"/>
        <w:rPr>
          <w:rFonts w:hint="eastAsia" w:ascii="仿宋" w:hAnsi="仿宋" w:eastAsia="仿宋" w:cs="仿宋"/>
          <w:sz w:val="24"/>
          <w:szCs w:val="32"/>
          <w:lang w:val="en-US" w:eastAsia="zh-CN"/>
        </w:rPr>
      </w:pPr>
    </w:p>
    <w:p w14:paraId="581EC55F">
      <w:pPr>
        <w:pStyle w:val="2"/>
        <w:spacing w:line="360" w:lineRule="auto"/>
        <w:ind w:left="0" w:leftChars="0" w:firstLine="0" w:firstLineChars="0"/>
        <w:jc w:val="center"/>
        <w:rPr>
          <w:rFonts w:hint="eastAsia" w:ascii="仿宋" w:hAnsi="仿宋" w:eastAsia="仿宋" w:cs="仿宋"/>
          <w:sz w:val="24"/>
          <w:szCs w:val="32"/>
          <w:lang w:val="en-US" w:eastAsia="zh-CN"/>
        </w:rPr>
      </w:pPr>
      <w:r>
        <w:rPr>
          <w:rFonts w:hint="eastAsia" w:ascii="仿宋" w:hAnsi="仿宋" w:eastAsia="仿宋" w:cs="仿宋"/>
          <w:b/>
          <w:bCs/>
          <w:sz w:val="28"/>
          <w:szCs w:val="36"/>
          <w:lang w:val="en-US" w:eastAsia="zh-CN"/>
        </w:rPr>
        <w:t>第十一章 质疑处理</w:t>
      </w:r>
    </w:p>
    <w:p w14:paraId="50A62452">
      <w:pPr>
        <w:pStyle w:val="2"/>
        <w:spacing w:line="360" w:lineRule="auto"/>
        <w:ind w:left="0" w:leftChars="0" w:firstLine="0" w:firstLineChars="0"/>
        <w:rPr>
          <w:rFonts w:hint="eastAsia" w:ascii="仿宋" w:hAnsi="仿宋" w:eastAsia="仿宋" w:cs="仿宋"/>
          <w:sz w:val="24"/>
          <w:szCs w:val="32"/>
          <w:lang w:val="en-US" w:eastAsia="zh-CN"/>
        </w:rPr>
      </w:pPr>
    </w:p>
    <w:p w14:paraId="04ED4B87">
      <w:pPr>
        <w:pStyle w:val="2"/>
        <w:spacing w:line="360" w:lineRule="auto"/>
        <w:ind w:left="0" w:leftChars="0" w:firstLine="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五十二、质疑提出与答复</w:t>
      </w:r>
    </w:p>
    <w:p w14:paraId="2DC25BAD">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1、提出质疑</w:t>
      </w:r>
    </w:p>
    <w:p w14:paraId="41CD5037">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参与政府采购活动的供应商认为自己的权益在采购活动中受到损害的，应当自知道或者应当知道其权益受到损害之日起七个工作日内向采购人、采购代理机构以书面形式提出质疑。</w:t>
      </w:r>
    </w:p>
    <w:p w14:paraId="230907F3">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2、法律依据</w:t>
      </w:r>
    </w:p>
    <w:p w14:paraId="144F0836">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5E8B4845">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3、质疑条件</w:t>
      </w:r>
    </w:p>
    <w:p w14:paraId="4E580378">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3.1、提出质疑的供应商应当是参与所质疑项目采购活动的供应商；</w:t>
      </w:r>
      <w:bookmarkStart w:id="21" w:name="_Hlk75374941"/>
      <w:r>
        <w:rPr>
          <w:rFonts w:hint="eastAsia" w:ascii="仿宋" w:hAnsi="仿宋" w:eastAsia="仿宋" w:cs="仿宋"/>
          <w:sz w:val="24"/>
          <w:szCs w:val="32"/>
          <w:lang w:val="en-US" w:eastAsia="zh-CN"/>
        </w:rPr>
        <w:t>以联合体形式参与的，质疑应当由组成联合体的所有成员共同提出</w:t>
      </w:r>
      <w:bookmarkEnd w:id="21"/>
      <w:r>
        <w:rPr>
          <w:rFonts w:hint="eastAsia" w:ascii="仿宋" w:hAnsi="仿宋" w:eastAsia="仿宋" w:cs="仿宋"/>
          <w:sz w:val="24"/>
          <w:szCs w:val="32"/>
          <w:lang w:val="en-US" w:eastAsia="zh-CN"/>
        </w:rPr>
        <w:t>。</w:t>
      </w:r>
    </w:p>
    <w:p w14:paraId="2636165A">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3.2、应当在法定质疑期内一次性提出针对同一采购程序环节的质疑，法定质疑期为自知道或应当知道权益受到损害之日起5个工作日内。应当知道其权益受到损害之日是指：对采购文件的质疑，为采购文件公布之日；对采购过程的质疑，为各采购程序环节结束之日；对采购结果以及评审委员会组成人员的质疑，为采购结果公示之日。</w:t>
      </w:r>
    </w:p>
    <w:p w14:paraId="60357330">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3.3、应提交书面质疑函，质疑函应当包括以下内容：</w:t>
      </w:r>
    </w:p>
    <w:p w14:paraId="134A4246">
      <w:pPr>
        <w:pStyle w:val="2"/>
        <w:spacing w:line="360" w:lineRule="auto"/>
        <w:ind w:left="479" w:leftChars="228" w:firstLine="720" w:firstLineChars="3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（1）供应商的名称（或者姓名）、地址、邮编、邮箱、联系人及联系电话。</w:t>
      </w:r>
    </w:p>
    <w:p w14:paraId="1C361A69">
      <w:pPr>
        <w:pStyle w:val="2"/>
        <w:spacing w:line="360" w:lineRule="auto"/>
        <w:ind w:left="479" w:leftChars="228" w:firstLine="720" w:firstLineChars="3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（2）质疑项目的名称、编号。</w:t>
      </w:r>
    </w:p>
    <w:p w14:paraId="26C041E4">
      <w:pPr>
        <w:pStyle w:val="2"/>
        <w:spacing w:line="360" w:lineRule="auto"/>
        <w:ind w:left="479" w:leftChars="228" w:firstLine="720" w:firstLineChars="3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（3）具体、明确的质疑对象、质疑事项和质疑请求。</w:t>
      </w:r>
    </w:p>
    <w:p w14:paraId="3F998358">
      <w:pPr>
        <w:pStyle w:val="2"/>
        <w:spacing w:line="360" w:lineRule="auto"/>
        <w:ind w:left="479" w:leftChars="228" w:firstLine="720" w:firstLineChars="3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（4）因质疑事项而受损害的权益。</w:t>
      </w:r>
    </w:p>
    <w:p w14:paraId="1E23B574">
      <w:pPr>
        <w:pStyle w:val="2"/>
        <w:spacing w:line="360" w:lineRule="auto"/>
        <w:ind w:left="479" w:leftChars="228" w:firstLine="720" w:firstLineChars="3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（5）事实依据。</w:t>
      </w:r>
    </w:p>
    <w:p w14:paraId="6B4A1908">
      <w:pPr>
        <w:pStyle w:val="2"/>
        <w:spacing w:line="360" w:lineRule="auto"/>
        <w:ind w:left="479" w:leftChars="228" w:firstLine="720" w:firstLineChars="3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（6）必要的法律依据。</w:t>
      </w:r>
    </w:p>
    <w:p w14:paraId="0EC2E781">
      <w:pPr>
        <w:pStyle w:val="2"/>
        <w:spacing w:line="360" w:lineRule="auto"/>
        <w:ind w:left="479" w:leftChars="228" w:firstLine="720" w:firstLineChars="3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（7）提出质疑的日期。</w:t>
      </w:r>
    </w:p>
    <w:p w14:paraId="431C74F8">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供应商为自然人的，应当由本人签字；供应商为法人或者其他组织的，应当由法定代表人（负责人），或者其授权代理人签字或者盖章，并加盖公章。</w:t>
      </w:r>
    </w:p>
    <w:p w14:paraId="2459797F">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4、提交材料</w:t>
      </w:r>
    </w:p>
    <w:p w14:paraId="0F1704FC">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供应商质疑实行实名制。供应商为自然人的，应当提交本人身份证复印件；供应商为法人或者其他组织的，应当根据自身性质提交营业执照复印件或者其他证明文件（如事业单位法人证书等）复印件。</w:t>
      </w:r>
    </w:p>
    <w:p w14:paraId="4ADC9A81">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8908E60">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5、提交方式</w:t>
      </w:r>
    </w:p>
    <w:p w14:paraId="7E74A75B">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提交地址：深圳市福田区民田路171号新华保险大厦903深圳市中正招标有限公司，咨询电话：0755-83026699。</w:t>
      </w:r>
    </w:p>
    <w:p w14:paraId="275CB2DE">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6、收文办理程序</w:t>
      </w:r>
    </w:p>
    <w:p w14:paraId="1F478391">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6.1、供应商提交的质疑符合受理条件的，采购代理机构自收到质疑材料之日起即为受理，应当向供应商出具质疑函收文回执并可以要求其递交质疑的法定代表人（负责人）或者授权代理人签署质疑文书送达地址确认书。</w:t>
      </w:r>
    </w:p>
    <w:p w14:paraId="37DD45C4">
      <w:pPr>
        <w:pStyle w:val="2"/>
        <w:spacing w:line="360" w:lineRule="auto"/>
        <w:ind w:left="479" w:leftChars="228"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6.2、供应商提交的质疑材料不符合质疑条件的，视情况处理：</w:t>
      </w:r>
    </w:p>
    <w:p w14:paraId="20865AC6">
      <w:pPr>
        <w:pStyle w:val="2"/>
        <w:spacing w:line="360" w:lineRule="auto"/>
        <w:ind w:left="479" w:leftChars="228" w:firstLine="960" w:firstLineChars="4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6.2.1、供应商提交的质疑材料不全或者未按要求签字或者盖章的，采购代理机构应当一次性告知供应商需补正的内容和补正期限。</w:t>
      </w:r>
    </w:p>
    <w:p w14:paraId="7F1ED64F">
      <w:pPr>
        <w:pStyle w:val="2"/>
        <w:spacing w:line="360" w:lineRule="auto"/>
        <w:ind w:left="479" w:leftChars="228" w:firstLine="960" w:firstLineChars="4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6.2.2、供应商提交的质疑存在下列情形之一的，不予受理：</w:t>
      </w:r>
    </w:p>
    <w:p w14:paraId="3243E3C2">
      <w:pPr>
        <w:pStyle w:val="2"/>
        <w:spacing w:line="360" w:lineRule="auto"/>
        <w:ind w:left="479" w:leftChars="228" w:firstLine="1200" w:firstLineChars="5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（1）质疑主体不满足要求的。</w:t>
      </w:r>
    </w:p>
    <w:p w14:paraId="79BEE5B7">
      <w:pPr>
        <w:pStyle w:val="2"/>
        <w:spacing w:line="360" w:lineRule="auto"/>
        <w:ind w:left="479" w:leftChars="228" w:firstLine="1200" w:firstLineChars="5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（2）供应商自身权益未受到损害的。</w:t>
      </w:r>
    </w:p>
    <w:p w14:paraId="0940EC68">
      <w:pPr>
        <w:pStyle w:val="2"/>
        <w:spacing w:line="360" w:lineRule="auto"/>
        <w:ind w:left="479" w:leftChars="228" w:firstLine="1200" w:firstLineChars="5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（3）供应商未在法定质疑期限内提出质疑的。</w:t>
      </w:r>
    </w:p>
    <w:p w14:paraId="48B41685">
      <w:pPr>
        <w:pStyle w:val="2"/>
        <w:spacing w:line="360" w:lineRule="auto"/>
        <w:ind w:left="1436" w:leftChars="684" w:firstLine="240" w:firstLineChars="1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（4）质疑材料不全或者未按要求签字或者盖章的情况下，要求补正后，逾期未补正或者补正后仍不符合规定的。</w:t>
      </w:r>
    </w:p>
    <w:p w14:paraId="6E22FE6E">
      <w:pPr>
        <w:pStyle w:val="2"/>
        <w:spacing w:line="360" w:lineRule="auto"/>
        <w:ind w:left="1436" w:leftChars="684" w:firstLine="240" w:firstLineChars="1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（5）其他不符合受理条件情形的。</w:t>
      </w:r>
    </w:p>
    <w:p w14:paraId="19DC23C6">
      <w:pPr>
        <w:pStyle w:val="2"/>
        <w:spacing w:line="360" w:lineRule="auto"/>
        <w:ind w:left="0" w:leftChars="0" w:firstLine="960" w:firstLineChars="4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质疑事项不予受理的，采购代理机构应当向供应商出具不符合质疑条件告知书。</w:t>
      </w:r>
    </w:p>
    <w:p w14:paraId="4FD0FE81">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7、质疑答复时限</w:t>
      </w:r>
    </w:p>
    <w:p w14:paraId="121AD5BA">
      <w:pPr>
        <w:pStyle w:val="2"/>
        <w:spacing w:line="360" w:lineRule="auto"/>
        <w:ind w:left="0" w:leftChars="0" w:firstLine="0" w:firstLineChars="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      自收文之日起七个工作日内。</w:t>
      </w:r>
    </w:p>
    <w:p w14:paraId="1732DD7A">
      <w:pPr>
        <w:pStyle w:val="2"/>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8、投诉</w:t>
      </w:r>
    </w:p>
    <w:p w14:paraId="1D671743">
      <w:pPr>
        <w:pStyle w:val="2"/>
        <w:spacing w:line="360" w:lineRule="auto"/>
        <w:ind w:left="480" w:leftChars="0" w:hanging="480" w:hanging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      对质疑答复不满意或者未在规定时间内答复的，提出质疑的供应商可以在答复期满后15个工作日内向同级财政部门投诉。</w:t>
      </w:r>
    </w:p>
    <w:p w14:paraId="737ACE57">
      <w:pPr>
        <w:pStyle w:val="2"/>
        <w:spacing w:line="360" w:lineRule="auto"/>
        <w:ind w:left="0" w:leftChars="0" w:firstLine="0" w:firstLineChars="0"/>
        <w:rPr>
          <w:rFonts w:hint="eastAsia" w:ascii="仿宋" w:hAnsi="仿宋" w:eastAsia="仿宋" w:cs="仿宋"/>
          <w:sz w:val="24"/>
          <w:szCs w:val="32"/>
          <w:lang w:val="en-US" w:eastAsia="zh-CN"/>
        </w:rPr>
      </w:pPr>
    </w:p>
    <w:sectPr>
      <w:pgSz w:w="11906" w:h="16838"/>
      <w:pgMar w:top="1134" w:right="1304" w:bottom="1134" w:left="1304"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3OWU1MzY1OTQ5OTJmMDNkZTgyMmQxZGM1NzFkMjQifQ=="/>
  </w:docVars>
  <w:rsids>
    <w:rsidRoot w:val="00000000"/>
    <w:rsid w:val="005C6ADC"/>
    <w:rsid w:val="01313540"/>
    <w:rsid w:val="02D0730E"/>
    <w:rsid w:val="03385BAA"/>
    <w:rsid w:val="03EE33CD"/>
    <w:rsid w:val="056B77C2"/>
    <w:rsid w:val="056F2E0E"/>
    <w:rsid w:val="076B1CFB"/>
    <w:rsid w:val="0822060B"/>
    <w:rsid w:val="09197723"/>
    <w:rsid w:val="0AC43BFC"/>
    <w:rsid w:val="0B17653B"/>
    <w:rsid w:val="0C0D15D3"/>
    <w:rsid w:val="0C2B6A18"/>
    <w:rsid w:val="0C8573BB"/>
    <w:rsid w:val="0D2B1D55"/>
    <w:rsid w:val="0D6214AA"/>
    <w:rsid w:val="0E794941"/>
    <w:rsid w:val="0ED7513B"/>
    <w:rsid w:val="0EF260A0"/>
    <w:rsid w:val="0F1D7D7F"/>
    <w:rsid w:val="0F84160B"/>
    <w:rsid w:val="0FF21D8D"/>
    <w:rsid w:val="10C5422A"/>
    <w:rsid w:val="141B08DE"/>
    <w:rsid w:val="14997EA7"/>
    <w:rsid w:val="15826B8D"/>
    <w:rsid w:val="15926C0E"/>
    <w:rsid w:val="16985F3D"/>
    <w:rsid w:val="16DC30FB"/>
    <w:rsid w:val="16F83F95"/>
    <w:rsid w:val="17127A9D"/>
    <w:rsid w:val="1987566D"/>
    <w:rsid w:val="1AAD3B0A"/>
    <w:rsid w:val="1AD0039B"/>
    <w:rsid w:val="1B46150E"/>
    <w:rsid w:val="1C5B5A42"/>
    <w:rsid w:val="1D9D475C"/>
    <w:rsid w:val="1E855C09"/>
    <w:rsid w:val="1F0C74C8"/>
    <w:rsid w:val="1F312F0D"/>
    <w:rsid w:val="1F8B663F"/>
    <w:rsid w:val="1FD77AD6"/>
    <w:rsid w:val="209F3394"/>
    <w:rsid w:val="212E3899"/>
    <w:rsid w:val="22561186"/>
    <w:rsid w:val="22A87507"/>
    <w:rsid w:val="22B365D8"/>
    <w:rsid w:val="23D63FF3"/>
    <w:rsid w:val="24611FC4"/>
    <w:rsid w:val="24680E67"/>
    <w:rsid w:val="259241E2"/>
    <w:rsid w:val="25FA451E"/>
    <w:rsid w:val="26A050C5"/>
    <w:rsid w:val="26D47EBF"/>
    <w:rsid w:val="275413AC"/>
    <w:rsid w:val="287A1946"/>
    <w:rsid w:val="2984482A"/>
    <w:rsid w:val="2A900FAD"/>
    <w:rsid w:val="2B560448"/>
    <w:rsid w:val="2B6D6D2F"/>
    <w:rsid w:val="2BFD2672"/>
    <w:rsid w:val="2C815051"/>
    <w:rsid w:val="2CAF6062"/>
    <w:rsid w:val="2E2F196A"/>
    <w:rsid w:val="2F0C6B65"/>
    <w:rsid w:val="2F68074A"/>
    <w:rsid w:val="2FAC383D"/>
    <w:rsid w:val="30846E12"/>
    <w:rsid w:val="30E3443D"/>
    <w:rsid w:val="31741628"/>
    <w:rsid w:val="33105381"/>
    <w:rsid w:val="331210F9"/>
    <w:rsid w:val="33264770"/>
    <w:rsid w:val="338A2196"/>
    <w:rsid w:val="33B51A84"/>
    <w:rsid w:val="33BB1179"/>
    <w:rsid w:val="34CD36A1"/>
    <w:rsid w:val="34FB7470"/>
    <w:rsid w:val="353D77C0"/>
    <w:rsid w:val="35585E1E"/>
    <w:rsid w:val="35951B6D"/>
    <w:rsid w:val="35F06330"/>
    <w:rsid w:val="39634160"/>
    <w:rsid w:val="396E4BAF"/>
    <w:rsid w:val="39AB5E03"/>
    <w:rsid w:val="3A3F02FA"/>
    <w:rsid w:val="3A484CAE"/>
    <w:rsid w:val="3AC07F1E"/>
    <w:rsid w:val="3B64380F"/>
    <w:rsid w:val="3CF47AC1"/>
    <w:rsid w:val="3D0870C9"/>
    <w:rsid w:val="3D5D4702"/>
    <w:rsid w:val="3D883C6D"/>
    <w:rsid w:val="3DEB0EC4"/>
    <w:rsid w:val="3E46023E"/>
    <w:rsid w:val="3E821118"/>
    <w:rsid w:val="3EC3599D"/>
    <w:rsid w:val="3EDA5B7D"/>
    <w:rsid w:val="41AC44C7"/>
    <w:rsid w:val="41DE7317"/>
    <w:rsid w:val="420E61F1"/>
    <w:rsid w:val="4214405D"/>
    <w:rsid w:val="42972164"/>
    <w:rsid w:val="42B1476A"/>
    <w:rsid w:val="42F36125"/>
    <w:rsid w:val="42FC147E"/>
    <w:rsid w:val="4368266F"/>
    <w:rsid w:val="43860D47"/>
    <w:rsid w:val="440A3726"/>
    <w:rsid w:val="44593D09"/>
    <w:rsid w:val="45187836"/>
    <w:rsid w:val="451F7CF8"/>
    <w:rsid w:val="4645313C"/>
    <w:rsid w:val="4799729B"/>
    <w:rsid w:val="4910358D"/>
    <w:rsid w:val="4A116ED5"/>
    <w:rsid w:val="4AB443EC"/>
    <w:rsid w:val="4AE83FFF"/>
    <w:rsid w:val="4B390902"/>
    <w:rsid w:val="4B57391E"/>
    <w:rsid w:val="4B8C62F2"/>
    <w:rsid w:val="4BE8259F"/>
    <w:rsid w:val="4C6F10C0"/>
    <w:rsid w:val="4C891FD4"/>
    <w:rsid w:val="4D007DBC"/>
    <w:rsid w:val="4D7E259D"/>
    <w:rsid w:val="4E070B25"/>
    <w:rsid w:val="4E4A5793"/>
    <w:rsid w:val="4E74636C"/>
    <w:rsid w:val="4E9E163B"/>
    <w:rsid w:val="50B909AE"/>
    <w:rsid w:val="515E618F"/>
    <w:rsid w:val="515F3303"/>
    <w:rsid w:val="526037D7"/>
    <w:rsid w:val="54602B2E"/>
    <w:rsid w:val="549A28A4"/>
    <w:rsid w:val="549D7AA1"/>
    <w:rsid w:val="557A23A3"/>
    <w:rsid w:val="561F3061"/>
    <w:rsid w:val="58D2085F"/>
    <w:rsid w:val="5AF947C9"/>
    <w:rsid w:val="5B8F2A37"/>
    <w:rsid w:val="5BA504AD"/>
    <w:rsid w:val="5BEA75BF"/>
    <w:rsid w:val="5BEE09A5"/>
    <w:rsid w:val="5CF95466"/>
    <w:rsid w:val="5D1E5419"/>
    <w:rsid w:val="5DA36C6E"/>
    <w:rsid w:val="5EB00F42"/>
    <w:rsid w:val="5F5A2122"/>
    <w:rsid w:val="600D6620"/>
    <w:rsid w:val="63154DD3"/>
    <w:rsid w:val="63F21DB5"/>
    <w:rsid w:val="63FD6F73"/>
    <w:rsid w:val="64265F03"/>
    <w:rsid w:val="64314722"/>
    <w:rsid w:val="64DB07C0"/>
    <w:rsid w:val="64E9760D"/>
    <w:rsid w:val="65085608"/>
    <w:rsid w:val="6592686F"/>
    <w:rsid w:val="67206C39"/>
    <w:rsid w:val="677F5452"/>
    <w:rsid w:val="682E7AFD"/>
    <w:rsid w:val="68541290"/>
    <w:rsid w:val="695B21AB"/>
    <w:rsid w:val="69F47232"/>
    <w:rsid w:val="6A016C65"/>
    <w:rsid w:val="6A3625B4"/>
    <w:rsid w:val="6B1D75CB"/>
    <w:rsid w:val="6B317667"/>
    <w:rsid w:val="6C136D6D"/>
    <w:rsid w:val="6D3C10BC"/>
    <w:rsid w:val="6DBB03FB"/>
    <w:rsid w:val="6DD469CF"/>
    <w:rsid w:val="6DDE33AA"/>
    <w:rsid w:val="6E7B3979"/>
    <w:rsid w:val="6E923E19"/>
    <w:rsid w:val="6F7A1ECE"/>
    <w:rsid w:val="70221C74"/>
    <w:rsid w:val="71CB4BFC"/>
    <w:rsid w:val="72FF6CD0"/>
    <w:rsid w:val="738844E4"/>
    <w:rsid w:val="740C6EC3"/>
    <w:rsid w:val="746301D4"/>
    <w:rsid w:val="759C7DD3"/>
    <w:rsid w:val="76796366"/>
    <w:rsid w:val="773C5F9C"/>
    <w:rsid w:val="77F211BF"/>
    <w:rsid w:val="78374EFE"/>
    <w:rsid w:val="79193CB1"/>
    <w:rsid w:val="79927E6B"/>
    <w:rsid w:val="7A404650"/>
    <w:rsid w:val="7A8D211A"/>
    <w:rsid w:val="7B713AB0"/>
    <w:rsid w:val="7B803CF3"/>
    <w:rsid w:val="7CC33357"/>
    <w:rsid w:val="7D1C4721"/>
    <w:rsid w:val="7D2A660C"/>
    <w:rsid w:val="7E962A62"/>
    <w:rsid w:val="7EA5419C"/>
    <w:rsid w:val="7EF73B92"/>
    <w:rsid w:val="7F4C677F"/>
    <w:rsid w:val="7FCA19E0"/>
    <w:rsid w:val="7FEF1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szCs w:val="24"/>
    </w:rPr>
  </w:style>
  <w:style w:type="paragraph" w:styleId="3">
    <w:name w:val="Body Text Indent"/>
    <w:basedOn w:val="1"/>
    <w:qFormat/>
    <w:uiPriority w:val="0"/>
    <w:pPr>
      <w:spacing w:line="360" w:lineRule="auto"/>
      <w:ind w:firstLine="420" w:firstLineChars="2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16504</Words>
  <Characters>16879</Characters>
  <Lines>0</Lines>
  <Paragraphs>0</Paragraphs>
  <TotalTime>2</TotalTime>
  <ScaleCrop>false</ScaleCrop>
  <LinksUpToDate>false</LinksUpToDate>
  <CharactersWithSpaces>16930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2022-03-20T14:26:00Z</dcterms:created>
  <dc:creator>Administrator</dc:creator>
  <cp:lastModifiedBy>小陈</cp:lastModifiedBy>
  <dcterms:modified xsi:type="dcterms:W3CDTF">2024-08-21T12:39:00Z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A5E60846E4774EABA9BAF639AC03D908</vt:lpwstr>
  </property>
</Properties>
</file>