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8DE80">
      <w:pPr>
        <w:pStyle w:val="38"/>
        <w:spacing w:before="454" w:beforeAutospacing="0" w:after="454" w:afterAutospacing="0"/>
        <w:ind w:left="454" w:right="454"/>
        <w:jc w:val="center"/>
        <w:outlineLvl w:val="0"/>
        <w:rPr>
          <w:sz w:val="40"/>
          <w:szCs w:val="40"/>
        </w:rPr>
      </w:pPr>
      <w:r>
        <w:rPr>
          <w:sz w:val="40"/>
          <w:szCs w:val="40"/>
        </w:rPr>
        <w:t>深圳市眼科医院医用设备提升项目-流式细胞仪</w:t>
      </w:r>
    </w:p>
    <w:p w14:paraId="56FC9CF4">
      <w:pPr>
        <w:pStyle w:val="38"/>
        <w:jc w:val="center"/>
        <w:outlineLvl w:val="1"/>
        <w:rPr>
          <w:rFonts w:ascii="黑体" w:hAnsi="黑体" w:eastAsia="黑体"/>
          <w:sz w:val="40"/>
          <w:szCs w:val="40"/>
        </w:rPr>
      </w:pPr>
      <w:r>
        <w:rPr>
          <w:rFonts w:hint="eastAsia" w:ascii="黑体" w:hAnsi="黑体" w:eastAsia="黑体"/>
          <w:sz w:val="40"/>
          <w:szCs w:val="40"/>
        </w:rPr>
        <w:t>招标文件信息</w:t>
      </w:r>
    </w:p>
    <w:tbl>
      <w:tblPr>
        <w:tblStyle w:val="43"/>
        <w:tblW w:w="7938" w:type="dxa"/>
        <w:jc w:val="center"/>
        <w:tblCellSpacing w:w="0" w:type="dxa"/>
        <w:tblLayout w:type="autofit"/>
        <w:tblCellMar>
          <w:top w:w="30" w:type="dxa"/>
          <w:left w:w="30" w:type="dxa"/>
          <w:bottom w:w="30" w:type="dxa"/>
          <w:right w:w="30" w:type="dxa"/>
        </w:tblCellMar>
      </w:tblPr>
      <w:tblGrid>
        <w:gridCol w:w="2722"/>
        <w:gridCol w:w="5216"/>
      </w:tblGrid>
      <w:tr w14:paraId="39DCEC42">
        <w:tblPrEx>
          <w:tblCellMar>
            <w:top w:w="30" w:type="dxa"/>
            <w:left w:w="30" w:type="dxa"/>
            <w:bottom w:w="30" w:type="dxa"/>
            <w:right w:w="30" w:type="dxa"/>
          </w:tblCellMar>
        </w:tblPrEx>
        <w:trPr>
          <w:trHeight w:val="737" w:hRule="atLeast"/>
          <w:tblCellSpacing w:w="0" w:type="dxa"/>
          <w:jc w:val="center"/>
        </w:trPr>
        <w:tc>
          <w:tcPr>
            <w:tcW w:w="2722" w:type="dxa"/>
            <w:vAlign w:val="center"/>
          </w:tcPr>
          <w:p w14:paraId="341E2F48">
            <w:pPr>
              <w:jc w:val="right"/>
              <w:rPr>
                <w:rFonts w:hint="eastAsia" w:ascii="宋体" w:hAnsi="宋体"/>
                <w:sz w:val="30"/>
                <w:szCs w:val="30"/>
              </w:rPr>
            </w:pPr>
            <w:r>
              <w:rPr>
                <w:sz w:val="30"/>
                <w:szCs w:val="30"/>
              </w:rPr>
              <w:t>项目编号：</w:t>
            </w:r>
          </w:p>
        </w:tc>
        <w:tc>
          <w:tcPr>
            <w:tcW w:w="0" w:type="auto"/>
            <w:vAlign w:val="center"/>
          </w:tcPr>
          <w:p w14:paraId="0508B38D">
            <w:pPr>
              <w:jc w:val="left"/>
              <w:rPr>
                <w:sz w:val="30"/>
                <w:szCs w:val="30"/>
              </w:rPr>
            </w:pPr>
            <w:r>
              <w:rPr>
                <w:sz w:val="30"/>
                <w:szCs w:val="30"/>
              </w:rPr>
              <w:t>SZCG2021201783</w:t>
            </w:r>
          </w:p>
        </w:tc>
      </w:tr>
      <w:tr w14:paraId="548B9B0E">
        <w:tblPrEx>
          <w:tblCellMar>
            <w:top w:w="30" w:type="dxa"/>
            <w:left w:w="30" w:type="dxa"/>
            <w:bottom w:w="30" w:type="dxa"/>
            <w:right w:w="30" w:type="dxa"/>
          </w:tblCellMar>
        </w:tblPrEx>
        <w:trPr>
          <w:trHeight w:val="737" w:hRule="atLeast"/>
          <w:tblCellSpacing w:w="0" w:type="dxa"/>
          <w:jc w:val="center"/>
        </w:trPr>
        <w:tc>
          <w:tcPr>
            <w:tcW w:w="0" w:type="auto"/>
            <w:vAlign w:val="center"/>
          </w:tcPr>
          <w:p w14:paraId="6B60771E">
            <w:pPr>
              <w:jc w:val="right"/>
              <w:rPr>
                <w:sz w:val="30"/>
                <w:szCs w:val="30"/>
              </w:rPr>
            </w:pPr>
            <w:r>
              <w:rPr>
                <w:sz w:val="30"/>
                <w:szCs w:val="30"/>
              </w:rPr>
              <w:t>项目名称：</w:t>
            </w:r>
          </w:p>
        </w:tc>
        <w:tc>
          <w:tcPr>
            <w:tcW w:w="0" w:type="auto"/>
            <w:vAlign w:val="center"/>
          </w:tcPr>
          <w:p w14:paraId="6EC69D40">
            <w:pPr>
              <w:jc w:val="left"/>
              <w:rPr>
                <w:sz w:val="30"/>
                <w:szCs w:val="30"/>
              </w:rPr>
            </w:pPr>
            <w:r>
              <w:rPr>
                <w:sz w:val="30"/>
                <w:szCs w:val="30"/>
              </w:rPr>
              <w:t>深圳市眼科医院医用设备提升项目-流式细胞仪</w:t>
            </w:r>
          </w:p>
        </w:tc>
      </w:tr>
      <w:tr w14:paraId="42ADD928">
        <w:tblPrEx>
          <w:tblCellMar>
            <w:top w:w="30" w:type="dxa"/>
            <w:left w:w="30" w:type="dxa"/>
            <w:bottom w:w="30" w:type="dxa"/>
            <w:right w:w="30" w:type="dxa"/>
          </w:tblCellMar>
        </w:tblPrEx>
        <w:trPr>
          <w:trHeight w:val="737" w:hRule="atLeast"/>
          <w:tblCellSpacing w:w="0" w:type="dxa"/>
          <w:jc w:val="center"/>
        </w:trPr>
        <w:tc>
          <w:tcPr>
            <w:tcW w:w="0" w:type="auto"/>
            <w:vAlign w:val="center"/>
          </w:tcPr>
          <w:p w14:paraId="0AC85D34">
            <w:pPr>
              <w:jc w:val="right"/>
              <w:rPr>
                <w:sz w:val="30"/>
                <w:szCs w:val="30"/>
              </w:rPr>
            </w:pPr>
            <w:r>
              <w:rPr>
                <w:sz w:val="30"/>
                <w:szCs w:val="30"/>
              </w:rPr>
              <w:t>包 号：</w:t>
            </w:r>
          </w:p>
        </w:tc>
        <w:tc>
          <w:tcPr>
            <w:tcW w:w="0" w:type="auto"/>
            <w:vAlign w:val="center"/>
          </w:tcPr>
          <w:p w14:paraId="43AC43B2">
            <w:pPr>
              <w:jc w:val="left"/>
              <w:rPr>
                <w:sz w:val="30"/>
                <w:szCs w:val="30"/>
              </w:rPr>
            </w:pPr>
            <w:r>
              <w:rPr>
                <w:sz w:val="30"/>
                <w:szCs w:val="30"/>
              </w:rPr>
              <w:t>A</w:t>
            </w:r>
          </w:p>
        </w:tc>
      </w:tr>
      <w:tr w14:paraId="56A82B5C">
        <w:tblPrEx>
          <w:tblCellMar>
            <w:top w:w="30" w:type="dxa"/>
            <w:left w:w="30" w:type="dxa"/>
            <w:bottom w:w="30" w:type="dxa"/>
            <w:right w:w="30" w:type="dxa"/>
          </w:tblCellMar>
        </w:tblPrEx>
        <w:trPr>
          <w:trHeight w:val="737" w:hRule="atLeast"/>
          <w:tblCellSpacing w:w="0" w:type="dxa"/>
          <w:jc w:val="center"/>
        </w:trPr>
        <w:tc>
          <w:tcPr>
            <w:tcW w:w="0" w:type="auto"/>
            <w:vAlign w:val="center"/>
          </w:tcPr>
          <w:p w14:paraId="2270B70A">
            <w:pPr>
              <w:jc w:val="right"/>
              <w:rPr>
                <w:sz w:val="30"/>
                <w:szCs w:val="30"/>
              </w:rPr>
            </w:pPr>
            <w:r>
              <w:rPr>
                <w:sz w:val="30"/>
                <w:szCs w:val="30"/>
              </w:rPr>
              <w:t>项目类型：</w:t>
            </w:r>
          </w:p>
        </w:tc>
        <w:tc>
          <w:tcPr>
            <w:tcW w:w="0" w:type="auto"/>
            <w:vAlign w:val="center"/>
          </w:tcPr>
          <w:p w14:paraId="592AB680">
            <w:pPr>
              <w:jc w:val="left"/>
              <w:rPr>
                <w:sz w:val="30"/>
                <w:szCs w:val="30"/>
              </w:rPr>
            </w:pPr>
            <w:r>
              <w:rPr>
                <w:sz w:val="30"/>
                <w:szCs w:val="30"/>
              </w:rPr>
              <w:t>货物类</w:t>
            </w:r>
          </w:p>
        </w:tc>
      </w:tr>
      <w:tr w14:paraId="7017F0E2">
        <w:tblPrEx>
          <w:tblCellMar>
            <w:top w:w="30" w:type="dxa"/>
            <w:left w:w="30" w:type="dxa"/>
            <w:bottom w:w="30" w:type="dxa"/>
            <w:right w:w="30" w:type="dxa"/>
          </w:tblCellMar>
        </w:tblPrEx>
        <w:trPr>
          <w:trHeight w:val="737" w:hRule="atLeast"/>
          <w:tblCellSpacing w:w="0" w:type="dxa"/>
          <w:jc w:val="center"/>
        </w:trPr>
        <w:tc>
          <w:tcPr>
            <w:tcW w:w="0" w:type="auto"/>
            <w:vAlign w:val="center"/>
          </w:tcPr>
          <w:p w14:paraId="0C94409E">
            <w:pPr>
              <w:jc w:val="right"/>
              <w:rPr>
                <w:sz w:val="30"/>
                <w:szCs w:val="30"/>
              </w:rPr>
            </w:pPr>
            <w:r>
              <w:rPr>
                <w:sz w:val="30"/>
                <w:szCs w:val="30"/>
              </w:rPr>
              <w:t>采购方式：</w:t>
            </w:r>
          </w:p>
        </w:tc>
        <w:tc>
          <w:tcPr>
            <w:tcW w:w="0" w:type="auto"/>
            <w:vAlign w:val="center"/>
          </w:tcPr>
          <w:p w14:paraId="2E7F98DC">
            <w:pPr>
              <w:jc w:val="left"/>
              <w:rPr>
                <w:sz w:val="30"/>
                <w:szCs w:val="30"/>
              </w:rPr>
            </w:pPr>
            <w:r>
              <w:rPr>
                <w:sz w:val="30"/>
                <w:szCs w:val="30"/>
              </w:rPr>
              <w:t>公开招标</w:t>
            </w:r>
          </w:p>
        </w:tc>
      </w:tr>
      <w:tr w14:paraId="370C80D5">
        <w:tblPrEx>
          <w:tblCellMar>
            <w:top w:w="30" w:type="dxa"/>
            <w:left w:w="30" w:type="dxa"/>
            <w:bottom w:w="30" w:type="dxa"/>
            <w:right w:w="30" w:type="dxa"/>
          </w:tblCellMar>
        </w:tblPrEx>
        <w:trPr>
          <w:trHeight w:val="737" w:hRule="atLeast"/>
          <w:tblCellSpacing w:w="0" w:type="dxa"/>
          <w:jc w:val="center"/>
        </w:trPr>
        <w:tc>
          <w:tcPr>
            <w:tcW w:w="0" w:type="auto"/>
            <w:vAlign w:val="center"/>
          </w:tcPr>
          <w:p w14:paraId="6180FA72">
            <w:pPr>
              <w:jc w:val="right"/>
              <w:rPr>
                <w:sz w:val="30"/>
                <w:szCs w:val="30"/>
              </w:rPr>
            </w:pPr>
            <w:r>
              <w:rPr>
                <w:sz w:val="30"/>
                <w:szCs w:val="30"/>
              </w:rPr>
              <w:t>货币类型：</w:t>
            </w:r>
          </w:p>
        </w:tc>
        <w:tc>
          <w:tcPr>
            <w:tcW w:w="0" w:type="auto"/>
            <w:vAlign w:val="center"/>
          </w:tcPr>
          <w:p w14:paraId="2C14DA6E">
            <w:pPr>
              <w:jc w:val="left"/>
              <w:rPr>
                <w:sz w:val="30"/>
                <w:szCs w:val="30"/>
              </w:rPr>
            </w:pPr>
            <w:r>
              <w:rPr>
                <w:sz w:val="30"/>
                <w:szCs w:val="30"/>
              </w:rPr>
              <w:t>人民币</w:t>
            </w:r>
          </w:p>
        </w:tc>
      </w:tr>
      <w:tr w14:paraId="0AC1E7C0">
        <w:tblPrEx>
          <w:tblCellMar>
            <w:top w:w="30" w:type="dxa"/>
            <w:left w:w="30" w:type="dxa"/>
            <w:bottom w:w="30" w:type="dxa"/>
            <w:right w:w="30" w:type="dxa"/>
          </w:tblCellMar>
        </w:tblPrEx>
        <w:trPr>
          <w:trHeight w:val="737" w:hRule="atLeast"/>
          <w:tblCellSpacing w:w="0" w:type="dxa"/>
          <w:jc w:val="center"/>
        </w:trPr>
        <w:tc>
          <w:tcPr>
            <w:tcW w:w="0" w:type="auto"/>
            <w:vAlign w:val="center"/>
          </w:tcPr>
          <w:p w14:paraId="75B7412B">
            <w:pPr>
              <w:jc w:val="right"/>
              <w:rPr>
                <w:sz w:val="30"/>
                <w:szCs w:val="30"/>
              </w:rPr>
            </w:pPr>
            <w:r>
              <w:rPr>
                <w:sz w:val="30"/>
                <w:szCs w:val="30"/>
              </w:rPr>
              <w:t>评标方法：</w:t>
            </w:r>
          </w:p>
        </w:tc>
        <w:tc>
          <w:tcPr>
            <w:tcW w:w="0" w:type="auto"/>
            <w:vAlign w:val="center"/>
          </w:tcPr>
          <w:p w14:paraId="124C0E01">
            <w:pPr>
              <w:jc w:val="left"/>
              <w:rPr>
                <w:sz w:val="30"/>
                <w:szCs w:val="30"/>
              </w:rPr>
            </w:pPr>
            <w:r>
              <w:rPr>
                <w:sz w:val="30"/>
                <w:szCs w:val="30"/>
              </w:rPr>
              <w:t>综合评分法（新价格分算法）</w:t>
            </w:r>
          </w:p>
        </w:tc>
      </w:tr>
    </w:tbl>
    <w:p w14:paraId="4BE46ABE">
      <w:pPr>
        <w:pStyle w:val="38"/>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2ADC2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4DFEB7E">
            <w:pPr>
              <w:jc w:val="center"/>
              <w:rPr>
                <w:rFonts w:hint="eastAsia" w:ascii="宋体" w:hAnsi="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6D5A0CE6">
            <w:pPr>
              <w:jc w:val="center"/>
              <w:rPr>
                <w:sz w:val="28"/>
                <w:szCs w:val="28"/>
              </w:rPr>
            </w:pPr>
            <w:r>
              <w:rPr>
                <w:sz w:val="28"/>
                <w:szCs w:val="28"/>
              </w:rPr>
              <w:t>内容</w:t>
            </w:r>
          </w:p>
        </w:tc>
      </w:tr>
      <w:tr w14:paraId="3305A9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F06A93A">
            <w:pPr>
              <w:jc w:val="center"/>
              <w:rPr>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14:paraId="4D96F36E">
            <w:pPr>
              <w:jc w:val="left"/>
              <w:rPr>
                <w:szCs w:val="21"/>
              </w:rPr>
            </w:pPr>
            <w:r>
              <w:rPr>
                <w:szCs w:val="21"/>
              </w:rPr>
              <w:t>投标人不符合资格要求，或未提交相应的资格证明资料（详见招标公告投标人资格要求，即申请人的资格要求）</w:t>
            </w:r>
          </w:p>
        </w:tc>
      </w:tr>
    </w:tbl>
    <w:p w14:paraId="7B3A60AC">
      <w:pPr>
        <w:pStyle w:val="38"/>
        <w:spacing w:before="280" w:beforeAutospacing="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0E6E54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99BACAF">
            <w:pPr>
              <w:jc w:val="center"/>
              <w:rPr>
                <w:rFonts w:hint="eastAsia" w:ascii="宋体" w:hAnsi="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343C7557">
            <w:pPr>
              <w:jc w:val="center"/>
              <w:rPr>
                <w:sz w:val="28"/>
                <w:szCs w:val="28"/>
              </w:rPr>
            </w:pPr>
            <w:r>
              <w:rPr>
                <w:sz w:val="28"/>
                <w:szCs w:val="28"/>
              </w:rPr>
              <w:t>内容</w:t>
            </w:r>
          </w:p>
        </w:tc>
      </w:tr>
      <w:tr w14:paraId="331445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9A07726">
            <w:pPr>
              <w:jc w:val="center"/>
              <w:rPr>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14:paraId="5C07D21B">
            <w:pPr>
              <w:jc w:val="left"/>
              <w:rPr>
                <w:szCs w:val="21"/>
              </w:rPr>
            </w:pPr>
            <w:r>
              <w:rPr>
                <w:szCs w:val="21"/>
              </w:rPr>
              <w:t>将一个包或一个标段的内容拆开投标；</w:t>
            </w:r>
          </w:p>
        </w:tc>
      </w:tr>
      <w:tr w14:paraId="78DA95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BC79EB3">
            <w:pPr>
              <w:jc w:val="center"/>
              <w:rPr>
                <w:szCs w:val="21"/>
              </w:rPr>
            </w:pPr>
            <w:r>
              <w:rPr>
                <w:szCs w:val="21"/>
              </w:rPr>
              <w:t>2</w:t>
            </w:r>
          </w:p>
        </w:tc>
        <w:tc>
          <w:tcPr>
            <w:tcW w:w="0" w:type="auto"/>
            <w:tcBorders>
              <w:top w:val="single" w:color="000000" w:sz="8" w:space="0"/>
              <w:left w:val="single" w:color="000000" w:sz="8" w:space="0"/>
              <w:bottom w:val="single" w:color="000000" w:sz="8" w:space="0"/>
              <w:right w:val="single" w:color="000000" w:sz="8" w:space="0"/>
            </w:tcBorders>
          </w:tcPr>
          <w:p w14:paraId="241FF3D9">
            <w:pPr>
              <w:jc w:val="left"/>
              <w:rPr>
                <w:szCs w:val="21"/>
              </w:rPr>
            </w:pPr>
            <w:r>
              <w:rPr>
                <w:szCs w:val="21"/>
              </w:rPr>
              <w:t>对同一项目投标时，提供两套以上的投标方案（招标文件另有规定的除外）；</w:t>
            </w:r>
          </w:p>
        </w:tc>
      </w:tr>
      <w:tr w14:paraId="68C19D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4B40471">
            <w:pPr>
              <w:jc w:val="center"/>
              <w:rPr>
                <w:szCs w:val="21"/>
              </w:rPr>
            </w:pPr>
            <w:r>
              <w:rPr>
                <w:szCs w:val="21"/>
              </w:rPr>
              <w:t>3</w:t>
            </w:r>
          </w:p>
        </w:tc>
        <w:tc>
          <w:tcPr>
            <w:tcW w:w="0" w:type="auto"/>
            <w:tcBorders>
              <w:top w:val="single" w:color="000000" w:sz="8" w:space="0"/>
              <w:left w:val="single" w:color="000000" w:sz="8" w:space="0"/>
              <w:bottom w:val="single" w:color="000000" w:sz="8" w:space="0"/>
              <w:right w:val="single" w:color="000000" w:sz="8" w:space="0"/>
            </w:tcBorders>
          </w:tcPr>
          <w:p w14:paraId="391B5611">
            <w:pPr>
              <w:jc w:val="left"/>
              <w:rPr>
                <w:szCs w:val="21"/>
              </w:rPr>
            </w:pPr>
            <w:r>
              <w:rPr>
                <w:szCs w:val="21"/>
              </w:rPr>
              <w:t>分项报价或投标总价高于相应财政预算金额（或设定的财政预算金额下的最高限价）；</w:t>
            </w:r>
          </w:p>
        </w:tc>
      </w:tr>
      <w:tr w14:paraId="59F7BD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6B58B05">
            <w:pPr>
              <w:jc w:val="center"/>
              <w:rPr>
                <w:szCs w:val="21"/>
              </w:rPr>
            </w:pPr>
            <w:r>
              <w:rPr>
                <w:szCs w:val="21"/>
              </w:rPr>
              <w:t>4</w:t>
            </w:r>
          </w:p>
        </w:tc>
        <w:tc>
          <w:tcPr>
            <w:tcW w:w="0" w:type="auto"/>
            <w:tcBorders>
              <w:top w:val="single" w:color="000000" w:sz="8" w:space="0"/>
              <w:left w:val="single" w:color="000000" w:sz="8" w:space="0"/>
              <w:bottom w:val="single" w:color="000000" w:sz="8" w:space="0"/>
              <w:right w:val="single" w:color="000000" w:sz="8" w:space="0"/>
            </w:tcBorders>
          </w:tcPr>
          <w:p w14:paraId="5DA33A12">
            <w:pPr>
              <w:jc w:val="left"/>
              <w:rPr>
                <w:szCs w:val="21"/>
              </w:rPr>
            </w:pPr>
            <w:r>
              <w:rPr>
                <w:szCs w:val="21"/>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669E3E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01B6C05">
            <w:pPr>
              <w:jc w:val="center"/>
              <w:rPr>
                <w:szCs w:val="21"/>
              </w:rPr>
            </w:pPr>
            <w:r>
              <w:rPr>
                <w:szCs w:val="21"/>
              </w:rPr>
              <w:t>5</w:t>
            </w:r>
          </w:p>
        </w:tc>
        <w:tc>
          <w:tcPr>
            <w:tcW w:w="0" w:type="auto"/>
            <w:tcBorders>
              <w:top w:val="single" w:color="000000" w:sz="8" w:space="0"/>
              <w:left w:val="single" w:color="000000" w:sz="8" w:space="0"/>
              <w:bottom w:val="single" w:color="000000" w:sz="8" w:space="0"/>
              <w:right w:val="single" w:color="000000" w:sz="8" w:space="0"/>
            </w:tcBorders>
          </w:tcPr>
          <w:p w14:paraId="070BB152">
            <w:pPr>
              <w:jc w:val="left"/>
              <w:rPr>
                <w:szCs w:val="21"/>
              </w:rPr>
            </w:pPr>
            <w:r>
              <w:rPr>
                <w:szCs w:val="21"/>
              </w:rPr>
              <w:t>所投货物、服务在技术、商务等方面没有实质性满足招标文件要求的（是否实质性满足招标文件要求，由评审委员会根据《实质性条款响应情况表》做出评判）；</w:t>
            </w:r>
          </w:p>
        </w:tc>
      </w:tr>
      <w:tr w14:paraId="5E3C4E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FCDB8CF">
            <w:pPr>
              <w:jc w:val="center"/>
              <w:rPr>
                <w:szCs w:val="21"/>
              </w:rPr>
            </w:pPr>
            <w:r>
              <w:rPr>
                <w:szCs w:val="21"/>
              </w:rPr>
              <w:t>6</w:t>
            </w:r>
          </w:p>
        </w:tc>
        <w:tc>
          <w:tcPr>
            <w:tcW w:w="0" w:type="auto"/>
            <w:tcBorders>
              <w:top w:val="single" w:color="000000" w:sz="8" w:space="0"/>
              <w:left w:val="single" w:color="000000" w:sz="8" w:space="0"/>
              <w:bottom w:val="single" w:color="000000" w:sz="8" w:space="0"/>
              <w:right w:val="single" w:color="000000" w:sz="8" w:space="0"/>
            </w:tcBorders>
          </w:tcPr>
          <w:p w14:paraId="7237B589">
            <w:pPr>
              <w:jc w:val="left"/>
              <w:rPr>
                <w:szCs w:val="21"/>
              </w:rPr>
            </w:pPr>
            <w:r>
              <w:rPr>
                <w:szCs w:val="21"/>
              </w:rPr>
              <w:t>未按招标文件所提供的样式填写《投标函》；未按招标文件所提供的《政府采购投标及履约承诺函》进行承诺；未按招标文件对投标文件组成的要求提供投标文件；</w:t>
            </w:r>
          </w:p>
        </w:tc>
      </w:tr>
      <w:tr w14:paraId="78B1C4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AAB6010">
            <w:pPr>
              <w:jc w:val="center"/>
              <w:rPr>
                <w:szCs w:val="21"/>
              </w:rPr>
            </w:pPr>
            <w:r>
              <w:rPr>
                <w:szCs w:val="21"/>
              </w:rPr>
              <w:t>7</w:t>
            </w:r>
          </w:p>
        </w:tc>
        <w:tc>
          <w:tcPr>
            <w:tcW w:w="0" w:type="auto"/>
            <w:tcBorders>
              <w:top w:val="single" w:color="000000" w:sz="8" w:space="0"/>
              <w:left w:val="single" w:color="000000" w:sz="8" w:space="0"/>
              <w:bottom w:val="single" w:color="000000" w:sz="8" w:space="0"/>
              <w:right w:val="single" w:color="000000" w:sz="8" w:space="0"/>
            </w:tcBorders>
          </w:tcPr>
          <w:p w14:paraId="2B911A7C">
            <w:pPr>
              <w:jc w:val="left"/>
              <w:rPr>
                <w:szCs w:val="21"/>
              </w:rPr>
            </w:pPr>
            <w:r>
              <w:rPr>
                <w:szCs w:val="21"/>
              </w:rPr>
              <w:t>投标报价有缺漏项目,或者对招标文件规定的项目需求内容或者需求数量进行修改，评审委员会判定投标响应不满足采购需求；</w:t>
            </w:r>
          </w:p>
        </w:tc>
      </w:tr>
      <w:tr w14:paraId="3C914A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6C3278A">
            <w:pPr>
              <w:jc w:val="center"/>
              <w:rPr>
                <w:szCs w:val="21"/>
              </w:rPr>
            </w:pPr>
            <w:r>
              <w:rPr>
                <w:szCs w:val="21"/>
              </w:rPr>
              <w:t>8</w:t>
            </w:r>
          </w:p>
        </w:tc>
        <w:tc>
          <w:tcPr>
            <w:tcW w:w="0" w:type="auto"/>
            <w:tcBorders>
              <w:top w:val="single" w:color="000000" w:sz="8" w:space="0"/>
              <w:left w:val="single" w:color="000000" w:sz="8" w:space="0"/>
              <w:bottom w:val="single" w:color="000000" w:sz="8" w:space="0"/>
              <w:right w:val="single" w:color="000000" w:sz="8" w:space="0"/>
            </w:tcBorders>
          </w:tcPr>
          <w:p w14:paraId="17D0B3E0">
            <w:pPr>
              <w:jc w:val="left"/>
              <w:rPr>
                <w:szCs w:val="21"/>
              </w:rPr>
            </w:pPr>
            <w:r>
              <w:rPr>
                <w:szCs w:val="21"/>
              </w:rPr>
              <w:t>投标文件存在列放位置错误，导致属于信息公开情形的没有被公开；</w:t>
            </w:r>
          </w:p>
        </w:tc>
      </w:tr>
      <w:tr w14:paraId="0CE2B3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CE6DE11">
            <w:pPr>
              <w:jc w:val="center"/>
              <w:rPr>
                <w:szCs w:val="21"/>
              </w:rPr>
            </w:pPr>
            <w:r>
              <w:rPr>
                <w:szCs w:val="21"/>
              </w:rPr>
              <w:t>9</w:t>
            </w:r>
          </w:p>
        </w:tc>
        <w:tc>
          <w:tcPr>
            <w:tcW w:w="0" w:type="auto"/>
            <w:tcBorders>
              <w:top w:val="single" w:color="000000" w:sz="8" w:space="0"/>
              <w:left w:val="single" w:color="000000" w:sz="8" w:space="0"/>
              <w:bottom w:val="single" w:color="000000" w:sz="8" w:space="0"/>
              <w:right w:val="single" w:color="000000" w:sz="8" w:space="0"/>
            </w:tcBorders>
          </w:tcPr>
          <w:p w14:paraId="2FE204E6">
            <w:pPr>
              <w:jc w:val="left"/>
              <w:rPr>
                <w:szCs w:val="21"/>
              </w:rPr>
            </w:pPr>
            <w:r>
              <w:rPr>
                <w:szCs w:val="21"/>
              </w:rPr>
              <w:t>投标文件电子文档带病毒；</w:t>
            </w:r>
          </w:p>
        </w:tc>
      </w:tr>
      <w:tr w14:paraId="1785CD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009A466">
            <w:pPr>
              <w:jc w:val="center"/>
              <w:rPr>
                <w:szCs w:val="21"/>
              </w:rPr>
            </w:pPr>
            <w:r>
              <w:rPr>
                <w:szCs w:val="21"/>
              </w:rPr>
              <w:t>10</w:t>
            </w:r>
          </w:p>
        </w:tc>
        <w:tc>
          <w:tcPr>
            <w:tcW w:w="0" w:type="auto"/>
            <w:tcBorders>
              <w:top w:val="single" w:color="000000" w:sz="8" w:space="0"/>
              <w:left w:val="single" w:color="000000" w:sz="8" w:space="0"/>
              <w:bottom w:val="single" w:color="000000" w:sz="8" w:space="0"/>
              <w:right w:val="single" w:color="000000" w:sz="8" w:space="0"/>
            </w:tcBorders>
          </w:tcPr>
          <w:p w14:paraId="3CF4D46A">
            <w:pPr>
              <w:jc w:val="left"/>
              <w:rPr>
                <w:szCs w:val="21"/>
              </w:rPr>
            </w:pPr>
            <w:r>
              <w:rPr>
                <w:szCs w:val="21"/>
              </w:rPr>
              <w:t>投标文件用不属于本公司的电子密钥进行加密的；</w:t>
            </w:r>
          </w:p>
        </w:tc>
      </w:tr>
      <w:tr w14:paraId="57AB8A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33C1078">
            <w:pPr>
              <w:jc w:val="center"/>
              <w:rPr>
                <w:szCs w:val="21"/>
              </w:rPr>
            </w:pPr>
            <w:r>
              <w:rPr>
                <w:szCs w:val="21"/>
              </w:rPr>
              <w:t>11</w:t>
            </w:r>
          </w:p>
        </w:tc>
        <w:tc>
          <w:tcPr>
            <w:tcW w:w="0" w:type="auto"/>
            <w:tcBorders>
              <w:top w:val="single" w:color="000000" w:sz="8" w:space="0"/>
              <w:left w:val="single" w:color="000000" w:sz="8" w:space="0"/>
              <w:bottom w:val="single" w:color="000000" w:sz="8" w:space="0"/>
              <w:right w:val="single" w:color="000000" w:sz="8" w:space="0"/>
            </w:tcBorders>
          </w:tcPr>
          <w:p w14:paraId="32508FDB">
            <w:pPr>
              <w:jc w:val="left"/>
              <w:rPr>
                <w:szCs w:val="21"/>
              </w:rPr>
            </w:pPr>
            <w:r>
              <w:rPr>
                <w:szCs w:val="21"/>
              </w:rPr>
              <w:t>误选了非本项目的最新加密规则文件，导致投标文件不能在开标时解密；</w:t>
            </w:r>
          </w:p>
        </w:tc>
      </w:tr>
      <w:tr w14:paraId="3D99B9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AE35A84">
            <w:pPr>
              <w:jc w:val="center"/>
              <w:rPr>
                <w:szCs w:val="21"/>
              </w:rPr>
            </w:pPr>
            <w:r>
              <w:rPr>
                <w:szCs w:val="21"/>
              </w:rPr>
              <w:t>12</w:t>
            </w:r>
          </w:p>
        </w:tc>
        <w:tc>
          <w:tcPr>
            <w:tcW w:w="0" w:type="auto"/>
            <w:tcBorders>
              <w:top w:val="single" w:color="000000" w:sz="8" w:space="0"/>
              <w:left w:val="single" w:color="000000" w:sz="8" w:space="0"/>
              <w:bottom w:val="single" w:color="000000" w:sz="8" w:space="0"/>
              <w:right w:val="single" w:color="000000" w:sz="8" w:space="0"/>
            </w:tcBorders>
          </w:tcPr>
          <w:p w14:paraId="2F146CAB">
            <w:pPr>
              <w:jc w:val="left"/>
              <w:rPr>
                <w:szCs w:val="21"/>
              </w:rPr>
            </w:pPr>
            <w:r>
              <w:rPr>
                <w:szCs w:val="21"/>
              </w:rPr>
              <w:t>法律、法规、规章、规范性文件规定的其他情形。</w:t>
            </w:r>
          </w:p>
        </w:tc>
      </w:tr>
    </w:tbl>
    <w:p w14:paraId="4D7069D5">
      <w:pPr>
        <w:pStyle w:val="38"/>
        <w:jc w:val="center"/>
        <w:outlineLvl w:val="1"/>
        <w:rPr>
          <w:rFonts w:ascii="黑体" w:hAnsi="黑体" w:eastAsia="黑体"/>
          <w:sz w:val="40"/>
          <w:szCs w:val="40"/>
        </w:rPr>
      </w:pPr>
      <w:r>
        <w:rPr>
          <w:rFonts w:hint="eastAsia" w:ascii="黑体" w:hAnsi="黑体" w:eastAsia="黑体"/>
          <w:sz w:val="40"/>
          <w:szCs w:val="40"/>
        </w:rPr>
        <w:t>评标信息</w:t>
      </w:r>
    </w:p>
    <w:tbl>
      <w:tblPr>
        <w:tblStyle w:val="43"/>
        <w:tblW w:w="9072" w:type="dxa"/>
        <w:jc w:val="center"/>
        <w:tblCellSpacing w:w="0" w:type="dxa"/>
        <w:tblLayout w:type="autofit"/>
        <w:tblCellMar>
          <w:top w:w="30" w:type="dxa"/>
          <w:left w:w="30" w:type="dxa"/>
          <w:bottom w:w="30" w:type="dxa"/>
          <w:right w:w="30" w:type="dxa"/>
        </w:tblCellMar>
      </w:tblPr>
      <w:tblGrid>
        <w:gridCol w:w="8903"/>
        <w:gridCol w:w="169"/>
      </w:tblGrid>
      <w:tr w14:paraId="4AF0383F">
        <w:trPr>
          <w:tblCellSpacing w:w="0" w:type="dxa"/>
          <w:jc w:val="center"/>
        </w:trPr>
        <w:tc>
          <w:tcPr>
            <w:tcW w:w="0" w:type="auto"/>
            <w:tcBorders>
              <w:top w:val="nil"/>
              <w:left w:val="nil"/>
              <w:bottom w:val="nil"/>
              <w:right w:val="nil"/>
            </w:tcBorders>
            <w:vAlign w:val="center"/>
          </w:tcPr>
          <w:p w14:paraId="6C98E3C6">
            <w:pPr>
              <w:rPr>
                <w:rFonts w:hint="eastAsia" w:ascii="宋体" w:hAnsi="宋体"/>
                <w:b/>
                <w:bCs/>
                <w:sz w:val="24"/>
              </w:rPr>
            </w:pPr>
            <w:r>
              <w:rPr>
                <w:b/>
                <w:bCs/>
              </w:rPr>
              <w:t>评标方法：综合评分法（新价格分算法）</w:t>
            </w:r>
          </w:p>
        </w:tc>
        <w:tc>
          <w:tcPr>
            <w:tcW w:w="0" w:type="auto"/>
            <w:tcBorders>
              <w:top w:val="nil"/>
              <w:left w:val="nil"/>
              <w:bottom w:val="nil"/>
              <w:right w:val="nil"/>
            </w:tcBorders>
            <w:vAlign w:val="center"/>
          </w:tcPr>
          <w:p w14:paraId="40670323">
            <w:pPr>
              <w:rPr>
                <w:b/>
                <w:bCs/>
              </w:rPr>
            </w:pPr>
          </w:p>
        </w:tc>
      </w:tr>
      <w:tr w14:paraId="7B31BA4C">
        <w:tblPrEx>
          <w:tblCellMar>
            <w:top w:w="30" w:type="dxa"/>
            <w:left w:w="30" w:type="dxa"/>
            <w:bottom w:w="30" w:type="dxa"/>
            <w:right w:w="30" w:type="dxa"/>
          </w:tblCellMar>
        </w:tblPrEx>
        <w:trPr>
          <w:tblCellSpacing w:w="0" w:type="dxa"/>
          <w:jc w:val="center"/>
        </w:trPr>
        <w:tc>
          <w:tcPr>
            <w:tcW w:w="0" w:type="auto"/>
            <w:gridSpan w:val="2"/>
            <w:tcBorders>
              <w:top w:val="nil"/>
              <w:left w:val="nil"/>
              <w:bottom w:val="nil"/>
              <w:right w:val="nil"/>
            </w:tcBorders>
            <w:vAlign w:val="center"/>
          </w:tcPr>
          <w:p w14:paraId="7CAA9D41">
            <w:pPr>
              <w:pStyle w:val="38"/>
              <w:spacing w:line="324" w:lineRule="auto"/>
              <w:ind w:firstLine="420"/>
              <w:rPr>
                <w:rFonts w:ascii="宋体" w:hAnsi="宋体" w:cs="宋体"/>
                <w:sz w:val="21"/>
                <w:szCs w:val="21"/>
              </w:rPr>
            </w:pPr>
            <w:r>
              <w:rPr>
                <w:sz w:val="21"/>
                <w:szCs w:val="21"/>
              </w:rPr>
              <w:t xml:space="preserve">综合评分法，是指投标文件满足招标文件全部实质性要求，且按照评审因素的量化指标评审得分最高的投标人为中标候选人的评标方法。 </w:t>
            </w:r>
          </w:p>
          <w:p w14:paraId="385FB4AF">
            <w:pPr>
              <w:pStyle w:val="38"/>
              <w:ind w:firstLine="420"/>
              <w:rPr>
                <w:sz w:val="21"/>
                <w:szCs w:val="21"/>
              </w:rPr>
            </w:pPr>
            <w:r>
              <w:rPr>
                <w:sz w:val="21"/>
                <w:szCs w:val="21"/>
              </w:rPr>
              <w:t>价格分计算方法：</w:t>
            </w:r>
          </w:p>
          <w:p w14:paraId="4AA370F8">
            <w:pPr>
              <w:pStyle w:val="38"/>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sz w:val="21"/>
                <w:szCs w:val="21"/>
              </w:rPr>
              <w:t xml:space="preserve">此方法适用于货物类、服务类、工程类项目。 </w:t>
            </w:r>
          </w:p>
        </w:tc>
      </w:tr>
    </w:tbl>
    <w:p w14:paraId="3DC4FE81">
      <w:pPr>
        <w:rPr>
          <w:vanish/>
        </w:rPr>
      </w:pP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80"/>
        <w:gridCol w:w="680"/>
        <w:gridCol w:w="2835"/>
        <w:gridCol w:w="681"/>
        <w:gridCol w:w="4196"/>
      </w:tblGrid>
      <w:tr w14:paraId="733594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9646F4F">
            <w:pPr>
              <w:wordWrap w:val="0"/>
              <w:jc w:val="center"/>
              <w:rPr>
                <w:b/>
                <w:bCs/>
                <w:sz w:val="24"/>
              </w:rPr>
            </w:pPr>
            <w:r>
              <w:rPr>
                <w:b/>
                <w:bCs/>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2D0EF860">
            <w:pPr>
              <w:wordWrap w:val="0"/>
              <w:jc w:val="center"/>
              <w:rPr>
                <w:b/>
                <w:bCs/>
              </w:rPr>
            </w:pPr>
            <w:r>
              <w:rPr>
                <w:b/>
                <w:bCs/>
              </w:rPr>
              <w:t>评分项</w:t>
            </w:r>
          </w:p>
        </w:tc>
        <w:tc>
          <w:tcPr>
            <w:tcW w:w="419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25B4A13">
            <w:pPr>
              <w:wordWrap w:val="0"/>
              <w:jc w:val="center"/>
              <w:rPr>
                <w:b/>
                <w:bCs/>
              </w:rPr>
            </w:pPr>
            <w:r>
              <w:rPr>
                <w:b/>
                <w:bCs/>
              </w:rPr>
              <w:t>权重(%)</w:t>
            </w:r>
          </w:p>
        </w:tc>
      </w:tr>
      <w:tr w14:paraId="5F0F13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698F6F15">
            <w:pPr>
              <w:wordWrap w:val="0"/>
              <w:jc w:val="center"/>
              <w:rPr>
                <w:b/>
                <w:bCs/>
                <w:color w:val="0000FF"/>
              </w:rPr>
            </w:pPr>
            <w:r>
              <w:rPr>
                <w:b/>
                <w:bCs/>
                <w:color w:val="0000FF"/>
              </w:rPr>
              <w:t>1</w:t>
            </w:r>
          </w:p>
        </w:tc>
        <w:tc>
          <w:tcPr>
            <w:tcW w:w="4196" w:type="dxa"/>
            <w:gridSpan w:val="3"/>
            <w:tcBorders>
              <w:top w:val="single" w:color="000000" w:sz="8" w:space="0"/>
              <w:left w:val="single" w:color="000000" w:sz="8" w:space="0"/>
              <w:bottom w:val="single" w:color="000000" w:sz="8" w:space="0"/>
              <w:right w:val="single" w:color="000000" w:sz="8" w:space="0"/>
            </w:tcBorders>
          </w:tcPr>
          <w:p w14:paraId="3EA55E75">
            <w:pPr>
              <w:wordWrap w:val="0"/>
              <w:jc w:val="center"/>
              <w:rPr>
                <w:b/>
                <w:bCs/>
                <w:color w:val="0000FF"/>
              </w:rPr>
            </w:pPr>
            <w:r>
              <w:rPr>
                <w:b/>
                <w:bCs/>
                <w:color w:val="0000FF"/>
              </w:rPr>
              <w:t>价格</w:t>
            </w:r>
          </w:p>
        </w:tc>
        <w:tc>
          <w:tcPr>
            <w:tcW w:w="4196" w:type="dxa"/>
            <w:tcBorders>
              <w:top w:val="single" w:color="000000" w:sz="8" w:space="0"/>
              <w:left w:val="single" w:color="000000" w:sz="8" w:space="0"/>
              <w:bottom w:val="single" w:color="000000" w:sz="8" w:space="0"/>
              <w:right w:val="single" w:color="000000" w:sz="8" w:space="0"/>
            </w:tcBorders>
          </w:tcPr>
          <w:p w14:paraId="69258292">
            <w:pPr>
              <w:wordWrap w:val="0"/>
              <w:jc w:val="center"/>
              <w:rPr>
                <w:b/>
                <w:bCs/>
                <w:color w:val="0000FF"/>
              </w:rPr>
            </w:pPr>
            <w:r>
              <w:rPr>
                <w:b/>
                <w:bCs/>
                <w:color w:val="0000FF"/>
              </w:rPr>
              <w:t>30</w:t>
            </w:r>
          </w:p>
        </w:tc>
      </w:tr>
      <w:tr w14:paraId="0A733F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606FB863">
            <w:pPr>
              <w:wordWrap w:val="0"/>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390185B5">
            <w:pPr>
              <w:wordWrap w:val="0"/>
              <w:jc w:val="center"/>
              <w:rPr>
                <w:b/>
                <w:bCs/>
                <w:color w:val="0000FF"/>
              </w:rPr>
            </w:pPr>
          </w:p>
        </w:tc>
      </w:tr>
      <w:tr w14:paraId="7456BC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0249AEAE">
            <w:pPr>
              <w:wordWrap w:val="0"/>
              <w:jc w:val="center"/>
              <w:rPr>
                <w:rFonts w:ascii="宋体" w:hAnsi="宋体" w:cs="宋体"/>
                <w:b/>
                <w:bCs/>
                <w:color w:val="0000FF"/>
                <w:sz w:val="24"/>
              </w:rPr>
            </w:pPr>
            <w:r>
              <w:rPr>
                <w:b/>
                <w:bCs/>
                <w:color w:val="0000FF"/>
              </w:rPr>
              <w:t>2</w:t>
            </w:r>
          </w:p>
        </w:tc>
        <w:tc>
          <w:tcPr>
            <w:tcW w:w="4196" w:type="dxa"/>
            <w:gridSpan w:val="3"/>
            <w:tcBorders>
              <w:top w:val="single" w:color="000000" w:sz="8" w:space="0"/>
              <w:left w:val="single" w:color="000000" w:sz="8" w:space="0"/>
              <w:bottom w:val="single" w:color="000000" w:sz="8" w:space="0"/>
              <w:right w:val="single" w:color="000000" w:sz="8" w:space="0"/>
            </w:tcBorders>
          </w:tcPr>
          <w:p w14:paraId="5FBF0CF2">
            <w:pPr>
              <w:wordWrap w:val="0"/>
              <w:jc w:val="center"/>
              <w:rPr>
                <w:b/>
                <w:bCs/>
                <w:color w:val="0000FF"/>
              </w:rPr>
            </w:pPr>
            <w:r>
              <w:rPr>
                <w:b/>
                <w:bCs/>
                <w:color w:val="0000FF"/>
              </w:rPr>
              <w:t>技术部分</w:t>
            </w:r>
          </w:p>
        </w:tc>
        <w:tc>
          <w:tcPr>
            <w:tcW w:w="4196" w:type="dxa"/>
            <w:tcBorders>
              <w:top w:val="single" w:color="000000" w:sz="8" w:space="0"/>
              <w:left w:val="single" w:color="000000" w:sz="8" w:space="0"/>
              <w:bottom w:val="single" w:color="000000" w:sz="8" w:space="0"/>
              <w:right w:val="single" w:color="000000" w:sz="8" w:space="0"/>
            </w:tcBorders>
          </w:tcPr>
          <w:p w14:paraId="3F60818C">
            <w:pPr>
              <w:wordWrap w:val="0"/>
              <w:jc w:val="center"/>
              <w:rPr>
                <w:b/>
                <w:bCs/>
                <w:color w:val="0000FF"/>
              </w:rPr>
            </w:pPr>
            <w:r>
              <w:rPr>
                <w:b/>
                <w:bCs/>
                <w:color w:val="0000FF"/>
              </w:rPr>
              <w:t>53</w:t>
            </w:r>
          </w:p>
        </w:tc>
      </w:tr>
      <w:tr w14:paraId="059008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3E841F56">
            <w:pPr>
              <w:wordWrap w:val="0"/>
              <w:rPr>
                <w:rFonts w:ascii="宋体" w:hAnsi="宋体" w:cs="宋体"/>
                <w:b/>
                <w:bCs/>
                <w:color w:val="0000FF"/>
                <w:sz w:val="24"/>
              </w:rPr>
            </w:pPr>
          </w:p>
        </w:tc>
        <w:tc>
          <w:tcPr>
            <w:tcW w:w="8278" w:type="dxa"/>
            <w:gridSpan w:val="4"/>
            <w:tcBorders>
              <w:top w:val="single" w:color="000000" w:sz="8" w:space="0"/>
              <w:left w:val="single" w:color="000000" w:sz="8" w:space="0"/>
              <w:bottom w:val="single" w:color="000000" w:sz="8" w:space="0"/>
              <w:right w:val="single" w:color="000000" w:sz="8" w:space="0"/>
            </w:tcBorders>
          </w:tcPr>
          <w:p w14:paraId="6DB2F5E3">
            <w:pPr>
              <w:wordWrap w:val="0"/>
              <w:jc w:val="center"/>
              <w:rPr>
                <w:b/>
                <w:bCs/>
                <w:color w:val="0000FF"/>
              </w:rPr>
            </w:pPr>
          </w:p>
        </w:tc>
      </w:tr>
      <w:tr w14:paraId="6D0F4E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01B1DD63">
            <w:pPr>
              <w:wordWrap w:val="0"/>
              <w:jc w:val="cente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F86C82D">
            <w:pPr>
              <w:wordWrap w:val="0"/>
              <w:jc w:val="center"/>
              <w:rPr>
                <w:rFonts w:ascii="宋体" w:hAnsi="宋体" w:cs="宋体"/>
                <w:szCs w:val="21"/>
              </w:rPr>
            </w:pPr>
            <w:r>
              <w:rPr>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0BA3C72">
            <w:pPr>
              <w:wordWrap w:val="0"/>
              <w:jc w:val="center"/>
              <w:rPr>
                <w:szCs w:val="21"/>
              </w:rPr>
            </w:pPr>
            <w:r>
              <w:rPr>
                <w:szCs w:val="21"/>
              </w:rPr>
              <w:t>评分因素</w:t>
            </w: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3ADA094">
            <w:pPr>
              <w:wordWrap w:val="0"/>
              <w:jc w:val="center"/>
              <w:rPr>
                <w:szCs w:val="21"/>
              </w:rPr>
            </w:pPr>
            <w:r>
              <w:rPr>
                <w:szCs w:val="21"/>
              </w:rPr>
              <w:t>权重(%)</w:t>
            </w:r>
          </w:p>
        </w:tc>
        <w:tc>
          <w:tcPr>
            <w:tcW w:w="292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6F62C53">
            <w:pPr>
              <w:wordWrap w:val="0"/>
              <w:jc w:val="center"/>
              <w:rPr>
                <w:szCs w:val="21"/>
              </w:rPr>
            </w:pPr>
            <w:r>
              <w:rPr>
                <w:szCs w:val="21"/>
              </w:rPr>
              <w:t>评分准则</w:t>
            </w:r>
          </w:p>
        </w:tc>
      </w:tr>
      <w:tr w14:paraId="3F0220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tcPr>
          <w:p w14:paraId="7F5023AE">
            <w:pPr>
              <w:wordWrap w:val="0"/>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4075D667">
            <w:pPr>
              <w:wordWrap w:val="0"/>
              <w:jc w:val="center"/>
              <w:rPr>
                <w:szCs w:val="21"/>
              </w:rPr>
            </w:pPr>
            <w:r>
              <w:rPr>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03AF0191">
            <w:pPr>
              <w:wordWrap w:val="0"/>
              <w:jc w:val="left"/>
              <w:rPr>
                <w:szCs w:val="21"/>
              </w:rPr>
            </w:pPr>
            <w:r>
              <w:rPr>
                <w:szCs w:val="21"/>
              </w:rPr>
              <w:t>技术保障措施</w:t>
            </w:r>
          </w:p>
        </w:tc>
        <w:tc>
          <w:tcPr>
            <w:tcW w:w="680" w:type="dxa"/>
            <w:tcBorders>
              <w:top w:val="single" w:color="000000" w:sz="8" w:space="0"/>
              <w:left w:val="single" w:color="000000" w:sz="8" w:space="0"/>
              <w:bottom w:val="single" w:color="000000" w:sz="8" w:space="0"/>
              <w:right w:val="single" w:color="000000" w:sz="8" w:space="0"/>
            </w:tcBorders>
          </w:tcPr>
          <w:p w14:paraId="6BDBCA7A">
            <w:pPr>
              <w:wordWrap w:val="0"/>
              <w:jc w:val="center"/>
              <w:rPr>
                <w:szCs w:val="21"/>
              </w:rPr>
            </w:pPr>
            <w:r>
              <w:rPr>
                <w:szCs w:val="21"/>
              </w:rPr>
              <w:t>3</w:t>
            </w:r>
          </w:p>
        </w:tc>
        <w:tc>
          <w:tcPr>
            <w:tcW w:w="4196" w:type="dxa"/>
            <w:tcBorders>
              <w:top w:val="single" w:color="000000" w:sz="8" w:space="0"/>
              <w:left w:val="single" w:color="000000" w:sz="8" w:space="0"/>
              <w:bottom w:val="single" w:color="000000" w:sz="8" w:space="0"/>
              <w:right w:val="single" w:color="000000" w:sz="8" w:space="0"/>
            </w:tcBorders>
          </w:tcPr>
          <w:p w14:paraId="69F38A00">
            <w:pPr>
              <w:wordWrap w:val="0"/>
              <w:jc w:val="left"/>
              <w:rPr>
                <w:szCs w:val="21"/>
              </w:rPr>
            </w:pPr>
            <w:r>
              <w:rPr>
                <w:szCs w:val="21"/>
              </w:rPr>
              <w:t>在投标文件中投标人需充分说明技术保障措施，包括</w:t>
            </w:r>
            <w:r>
              <w:rPr>
                <w:rFonts w:hint="eastAsia" w:ascii="宋体" w:hAnsi="宋体" w:cs="宋体"/>
                <w:szCs w:val="21"/>
              </w:rPr>
              <w:t>①</w:t>
            </w:r>
            <w:r>
              <w:rPr>
                <w:szCs w:val="21"/>
              </w:rPr>
              <w:t>项目组织管理方案、</w:t>
            </w:r>
            <w:r>
              <w:rPr>
                <w:rFonts w:hint="eastAsia" w:ascii="宋体" w:hAnsi="宋体" w:cs="宋体"/>
                <w:szCs w:val="21"/>
              </w:rPr>
              <w:t>②</w:t>
            </w:r>
            <w:r>
              <w:rPr>
                <w:szCs w:val="21"/>
              </w:rPr>
              <w:t>项目进度计划、</w:t>
            </w:r>
            <w:r>
              <w:rPr>
                <w:rFonts w:hint="eastAsia" w:ascii="宋体" w:hAnsi="宋体" w:cs="宋体"/>
                <w:szCs w:val="21"/>
              </w:rPr>
              <w:t>③</w:t>
            </w:r>
            <w:r>
              <w:rPr>
                <w:szCs w:val="21"/>
              </w:rPr>
              <w:t>项目质量控制措施、</w:t>
            </w:r>
            <w:r>
              <w:rPr>
                <w:rFonts w:hint="eastAsia" w:ascii="宋体" w:hAnsi="宋体" w:cs="宋体"/>
                <w:szCs w:val="21"/>
              </w:rPr>
              <w:t>④</w:t>
            </w:r>
            <w:r>
              <w:rPr>
                <w:szCs w:val="21"/>
              </w:rPr>
              <w:t>项目进度控制措施、</w:t>
            </w:r>
            <w:r>
              <w:rPr>
                <w:rFonts w:hint="eastAsia" w:ascii="宋体" w:hAnsi="宋体" w:cs="宋体"/>
                <w:szCs w:val="21"/>
              </w:rPr>
              <w:t>⑤</w:t>
            </w:r>
            <w:r>
              <w:rPr>
                <w:szCs w:val="21"/>
              </w:rPr>
              <w:t>项目技术实力共5项保障措施:1、保障措施等于5项，得100分；2、保障措施任意3-4项的，得50分；3、保障措施小于3项的，不得分。</w:t>
            </w:r>
          </w:p>
        </w:tc>
      </w:tr>
      <w:tr w14:paraId="0C9AEF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tcPr>
          <w:p w14:paraId="4FA7B968">
            <w:pPr>
              <w:wordWrap w:val="0"/>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7080B21B">
            <w:pPr>
              <w:wordWrap w:val="0"/>
              <w:jc w:val="center"/>
              <w:rPr>
                <w:szCs w:val="21"/>
              </w:rPr>
            </w:pPr>
            <w:r>
              <w:rPr>
                <w:szCs w:val="21"/>
              </w:rPr>
              <w:t>2</w:t>
            </w:r>
          </w:p>
        </w:tc>
        <w:tc>
          <w:tcPr>
            <w:tcW w:w="2835" w:type="dxa"/>
            <w:tcBorders>
              <w:top w:val="single" w:color="000000" w:sz="8" w:space="0"/>
              <w:left w:val="single" w:color="000000" w:sz="8" w:space="0"/>
              <w:bottom w:val="single" w:color="000000" w:sz="8" w:space="0"/>
              <w:right w:val="single" w:color="000000" w:sz="8" w:space="0"/>
            </w:tcBorders>
          </w:tcPr>
          <w:p w14:paraId="143DA228">
            <w:pPr>
              <w:wordWrap w:val="0"/>
              <w:jc w:val="left"/>
              <w:rPr>
                <w:szCs w:val="21"/>
              </w:rPr>
            </w:pPr>
            <w:r>
              <w:rPr>
                <w:szCs w:val="21"/>
              </w:rPr>
              <w:t>技术要求偏离情况</w:t>
            </w:r>
          </w:p>
        </w:tc>
        <w:tc>
          <w:tcPr>
            <w:tcW w:w="680" w:type="dxa"/>
            <w:tcBorders>
              <w:top w:val="single" w:color="000000" w:sz="8" w:space="0"/>
              <w:left w:val="single" w:color="000000" w:sz="8" w:space="0"/>
              <w:bottom w:val="single" w:color="000000" w:sz="8" w:space="0"/>
              <w:right w:val="single" w:color="000000" w:sz="8" w:space="0"/>
            </w:tcBorders>
          </w:tcPr>
          <w:p w14:paraId="1B82A52F">
            <w:pPr>
              <w:wordWrap w:val="0"/>
              <w:jc w:val="center"/>
              <w:rPr>
                <w:szCs w:val="21"/>
              </w:rPr>
            </w:pPr>
            <w:r>
              <w:rPr>
                <w:szCs w:val="21"/>
              </w:rPr>
              <w:t>50</w:t>
            </w:r>
          </w:p>
        </w:tc>
        <w:tc>
          <w:tcPr>
            <w:tcW w:w="4196" w:type="dxa"/>
            <w:tcBorders>
              <w:top w:val="single" w:color="000000" w:sz="8" w:space="0"/>
              <w:left w:val="single" w:color="000000" w:sz="8" w:space="0"/>
              <w:bottom w:val="single" w:color="000000" w:sz="8" w:space="0"/>
              <w:right w:val="single" w:color="000000" w:sz="8" w:space="0"/>
            </w:tcBorders>
          </w:tcPr>
          <w:p w14:paraId="7E07CEF1">
            <w:pPr>
              <w:wordWrap w:val="0"/>
              <w:jc w:val="left"/>
              <w:rPr>
                <w:szCs w:val="21"/>
              </w:rPr>
            </w:pPr>
            <w:r>
              <w:rPr>
                <w:szCs w:val="21"/>
              </w:rPr>
              <w:t>投标人应如实填写《技术要求偏离表》，评审委员会根据技术要求响应情况进行打分，各项技术参数指标及要求全部满足的得100分，“▲”所标参数为重点参数，每负偏离一项扣10分；其他一般参数每偏离一项扣5分，扣完为止；可有正偏离但不加分。</w:t>
            </w:r>
          </w:p>
        </w:tc>
      </w:tr>
      <w:tr w14:paraId="50E6D8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2EEACBD8">
            <w:pPr>
              <w:wordWrap w:val="0"/>
              <w:jc w:val="center"/>
              <w:rPr>
                <w:b/>
                <w:bCs/>
                <w:color w:val="0000FF"/>
                <w:sz w:val="24"/>
              </w:rPr>
            </w:pPr>
            <w:r>
              <w:rPr>
                <w:b/>
                <w:bCs/>
                <w:color w:val="0000FF"/>
              </w:rPr>
              <w:t>3</w:t>
            </w:r>
          </w:p>
        </w:tc>
        <w:tc>
          <w:tcPr>
            <w:tcW w:w="4196" w:type="dxa"/>
            <w:gridSpan w:val="3"/>
            <w:tcBorders>
              <w:top w:val="single" w:color="000000" w:sz="8" w:space="0"/>
              <w:left w:val="single" w:color="000000" w:sz="8" w:space="0"/>
              <w:bottom w:val="single" w:color="000000" w:sz="8" w:space="0"/>
              <w:right w:val="single" w:color="000000" w:sz="8" w:space="0"/>
            </w:tcBorders>
          </w:tcPr>
          <w:p w14:paraId="009AF630">
            <w:pPr>
              <w:wordWrap w:val="0"/>
              <w:jc w:val="center"/>
              <w:rPr>
                <w:b/>
                <w:bCs/>
                <w:color w:val="0000FF"/>
              </w:rPr>
            </w:pPr>
            <w:r>
              <w:rPr>
                <w:b/>
                <w:bCs/>
                <w:color w:val="0000FF"/>
              </w:rPr>
              <w:t>商务需求</w:t>
            </w:r>
          </w:p>
        </w:tc>
        <w:tc>
          <w:tcPr>
            <w:tcW w:w="4196" w:type="dxa"/>
            <w:tcBorders>
              <w:top w:val="single" w:color="000000" w:sz="8" w:space="0"/>
              <w:left w:val="single" w:color="000000" w:sz="8" w:space="0"/>
              <w:bottom w:val="single" w:color="000000" w:sz="8" w:space="0"/>
              <w:right w:val="single" w:color="000000" w:sz="8" w:space="0"/>
            </w:tcBorders>
          </w:tcPr>
          <w:p w14:paraId="53E3454F">
            <w:pPr>
              <w:wordWrap w:val="0"/>
              <w:jc w:val="center"/>
              <w:rPr>
                <w:b/>
                <w:bCs/>
                <w:color w:val="0000FF"/>
              </w:rPr>
            </w:pPr>
            <w:r>
              <w:rPr>
                <w:b/>
                <w:bCs/>
                <w:color w:val="0000FF"/>
              </w:rPr>
              <w:t>12</w:t>
            </w:r>
          </w:p>
        </w:tc>
      </w:tr>
      <w:tr w14:paraId="0B3A4A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430E2091">
            <w:pPr>
              <w:wordWrap w:val="0"/>
              <w:rPr>
                <w:rFonts w:ascii="宋体" w:hAnsi="宋体" w:cs="宋体"/>
                <w:b/>
                <w:bCs/>
                <w:color w:val="0000FF"/>
                <w:sz w:val="24"/>
              </w:rPr>
            </w:pPr>
          </w:p>
        </w:tc>
        <w:tc>
          <w:tcPr>
            <w:tcW w:w="8278" w:type="dxa"/>
            <w:gridSpan w:val="4"/>
            <w:tcBorders>
              <w:top w:val="single" w:color="000000" w:sz="8" w:space="0"/>
              <w:left w:val="single" w:color="000000" w:sz="8" w:space="0"/>
              <w:bottom w:val="single" w:color="000000" w:sz="8" w:space="0"/>
              <w:right w:val="single" w:color="000000" w:sz="8" w:space="0"/>
            </w:tcBorders>
          </w:tcPr>
          <w:p w14:paraId="10042CE0">
            <w:pPr>
              <w:wordWrap w:val="0"/>
              <w:jc w:val="center"/>
              <w:rPr>
                <w:b/>
                <w:bCs/>
                <w:color w:val="0000FF"/>
              </w:rPr>
            </w:pPr>
          </w:p>
        </w:tc>
      </w:tr>
      <w:tr w14:paraId="743E52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56550BAA">
            <w:pPr>
              <w:wordWrap w:val="0"/>
              <w:jc w:val="cente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7AD6D80">
            <w:pPr>
              <w:wordWrap w:val="0"/>
              <w:jc w:val="center"/>
              <w:rPr>
                <w:rFonts w:ascii="宋体" w:hAnsi="宋体" w:cs="宋体"/>
                <w:szCs w:val="21"/>
              </w:rPr>
            </w:pPr>
            <w:r>
              <w:rPr>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34E7AD3">
            <w:pPr>
              <w:wordWrap w:val="0"/>
              <w:jc w:val="center"/>
              <w:rPr>
                <w:szCs w:val="21"/>
              </w:rPr>
            </w:pPr>
            <w:r>
              <w:rPr>
                <w:szCs w:val="21"/>
              </w:rPr>
              <w:t>评分因素</w:t>
            </w: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4CADAC1">
            <w:pPr>
              <w:wordWrap w:val="0"/>
              <w:jc w:val="center"/>
              <w:rPr>
                <w:szCs w:val="21"/>
              </w:rPr>
            </w:pPr>
            <w:r>
              <w:rPr>
                <w:szCs w:val="21"/>
              </w:rPr>
              <w:t>权重(%)</w:t>
            </w:r>
          </w:p>
        </w:tc>
        <w:tc>
          <w:tcPr>
            <w:tcW w:w="292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536D962">
            <w:pPr>
              <w:wordWrap w:val="0"/>
              <w:jc w:val="center"/>
              <w:rPr>
                <w:szCs w:val="21"/>
              </w:rPr>
            </w:pPr>
            <w:r>
              <w:rPr>
                <w:szCs w:val="21"/>
              </w:rPr>
              <w:t>评分准则</w:t>
            </w:r>
          </w:p>
        </w:tc>
      </w:tr>
      <w:tr w14:paraId="5AFE9A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tcPr>
          <w:p w14:paraId="15DF9C10">
            <w:pPr>
              <w:wordWrap w:val="0"/>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3E72E0B6">
            <w:pPr>
              <w:wordWrap w:val="0"/>
              <w:jc w:val="center"/>
              <w:rPr>
                <w:szCs w:val="21"/>
              </w:rPr>
            </w:pPr>
            <w:r>
              <w:rPr>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58238A38">
            <w:pPr>
              <w:wordWrap w:val="0"/>
              <w:jc w:val="left"/>
              <w:rPr>
                <w:szCs w:val="21"/>
              </w:rPr>
            </w:pPr>
            <w:r>
              <w:rPr>
                <w:szCs w:val="21"/>
              </w:rPr>
              <w:t>免费保修期内售后服务条款偏离情况</w:t>
            </w:r>
          </w:p>
        </w:tc>
        <w:tc>
          <w:tcPr>
            <w:tcW w:w="680" w:type="dxa"/>
            <w:tcBorders>
              <w:top w:val="single" w:color="000000" w:sz="8" w:space="0"/>
              <w:left w:val="single" w:color="000000" w:sz="8" w:space="0"/>
              <w:bottom w:val="single" w:color="000000" w:sz="8" w:space="0"/>
              <w:right w:val="single" w:color="000000" w:sz="8" w:space="0"/>
            </w:tcBorders>
          </w:tcPr>
          <w:p w14:paraId="667A79F5">
            <w:pPr>
              <w:wordWrap w:val="0"/>
              <w:jc w:val="center"/>
              <w:rPr>
                <w:szCs w:val="21"/>
              </w:rPr>
            </w:pPr>
            <w:r>
              <w:rPr>
                <w:szCs w:val="21"/>
              </w:rPr>
              <w:t>6</w:t>
            </w:r>
          </w:p>
        </w:tc>
        <w:tc>
          <w:tcPr>
            <w:tcW w:w="4196" w:type="dxa"/>
            <w:tcBorders>
              <w:top w:val="single" w:color="000000" w:sz="8" w:space="0"/>
              <w:left w:val="single" w:color="000000" w:sz="8" w:space="0"/>
              <w:bottom w:val="single" w:color="000000" w:sz="8" w:space="0"/>
              <w:right w:val="single" w:color="000000" w:sz="8" w:space="0"/>
            </w:tcBorders>
          </w:tcPr>
          <w:p w14:paraId="03A59043">
            <w:pPr>
              <w:wordWrap w:val="0"/>
              <w:jc w:val="left"/>
              <w:rPr>
                <w:szCs w:val="21"/>
              </w:rPr>
            </w:pPr>
            <w:r>
              <w:rPr>
                <w:szCs w:val="21"/>
              </w:rPr>
              <w:t xml:space="preserve">1.投标人应如实填写《商务要求偏离表（免费保修期内售后服务要求）》，评审委员会根据响应情况进行打分。在满足免费保修期的基础上，每增加一年加20分，最高得60分。 </w:t>
            </w:r>
          </w:p>
          <w:p w14:paraId="019C0F2B">
            <w:pPr>
              <w:wordWrap w:val="0"/>
              <w:rPr>
                <w:szCs w:val="21"/>
              </w:rPr>
            </w:pPr>
            <w:r>
              <w:rPr>
                <w:szCs w:val="21"/>
              </w:rPr>
              <w:t>2.其他要求全部满足要求的得40分，每负偏离一项扣8分。</w:t>
            </w:r>
          </w:p>
        </w:tc>
      </w:tr>
      <w:tr w14:paraId="460DBE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tcPr>
          <w:p w14:paraId="74712500">
            <w:pPr>
              <w:wordWrap w:val="0"/>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33A577CC">
            <w:pPr>
              <w:wordWrap w:val="0"/>
              <w:jc w:val="center"/>
              <w:rPr>
                <w:szCs w:val="21"/>
              </w:rPr>
            </w:pPr>
            <w:r>
              <w:rPr>
                <w:szCs w:val="21"/>
              </w:rPr>
              <w:t>2</w:t>
            </w:r>
          </w:p>
        </w:tc>
        <w:tc>
          <w:tcPr>
            <w:tcW w:w="2835" w:type="dxa"/>
            <w:tcBorders>
              <w:top w:val="single" w:color="000000" w:sz="8" w:space="0"/>
              <w:left w:val="single" w:color="000000" w:sz="8" w:space="0"/>
              <w:bottom w:val="single" w:color="000000" w:sz="8" w:space="0"/>
              <w:right w:val="single" w:color="000000" w:sz="8" w:space="0"/>
            </w:tcBorders>
          </w:tcPr>
          <w:p w14:paraId="6DF19E41">
            <w:pPr>
              <w:wordWrap w:val="0"/>
              <w:jc w:val="left"/>
              <w:rPr>
                <w:szCs w:val="21"/>
              </w:rPr>
            </w:pPr>
            <w:r>
              <w:rPr>
                <w:szCs w:val="21"/>
              </w:rPr>
              <w:t>免费保修期外售后服务要求偏离情况</w:t>
            </w:r>
          </w:p>
        </w:tc>
        <w:tc>
          <w:tcPr>
            <w:tcW w:w="680" w:type="dxa"/>
            <w:tcBorders>
              <w:top w:val="single" w:color="000000" w:sz="8" w:space="0"/>
              <w:left w:val="single" w:color="000000" w:sz="8" w:space="0"/>
              <w:bottom w:val="single" w:color="000000" w:sz="8" w:space="0"/>
              <w:right w:val="single" w:color="000000" w:sz="8" w:space="0"/>
            </w:tcBorders>
          </w:tcPr>
          <w:p w14:paraId="695118F3">
            <w:pPr>
              <w:wordWrap w:val="0"/>
              <w:jc w:val="center"/>
              <w:rPr>
                <w:szCs w:val="21"/>
              </w:rPr>
            </w:pPr>
            <w:r>
              <w:rPr>
                <w:szCs w:val="21"/>
              </w:rPr>
              <w:t>4</w:t>
            </w:r>
          </w:p>
        </w:tc>
        <w:tc>
          <w:tcPr>
            <w:tcW w:w="4196" w:type="dxa"/>
            <w:tcBorders>
              <w:top w:val="single" w:color="000000" w:sz="8" w:space="0"/>
              <w:left w:val="single" w:color="000000" w:sz="8" w:space="0"/>
              <w:bottom w:val="single" w:color="000000" w:sz="8" w:space="0"/>
              <w:right w:val="single" w:color="000000" w:sz="8" w:space="0"/>
            </w:tcBorders>
          </w:tcPr>
          <w:p w14:paraId="67370D7F">
            <w:pPr>
              <w:wordWrap w:val="0"/>
              <w:jc w:val="left"/>
              <w:rPr>
                <w:szCs w:val="21"/>
              </w:rPr>
            </w:pPr>
            <w:r>
              <w:rPr>
                <w:szCs w:val="21"/>
              </w:rPr>
              <w:t>投标人应如实填写《商务要求偏离表（免费保修期外售后服务要求）》，评审委员会根据响应情况进行打分，全部满足要求的得100分，每负偏离一项扣20分。</w:t>
            </w:r>
          </w:p>
        </w:tc>
      </w:tr>
      <w:tr w14:paraId="2E2CA0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tcPr>
          <w:p w14:paraId="18549D11">
            <w:pPr>
              <w:wordWrap w:val="0"/>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011A473B">
            <w:pPr>
              <w:wordWrap w:val="0"/>
              <w:jc w:val="center"/>
              <w:rPr>
                <w:szCs w:val="21"/>
              </w:rPr>
            </w:pPr>
            <w:r>
              <w:rPr>
                <w:szCs w:val="21"/>
              </w:rPr>
              <w:t>3</w:t>
            </w:r>
          </w:p>
        </w:tc>
        <w:tc>
          <w:tcPr>
            <w:tcW w:w="2835" w:type="dxa"/>
            <w:tcBorders>
              <w:top w:val="single" w:color="000000" w:sz="8" w:space="0"/>
              <w:left w:val="single" w:color="000000" w:sz="8" w:space="0"/>
              <w:bottom w:val="single" w:color="000000" w:sz="8" w:space="0"/>
              <w:right w:val="single" w:color="000000" w:sz="8" w:space="0"/>
            </w:tcBorders>
          </w:tcPr>
          <w:p w14:paraId="682B62CB">
            <w:pPr>
              <w:wordWrap w:val="0"/>
              <w:jc w:val="left"/>
              <w:rPr>
                <w:szCs w:val="21"/>
              </w:rPr>
            </w:pPr>
            <w:r>
              <w:rPr>
                <w:szCs w:val="21"/>
              </w:rPr>
              <w:t>其他商务条款偏离情况</w:t>
            </w:r>
          </w:p>
        </w:tc>
        <w:tc>
          <w:tcPr>
            <w:tcW w:w="680" w:type="dxa"/>
            <w:tcBorders>
              <w:top w:val="single" w:color="000000" w:sz="8" w:space="0"/>
              <w:left w:val="single" w:color="000000" w:sz="8" w:space="0"/>
              <w:bottom w:val="single" w:color="000000" w:sz="8" w:space="0"/>
              <w:right w:val="single" w:color="000000" w:sz="8" w:space="0"/>
            </w:tcBorders>
          </w:tcPr>
          <w:p w14:paraId="637A0712">
            <w:pPr>
              <w:wordWrap w:val="0"/>
              <w:jc w:val="center"/>
              <w:rPr>
                <w:szCs w:val="21"/>
              </w:rPr>
            </w:pPr>
            <w:r>
              <w:rPr>
                <w:szCs w:val="21"/>
              </w:rPr>
              <w:t>2</w:t>
            </w:r>
          </w:p>
        </w:tc>
        <w:tc>
          <w:tcPr>
            <w:tcW w:w="4196" w:type="dxa"/>
            <w:tcBorders>
              <w:top w:val="single" w:color="000000" w:sz="8" w:space="0"/>
              <w:left w:val="single" w:color="000000" w:sz="8" w:space="0"/>
              <w:bottom w:val="single" w:color="000000" w:sz="8" w:space="0"/>
              <w:right w:val="single" w:color="000000" w:sz="8" w:space="0"/>
            </w:tcBorders>
          </w:tcPr>
          <w:p w14:paraId="5B6E3679">
            <w:pPr>
              <w:wordWrap w:val="0"/>
              <w:jc w:val="left"/>
              <w:rPr>
                <w:szCs w:val="21"/>
              </w:rPr>
            </w:pPr>
            <w:r>
              <w:rPr>
                <w:szCs w:val="21"/>
              </w:rPr>
              <w:t>投标人应如实填写《商务要求偏离表（其他商务要求）》，评审委员会根据响应情况进行打分，全部满足要求的得100分，每负偏离一项扣7分。</w:t>
            </w:r>
          </w:p>
        </w:tc>
      </w:tr>
      <w:tr w14:paraId="3E2757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010C2DAA">
            <w:pPr>
              <w:wordWrap w:val="0"/>
              <w:jc w:val="center"/>
              <w:rPr>
                <w:b/>
                <w:bCs/>
                <w:color w:val="0000FF"/>
                <w:sz w:val="24"/>
              </w:rPr>
            </w:pPr>
            <w:r>
              <w:rPr>
                <w:b/>
                <w:bCs/>
                <w:color w:val="0000FF"/>
              </w:rPr>
              <w:t>4</w:t>
            </w:r>
          </w:p>
        </w:tc>
        <w:tc>
          <w:tcPr>
            <w:tcW w:w="4196" w:type="dxa"/>
            <w:gridSpan w:val="3"/>
            <w:tcBorders>
              <w:top w:val="single" w:color="000000" w:sz="8" w:space="0"/>
              <w:left w:val="single" w:color="000000" w:sz="8" w:space="0"/>
              <w:bottom w:val="single" w:color="000000" w:sz="8" w:space="0"/>
              <w:right w:val="single" w:color="000000" w:sz="8" w:space="0"/>
            </w:tcBorders>
          </w:tcPr>
          <w:p w14:paraId="4B407CA4">
            <w:pPr>
              <w:wordWrap w:val="0"/>
              <w:jc w:val="center"/>
              <w:rPr>
                <w:b/>
                <w:bCs/>
                <w:color w:val="0000FF"/>
              </w:rPr>
            </w:pPr>
            <w:r>
              <w:rPr>
                <w:b/>
                <w:bCs/>
                <w:color w:val="0000FF"/>
              </w:rPr>
              <w:t>诚信情况</w:t>
            </w:r>
          </w:p>
        </w:tc>
        <w:tc>
          <w:tcPr>
            <w:tcW w:w="4196" w:type="dxa"/>
            <w:tcBorders>
              <w:top w:val="single" w:color="000000" w:sz="8" w:space="0"/>
              <w:left w:val="single" w:color="000000" w:sz="8" w:space="0"/>
              <w:bottom w:val="single" w:color="000000" w:sz="8" w:space="0"/>
              <w:right w:val="single" w:color="000000" w:sz="8" w:space="0"/>
            </w:tcBorders>
          </w:tcPr>
          <w:p w14:paraId="03FA8E07">
            <w:pPr>
              <w:wordWrap w:val="0"/>
              <w:jc w:val="center"/>
              <w:rPr>
                <w:b/>
                <w:bCs/>
                <w:color w:val="0000FF"/>
              </w:rPr>
            </w:pPr>
            <w:r>
              <w:rPr>
                <w:b/>
                <w:bCs/>
                <w:color w:val="0000FF"/>
              </w:rPr>
              <w:t>5</w:t>
            </w:r>
          </w:p>
        </w:tc>
      </w:tr>
      <w:tr w14:paraId="28EEC5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06526D09">
            <w:pPr>
              <w:wordWrap w:val="0"/>
              <w:rPr>
                <w:rFonts w:ascii="宋体" w:hAnsi="宋体" w:cs="宋体"/>
                <w:b/>
                <w:bCs/>
                <w:color w:val="0000FF"/>
                <w:sz w:val="24"/>
              </w:rPr>
            </w:pPr>
          </w:p>
        </w:tc>
        <w:tc>
          <w:tcPr>
            <w:tcW w:w="8278" w:type="dxa"/>
            <w:gridSpan w:val="4"/>
            <w:tcBorders>
              <w:top w:val="single" w:color="000000" w:sz="8" w:space="0"/>
              <w:left w:val="single" w:color="000000" w:sz="8" w:space="0"/>
              <w:bottom w:val="single" w:color="000000" w:sz="8" w:space="0"/>
              <w:right w:val="single" w:color="000000" w:sz="8" w:space="0"/>
            </w:tcBorders>
          </w:tcPr>
          <w:p w14:paraId="232DA3B9">
            <w:pPr>
              <w:wordWrap w:val="0"/>
              <w:jc w:val="center"/>
              <w:rPr>
                <w:b/>
                <w:bCs/>
                <w:color w:val="0000FF"/>
              </w:rPr>
            </w:pPr>
          </w:p>
        </w:tc>
      </w:tr>
      <w:tr w14:paraId="61F9E1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6B1D87CA">
            <w:pPr>
              <w:wordWrap w:val="0"/>
              <w:jc w:val="cente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6EF3ADB">
            <w:pPr>
              <w:wordWrap w:val="0"/>
              <w:jc w:val="center"/>
              <w:rPr>
                <w:rFonts w:ascii="宋体" w:hAnsi="宋体" w:cs="宋体"/>
                <w:szCs w:val="21"/>
              </w:rPr>
            </w:pPr>
            <w:r>
              <w:rPr>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2B1C1BF">
            <w:pPr>
              <w:wordWrap w:val="0"/>
              <w:jc w:val="center"/>
              <w:rPr>
                <w:szCs w:val="21"/>
              </w:rPr>
            </w:pPr>
            <w:r>
              <w:rPr>
                <w:szCs w:val="21"/>
              </w:rPr>
              <w:t>评分因素</w:t>
            </w: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8627C39">
            <w:pPr>
              <w:wordWrap w:val="0"/>
              <w:jc w:val="center"/>
              <w:rPr>
                <w:szCs w:val="21"/>
              </w:rPr>
            </w:pPr>
            <w:r>
              <w:rPr>
                <w:szCs w:val="21"/>
              </w:rPr>
              <w:t>权重(%)</w:t>
            </w:r>
          </w:p>
        </w:tc>
        <w:tc>
          <w:tcPr>
            <w:tcW w:w="292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5448D9E">
            <w:pPr>
              <w:wordWrap w:val="0"/>
              <w:jc w:val="center"/>
              <w:rPr>
                <w:szCs w:val="21"/>
              </w:rPr>
            </w:pPr>
            <w:r>
              <w:rPr>
                <w:szCs w:val="21"/>
              </w:rPr>
              <w:t>评分准则</w:t>
            </w:r>
          </w:p>
        </w:tc>
      </w:tr>
      <w:tr w14:paraId="6F5365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tcPr>
          <w:p w14:paraId="4A473CBF">
            <w:pPr>
              <w:wordWrap w:val="0"/>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29F23950">
            <w:pPr>
              <w:wordWrap w:val="0"/>
              <w:jc w:val="center"/>
              <w:rPr>
                <w:szCs w:val="21"/>
              </w:rPr>
            </w:pPr>
            <w:r>
              <w:rPr>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4C8D884E">
            <w:pPr>
              <w:wordWrap w:val="0"/>
              <w:jc w:val="left"/>
              <w:rPr>
                <w:szCs w:val="21"/>
              </w:rPr>
            </w:pPr>
            <w:r>
              <w:rPr>
                <w:szCs w:val="21"/>
              </w:rPr>
              <w:t>诚信</w:t>
            </w:r>
          </w:p>
        </w:tc>
        <w:tc>
          <w:tcPr>
            <w:tcW w:w="680" w:type="dxa"/>
            <w:tcBorders>
              <w:top w:val="single" w:color="000000" w:sz="8" w:space="0"/>
              <w:left w:val="single" w:color="000000" w:sz="8" w:space="0"/>
              <w:bottom w:val="single" w:color="000000" w:sz="8" w:space="0"/>
              <w:right w:val="single" w:color="000000" w:sz="8" w:space="0"/>
            </w:tcBorders>
          </w:tcPr>
          <w:p w14:paraId="6CB2F4CC">
            <w:pPr>
              <w:wordWrap w:val="0"/>
              <w:jc w:val="center"/>
              <w:rPr>
                <w:szCs w:val="21"/>
              </w:rPr>
            </w:pPr>
            <w:r>
              <w:rPr>
                <w:szCs w:val="21"/>
              </w:rPr>
              <w:t>5</w:t>
            </w:r>
          </w:p>
        </w:tc>
        <w:tc>
          <w:tcPr>
            <w:tcW w:w="4196" w:type="dxa"/>
            <w:tcBorders>
              <w:top w:val="single" w:color="000000" w:sz="8" w:space="0"/>
              <w:left w:val="single" w:color="000000" w:sz="8" w:space="0"/>
              <w:bottom w:val="single" w:color="000000" w:sz="8" w:space="0"/>
              <w:right w:val="single" w:color="000000" w:sz="8" w:space="0"/>
            </w:tcBorders>
          </w:tcPr>
          <w:p w14:paraId="2866157F">
            <w:pPr>
              <w:wordWrap w:val="0"/>
              <w:jc w:val="left"/>
              <w:rPr>
                <w:szCs w:val="21"/>
              </w:rPr>
            </w:pPr>
            <w:r>
              <w:rPr>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6D67F572">
      <w:pPr>
        <w:pStyle w:val="38"/>
        <w:jc w:val="center"/>
        <w:outlineLvl w:val="1"/>
        <w:rPr>
          <w:rFonts w:ascii="黑体" w:hAnsi="黑体" w:eastAsia="黑体"/>
          <w:sz w:val="40"/>
          <w:szCs w:val="40"/>
        </w:rPr>
      </w:pPr>
      <w:r>
        <w:rPr>
          <w:rFonts w:hint="eastAsia" w:ascii="黑体" w:hAnsi="黑体" w:eastAsia="黑体"/>
          <w:sz w:val="40"/>
          <w:szCs w:val="40"/>
        </w:rPr>
        <w:t>投标书目录</w:t>
      </w:r>
    </w:p>
    <w:tbl>
      <w:tblPr>
        <w:tblStyle w:val="43"/>
        <w:tblW w:w="9072" w:type="dxa"/>
        <w:jc w:val="center"/>
        <w:tblCellSpacing w:w="0" w:type="dxa"/>
        <w:tblLayout w:type="autofit"/>
        <w:tblCellMar>
          <w:top w:w="30" w:type="dxa"/>
          <w:left w:w="30" w:type="dxa"/>
          <w:bottom w:w="30" w:type="dxa"/>
          <w:right w:w="30" w:type="dxa"/>
        </w:tblCellMar>
      </w:tblPr>
      <w:tblGrid>
        <w:gridCol w:w="9072"/>
      </w:tblGrid>
      <w:tr w14:paraId="739DDD1F">
        <w:trPr>
          <w:tblCellSpacing w:w="0" w:type="dxa"/>
          <w:jc w:val="center"/>
        </w:trPr>
        <w:tc>
          <w:tcPr>
            <w:tcW w:w="0" w:type="auto"/>
            <w:vAlign w:val="center"/>
          </w:tcPr>
          <w:p w14:paraId="483FFC3E">
            <w:pPr>
              <w:widowControl/>
              <w:numPr>
                <w:ilvl w:val="0"/>
                <w:numId w:val="7"/>
              </w:numPr>
              <w:spacing w:before="100" w:beforeAutospacing="1" w:after="100" w:afterAutospacing="1"/>
              <w:jc w:val="left"/>
              <w:rPr>
                <w:rFonts w:hint="eastAsia" w:ascii="宋体" w:hAnsi="宋体"/>
                <w:szCs w:val="21"/>
              </w:rPr>
            </w:pPr>
            <w:r>
              <w:rPr>
                <w:szCs w:val="21"/>
              </w:rPr>
              <w:t>一、投标函</w:t>
            </w:r>
          </w:p>
          <w:p w14:paraId="59BCAAAB">
            <w:pPr>
              <w:widowControl/>
              <w:numPr>
                <w:ilvl w:val="0"/>
                <w:numId w:val="7"/>
              </w:numPr>
              <w:spacing w:before="100" w:beforeAutospacing="1" w:after="100" w:afterAutospacing="1"/>
              <w:jc w:val="left"/>
              <w:rPr>
                <w:szCs w:val="21"/>
              </w:rPr>
            </w:pPr>
            <w:r>
              <w:rPr>
                <w:szCs w:val="21"/>
              </w:rPr>
              <w:t>二、政府采购投标及履约承诺函</w:t>
            </w:r>
          </w:p>
          <w:p w14:paraId="35EC3B49">
            <w:pPr>
              <w:widowControl/>
              <w:numPr>
                <w:ilvl w:val="0"/>
                <w:numId w:val="7"/>
              </w:numPr>
              <w:spacing w:before="100" w:beforeAutospacing="1" w:after="100" w:afterAutospacing="1"/>
              <w:jc w:val="left"/>
              <w:rPr>
                <w:szCs w:val="21"/>
              </w:rPr>
            </w:pPr>
            <w:r>
              <w:rPr>
                <w:szCs w:val="21"/>
              </w:rPr>
              <w:t>三、投标人情况及资格证明文件</w:t>
            </w:r>
          </w:p>
          <w:p w14:paraId="42AB3F34">
            <w:pPr>
              <w:widowControl/>
              <w:numPr>
                <w:ilvl w:val="1"/>
                <w:numId w:val="7"/>
              </w:numPr>
              <w:spacing w:before="100" w:beforeAutospacing="1" w:after="100" w:afterAutospacing="1"/>
              <w:jc w:val="left"/>
              <w:rPr>
                <w:szCs w:val="21"/>
              </w:rPr>
            </w:pPr>
            <w:r>
              <w:rPr>
                <w:szCs w:val="21"/>
              </w:rPr>
              <w:t>（一）投标人资格证明文件</w:t>
            </w:r>
          </w:p>
          <w:p w14:paraId="3EA48602">
            <w:pPr>
              <w:widowControl/>
              <w:numPr>
                <w:ilvl w:val="1"/>
                <w:numId w:val="7"/>
              </w:numPr>
              <w:spacing w:before="100" w:beforeAutospacing="1" w:after="100" w:afterAutospacing="1"/>
              <w:jc w:val="left"/>
              <w:rPr>
                <w:szCs w:val="21"/>
              </w:rPr>
            </w:pPr>
            <w:r>
              <w:rPr>
                <w:szCs w:val="21"/>
              </w:rPr>
              <w:t>（二）中小企业声明函、残疾人福利性单位声明函及监狱企业声明函</w:t>
            </w:r>
          </w:p>
          <w:p w14:paraId="48B5C594">
            <w:pPr>
              <w:widowControl/>
              <w:numPr>
                <w:ilvl w:val="0"/>
                <w:numId w:val="7"/>
              </w:numPr>
              <w:spacing w:before="100" w:beforeAutospacing="1" w:after="100" w:afterAutospacing="1"/>
              <w:jc w:val="left"/>
              <w:rPr>
                <w:szCs w:val="21"/>
              </w:rPr>
            </w:pPr>
            <w:r>
              <w:rPr>
                <w:szCs w:val="21"/>
              </w:rPr>
              <w:t>四、项目详细报价</w:t>
            </w:r>
          </w:p>
          <w:p w14:paraId="0069AA38">
            <w:pPr>
              <w:widowControl/>
              <w:numPr>
                <w:ilvl w:val="1"/>
                <w:numId w:val="7"/>
              </w:numPr>
              <w:spacing w:before="100" w:beforeAutospacing="1" w:after="100" w:afterAutospacing="1"/>
              <w:jc w:val="left"/>
              <w:rPr>
                <w:szCs w:val="21"/>
              </w:rPr>
            </w:pPr>
            <w:r>
              <w:rPr>
                <w:szCs w:val="21"/>
              </w:rPr>
              <w:t>（一）分项报价表</w:t>
            </w:r>
          </w:p>
          <w:p w14:paraId="70B3C596">
            <w:pPr>
              <w:widowControl/>
              <w:numPr>
                <w:ilvl w:val="1"/>
                <w:numId w:val="7"/>
              </w:numPr>
              <w:spacing w:before="100" w:beforeAutospacing="1" w:after="100" w:afterAutospacing="1"/>
              <w:jc w:val="left"/>
              <w:rPr>
                <w:szCs w:val="21"/>
              </w:rPr>
            </w:pPr>
            <w:r>
              <w:rPr>
                <w:szCs w:val="21"/>
              </w:rPr>
              <w:t>（二）核心产品品牌</w:t>
            </w:r>
          </w:p>
          <w:p w14:paraId="3BB001E2">
            <w:pPr>
              <w:widowControl/>
              <w:numPr>
                <w:ilvl w:val="1"/>
                <w:numId w:val="7"/>
              </w:numPr>
              <w:spacing w:before="100" w:beforeAutospacing="1" w:after="100" w:afterAutospacing="1"/>
              <w:jc w:val="left"/>
              <w:rPr>
                <w:szCs w:val="21"/>
              </w:rPr>
            </w:pPr>
            <w:r>
              <w:rPr>
                <w:szCs w:val="21"/>
              </w:rPr>
              <w:t>（三）可选配件报价清单（不包括在总报价内）</w:t>
            </w:r>
          </w:p>
          <w:p w14:paraId="6A44FCA9">
            <w:pPr>
              <w:widowControl/>
              <w:numPr>
                <w:ilvl w:val="1"/>
                <w:numId w:val="7"/>
              </w:numPr>
              <w:spacing w:before="100" w:beforeAutospacing="1" w:after="100" w:afterAutospacing="1"/>
              <w:jc w:val="left"/>
              <w:rPr>
                <w:szCs w:val="21"/>
              </w:rPr>
            </w:pPr>
            <w:r>
              <w:rPr>
                <w:szCs w:val="21"/>
              </w:rPr>
              <w:t>（四）投标人认为需要涉及的其他内容报价清单</w:t>
            </w:r>
          </w:p>
        </w:tc>
      </w:tr>
    </w:tbl>
    <w:p w14:paraId="0A38E686"/>
    <w:p w14:paraId="4C62308E">
      <w:p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387A2478">
      <w:pPr>
        <w:jc w:val="center"/>
        <w:rPr>
          <w:b/>
          <w:sz w:val="84"/>
          <w:szCs w:val="84"/>
        </w:rPr>
      </w:pPr>
    </w:p>
    <w:p w14:paraId="40D5E191">
      <w:pPr>
        <w:jc w:val="center"/>
        <w:rPr>
          <w:b/>
          <w:sz w:val="84"/>
          <w:szCs w:val="84"/>
        </w:rPr>
      </w:pPr>
    </w:p>
    <w:p w14:paraId="683B4693">
      <w:pPr>
        <w:jc w:val="center"/>
        <w:rPr>
          <w:b/>
          <w:sz w:val="120"/>
          <w:szCs w:val="120"/>
        </w:rPr>
      </w:pPr>
      <w:r>
        <w:rPr>
          <w:rFonts w:hint="eastAsia"/>
          <w:b/>
          <w:sz w:val="120"/>
          <w:szCs w:val="120"/>
        </w:rPr>
        <w:t>政府采购</w:t>
      </w:r>
    </w:p>
    <w:p w14:paraId="450F5982">
      <w:pPr>
        <w:jc w:val="center"/>
        <w:rPr>
          <w:b/>
          <w:sz w:val="120"/>
          <w:szCs w:val="120"/>
        </w:rPr>
      </w:pPr>
      <w:r>
        <w:rPr>
          <w:rFonts w:hint="eastAsia"/>
          <w:b/>
          <w:sz w:val="120"/>
          <w:szCs w:val="120"/>
        </w:rPr>
        <w:t>招标文件</w:t>
      </w:r>
    </w:p>
    <w:p w14:paraId="78E99D79">
      <w:pPr>
        <w:jc w:val="center"/>
        <w:rPr>
          <w:b/>
          <w:sz w:val="52"/>
          <w:szCs w:val="52"/>
        </w:rPr>
      </w:pPr>
      <w:r>
        <w:rPr>
          <w:rFonts w:hint="eastAsia"/>
          <w:b/>
          <w:sz w:val="52"/>
          <w:szCs w:val="52"/>
        </w:rPr>
        <w:t>（货物类）</w:t>
      </w:r>
    </w:p>
    <w:p w14:paraId="354B3593"/>
    <w:p w14:paraId="215323BE"/>
    <w:p w14:paraId="0D8EF39D"/>
    <w:p w14:paraId="40247B5E"/>
    <w:p w14:paraId="529D9ADE"/>
    <w:p w14:paraId="034B08B3"/>
    <w:p w14:paraId="70996A87"/>
    <w:p w14:paraId="4898C364"/>
    <w:p w14:paraId="278CB7F5"/>
    <w:p w14:paraId="5C7A09AB"/>
    <w:p w14:paraId="50D1D2E4"/>
    <w:p w14:paraId="1C9452A4"/>
    <w:p w14:paraId="013320F1"/>
    <w:p w14:paraId="21837C58"/>
    <w:p w14:paraId="4C45F7B0"/>
    <w:p w14:paraId="333BF75D"/>
    <w:p w14:paraId="1E8D7378"/>
    <w:p w14:paraId="33937D6A"/>
    <w:p w14:paraId="3C3F158A"/>
    <w:p w14:paraId="5B2A144A">
      <w:pPr>
        <w:jc w:val="center"/>
        <w:rPr>
          <w:b/>
          <w:sz w:val="44"/>
          <w:szCs w:val="44"/>
        </w:rPr>
      </w:pPr>
      <w:bookmarkStart w:id="0" w:name="_Hlk71465316"/>
      <w:r>
        <w:rPr>
          <w:rFonts w:hint="eastAsia"/>
          <w:b/>
          <w:sz w:val="44"/>
          <w:szCs w:val="44"/>
        </w:rPr>
        <w:t>深圳公共资源交易中心</w:t>
      </w:r>
    </w:p>
    <w:p w14:paraId="78594DD2">
      <w:pPr>
        <w:jc w:val="center"/>
        <w:rPr>
          <w:b/>
          <w:sz w:val="44"/>
          <w:szCs w:val="44"/>
        </w:rPr>
      </w:pPr>
      <w:r>
        <w:rPr>
          <w:rFonts w:hint="eastAsia"/>
          <w:b/>
          <w:sz w:val="44"/>
          <w:szCs w:val="44"/>
        </w:rPr>
        <w:t>（</w:t>
      </w:r>
      <w:r>
        <w:rPr>
          <w:b/>
          <w:sz w:val="44"/>
          <w:szCs w:val="44"/>
        </w:rPr>
        <w:t>20</w:t>
      </w:r>
      <w:r>
        <w:rPr>
          <w:rFonts w:hint="eastAsia"/>
          <w:b/>
          <w:sz w:val="44"/>
          <w:szCs w:val="44"/>
        </w:rPr>
        <w:t>2</w:t>
      </w:r>
      <w:r>
        <w:rPr>
          <w:b/>
          <w:sz w:val="44"/>
          <w:szCs w:val="44"/>
        </w:rPr>
        <w:t>1</w:t>
      </w:r>
      <w:r>
        <w:rPr>
          <w:rFonts w:hint="eastAsia"/>
          <w:b/>
          <w:sz w:val="44"/>
          <w:szCs w:val="44"/>
        </w:rPr>
        <w:t>）</w:t>
      </w:r>
      <w:bookmarkEnd w:id="0"/>
    </w:p>
    <w:p w14:paraId="150B638F">
      <w:pPr>
        <w:ind w:firstLine="435"/>
        <w:jc w:val="left"/>
      </w:pPr>
    </w:p>
    <w:p w14:paraId="70F71892">
      <w:pPr>
        <w:widowControl/>
        <w:jc w:val="left"/>
      </w:pPr>
      <w:r>
        <w:br w:type="page"/>
      </w:r>
    </w:p>
    <w:p w14:paraId="52769F03">
      <w:pPr>
        <w:ind w:firstLine="3654" w:firstLineChars="1300"/>
        <w:rPr>
          <w:rFonts w:ascii="宋体" w:hAnsi="宋体"/>
          <w:color w:val="FF0000"/>
          <w:szCs w:val="21"/>
        </w:rPr>
      </w:pPr>
      <w:bookmarkStart w:id="1" w:name="_Hlk73564573"/>
      <w:r>
        <w:rPr>
          <w:rFonts w:hint="eastAsia" w:ascii="宋体" w:hAnsi="宋体" w:eastAsia="黑体"/>
          <w:b/>
          <w:bCs/>
          <w:color w:val="FF0000"/>
          <w:kern w:val="44"/>
          <w:sz w:val="28"/>
          <w:szCs w:val="44"/>
        </w:rPr>
        <w:t>警示条款</w:t>
      </w:r>
    </w:p>
    <w:p w14:paraId="2BBF073D">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A857E22">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4E44C96C">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3FF023BA">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7A977B32">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205E2B32">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57ABE4B8">
      <w:pPr>
        <w:ind w:firstLine="400" w:firstLineChars="200"/>
        <w:rPr>
          <w:rFonts w:ascii="宋体" w:hAnsi="宋体"/>
          <w:color w:val="FF0000"/>
          <w:sz w:val="20"/>
          <w:szCs w:val="20"/>
        </w:rPr>
      </w:pPr>
      <w:r>
        <w:rPr>
          <w:rFonts w:hint="eastAsia" w:ascii="宋体" w:hAnsi="宋体"/>
          <w:color w:val="FF0000"/>
          <w:sz w:val="20"/>
          <w:szCs w:val="20"/>
        </w:rPr>
        <w:t>（六）恶意投诉的；</w:t>
      </w:r>
    </w:p>
    <w:p w14:paraId="78725296">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54D74C56">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62986538">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0B6FF75A">
      <w:pPr>
        <w:ind w:firstLine="400" w:firstLineChars="200"/>
        <w:rPr>
          <w:rFonts w:ascii="宋体" w:hAnsi="宋体"/>
          <w:color w:val="FF0000"/>
          <w:sz w:val="20"/>
          <w:szCs w:val="20"/>
        </w:rPr>
      </w:pPr>
      <w:r>
        <w:rPr>
          <w:rFonts w:hint="eastAsia" w:ascii="宋体" w:hAnsi="宋体"/>
          <w:color w:val="FF0000"/>
          <w:sz w:val="20"/>
          <w:szCs w:val="20"/>
        </w:rPr>
        <w:t>二、</w:t>
      </w:r>
      <w:r>
        <w:rPr>
          <w:rFonts w:hint="eastAsia" w:ascii="宋体" w:hAnsi="宋体"/>
          <w:b/>
          <w:bCs/>
          <w:color w:val="FF0000"/>
          <w:sz w:val="20"/>
          <w:szCs w:val="20"/>
        </w:rPr>
        <w:t>《深圳经济特区政府采购条例实施细则》第七十六条</w:t>
      </w:r>
      <w:r>
        <w:rPr>
          <w:rFonts w:hint="eastAsia" w:ascii="宋体" w:hAnsi="宋体"/>
          <w:color w:val="FF0000"/>
          <w:sz w:val="20"/>
          <w:szCs w:val="20"/>
        </w:rPr>
        <w:t xml:space="preserve"> 供应商有下列行为之一的，由主管部门记入供应商诚信档案并作出以下处罚：</w:t>
      </w:r>
    </w:p>
    <w:p w14:paraId="617101A6">
      <w:pPr>
        <w:ind w:firstLine="400" w:firstLineChars="200"/>
        <w:rPr>
          <w:rFonts w:ascii="宋体" w:hAnsi="宋体"/>
          <w:color w:val="FF0000"/>
          <w:sz w:val="20"/>
          <w:szCs w:val="20"/>
        </w:rPr>
      </w:pPr>
      <w:r>
        <w:rPr>
          <w:rFonts w:hint="eastAsia" w:ascii="宋体" w:hAnsi="宋体"/>
          <w:color w:val="FF0000"/>
          <w:sz w:val="20"/>
          <w:szCs w:val="20"/>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475921DC">
      <w:pPr>
        <w:ind w:firstLine="400" w:firstLineChars="200"/>
        <w:rPr>
          <w:rFonts w:ascii="宋体" w:hAnsi="宋体"/>
          <w:color w:val="FF0000"/>
          <w:sz w:val="20"/>
          <w:szCs w:val="20"/>
        </w:rPr>
      </w:pPr>
      <w:r>
        <w:rPr>
          <w:rFonts w:hint="eastAsia" w:ascii="宋体" w:hAnsi="宋体"/>
          <w:color w:val="FF0000"/>
          <w:sz w:val="20"/>
          <w:szCs w:val="20"/>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4174C59F">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供应商有下列行为之一的，属于情节严重，由市场监管部门依法吊销其营业执照，主管部门取消其参与本市政府采购的资格，并作出以下处罚：</w:t>
      </w:r>
    </w:p>
    <w:p w14:paraId="37CE304A">
      <w:pPr>
        <w:ind w:firstLine="400" w:firstLineChars="200"/>
        <w:rPr>
          <w:rFonts w:ascii="宋体" w:hAnsi="宋体"/>
          <w:color w:val="FF0000"/>
          <w:sz w:val="20"/>
          <w:szCs w:val="20"/>
        </w:rPr>
      </w:pPr>
      <w:r>
        <w:rPr>
          <w:rFonts w:hint="eastAsia" w:ascii="宋体" w:hAnsi="宋体"/>
          <w:color w:val="FF0000"/>
          <w:sz w:val="20"/>
          <w:szCs w:val="20"/>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7C1F6451">
      <w:pPr>
        <w:ind w:firstLine="400" w:firstLineChars="200"/>
        <w:rPr>
          <w:rFonts w:ascii="宋体" w:hAnsi="宋体"/>
          <w:color w:val="FF0000"/>
          <w:sz w:val="20"/>
          <w:szCs w:val="20"/>
        </w:rPr>
      </w:pPr>
      <w:r>
        <w:rPr>
          <w:rFonts w:hint="eastAsia" w:ascii="宋体" w:hAnsi="宋体"/>
          <w:color w:val="FF0000"/>
          <w:sz w:val="20"/>
          <w:szCs w:val="20"/>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5B5864AB">
      <w:pPr>
        <w:ind w:firstLine="402" w:firstLineChars="200"/>
        <w:rPr>
          <w:rFonts w:ascii="宋体" w:hAnsi="宋体"/>
          <w:color w:val="FF0000"/>
          <w:sz w:val="20"/>
          <w:szCs w:val="20"/>
        </w:rPr>
      </w:pPr>
      <w:r>
        <w:rPr>
          <w:rFonts w:hint="eastAsia" w:ascii="宋体" w:hAnsi="宋体"/>
          <w:b/>
          <w:bCs/>
          <w:color w:val="FF0000"/>
          <w:sz w:val="20"/>
          <w:szCs w:val="20"/>
        </w:rPr>
        <w:t>四、《深圳经济特区政府采购条例实施细则》第七十九条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691AEE07">
      <w:pPr>
        <w:ind w:firstLine="402" w:firstLineChars="200"/>
        <w:rPr>
          <w:rFonts w:ascii="宋体" w:hAnsi="宋体"/>
          <w:color w:val="FF0000"/>
          <w:sz w:val="20"/>
          <w:szCs w:val="20"/>
        </w:rPr>
      </w:pPr>
      <w:r>
        <w:rPr>
          <w:rFonts w:hint="eastAsia" w:ascii="宋体" w:hAnsi="宋体"/>
          <w:b/>
          <w:bCs/>
          <w:color w:val="FF0000"/>
          <w:sz w:val="20"/>
          <w:szCs w:val="20"/>
        </w:rPr>
        <w:t>五、《深圳经济特区政府采购条例实施细则》第八十一条 </w:t>
      </w:r>
      <w:r>
        <w:rPr>
          <w:rFonts w:hint="eastAsia" w:ascii="宋体" w:hAnsi="宋体"/>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492A70B0">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bookmarkEnd w:id="1"/>
    <w:p w14:paraId="7C31EA39">
      <w:pPr>
        <w:ind w:firstLine="400" w:firstLineChars="200"/>
        <w:rPr>
          <w:rFonts w:ascii="宋体" w:hAnsi="宋体"/>
          <w:color w:val="FF0000"/>
          <w:sz w:val="20"/>
          <w:szCs w:val="20"/>
        </w:rPr>
      </w:pPr>
    </w:p>
    <w:p w14:paraId="21F38831"/>
    <w:p w14:paraId="16BC8077">
      <w:pPr>
        <w:pStyle w:val="2"/>
      </w:pPr>
      <w:bookmarkStart w:id="2" w:name="_Hlk72218009"/>
      <w:r>
        <w:rPr>
          <w:rFonts w:hint="eastAsia"/>
        </w:rPr>
        <w:t>目   录</w:t>
      </w:r>
    </w:p>
    <w:p w14:paraId="589925B4">
      <w:pPr>
        <w:outlineLvl w:val="0"/>
        <w:rPr>
          <w:b/>
          <w:sz w:val="24"/>
        </w:rPr>
      </w:pPr>
      <w:r>
        <w:rPr>
          <w:rFonts w:hint="eastAsia"/>
          <w:b/>
          <w:sz w:val="24"/>
        </w:rPr>
        <w:t>第一册  专用条款</w:t>
      </w:r>
    </w:p>
    <w:p w14:paraId="06484761">
      <w:pPr>
        <w:rPr>
          <w:sz w:val="24"/>
        </w:rPr>
      </w:pPr>
      <w:r>
        <w:rPr>
          <w:rFonts w:hint="eastAsia"/>
          <w:sz w:val="24"/>
        </w:rPr>
        <w:t xml:space="preserve">          关键信息</w:t>
      </w:r>
    </w:p>
    <w:p w14:paraId="1DE717AD">
      <w:pPr>
        <w:ind w:left="630" w:leftChars="300" w:firstLine="630" w:firstLineChars="300"/>
        <w:outlineLvl w:val="0"/>
        <w:rPr>
          <w:rFonts w:ascii="宋体" w:hAnsi="宋体"/>
          <w:szCs w:val="21"/>
        </w:rPr>
      </w:pPr>
      <w:r>
        <w:rPr>
          <w:rFonts w:hint="eastAsia" w:ascii="宋体" w:hAnsi="宋体"/>
          <w:szCs w:val="21"/>
        </w:rPr>
        <w:t>第一章  招标公告</w:t>
      </w:r>
    </w:p>
    <w:p w14:paraId="45840D9B">
      <w:pPr>
        <w:ind w:left="630" w:leftChars="300" w:firstLine="630" w:firstLineChars="300"/>
        <w:outlineLvl w:val="0"/>
        <w:rPr>
          <w:rFonts w:ascii="宋体" w:hAnsi="宋体"/>
          <w:szCs w:val="21"/>
        </w:rPr>
      </w:pPr>
      <w:r>
        <w:rPr>
          <w:rFonts w:hint="eastAsia" w:ascii="宋体" w:hAnsi="宋体"/>
          <w:szCs w:val="21"/>
        </w:rPr>
        <w:t xml:space="preserve">第二章  </w:t>
      </w:r>
      <w:bookmarkStart w:id="3" w:name="_Hlk71994379"/>
      <w:r>
        <w:rPr>
          <w:rFonts w:hint="eastAsia" w:ascii="宋体" w:hAnsi="宋体"/>
          <w:szCs w:val="21"/>
        </w:rPr>
        <w:t>对通用条款的补充内容及其他关键信息</w:t>
      </w:r>
      <w:bookmarkEnd w:id="3"/>
    </w:p>
    <w:p w14:paraId="760AD144">
      <w:pPr>
        <w:ind w:left="630" w:leftChars="300" w:firstLine="630" w:firstLineChars="300"/>
        <w:outlineLvl w:val="0"/>
        <w:rPr>
          <w:rFonts w:ascii="宋体" w:hAnsi="宋体"/>
          <w:szCs w:val="21"/>
        </w:rPr>
      </w:pPr>
      <w:r>
        <w:rPr>
          <w:rFonts w:hint="eastAsia" w:ascii="宋体" w:hAnsi="宋体"/>
          <w:szCs w:val="21"/>
        </w:rPr>
        <w:t>第三章 用户需求书</w:t>
      </w:r>
    </w:p>
    <w:p w14:paraId="180B155E">
      <w:pPr>
        <w:ind w:left="630" w:leftChars="300" w:firstLine="630" w:firstLineChars="300"/>
        <w:outlineLvl w:val="0"/>
        <w:rPr>
          <w:rFonts w:ascii="宋体" w:hAnsi="宋体"/>
          <w:szCs w:val="21"/>
        </w:rPr>
      </w:pPr>
      <w:r>
        <w:rPr>
          <w:rFonts w:hint="eastAsia" w:ascii="宋体" w:hAnsi="宋体"/>
          <w:szCs w:val="21"/>
        </w:rPr>
        <w:t>第四章 投标文件组成要求及格式</w:t>
      </w:r>
    </w:p>
    <w:p w14:paraId="7C3F6DC5">
      <w:pPr>
        <w:ind w:left="630" w:leftChars="300" w:firstLine="630" w:firstLineChars="300"/>
        <w:outlineLvl w:val="0"/>
        <w:rPr>
          <w:rFonts w:ascii="宋体" w:hAnsi="宋体"/>
          <w:szCs w:val="21"/>
        </w:rPr>
      </w:pPr>
      <w:r>
        <w:rPr>
          <w:rFonts w:hint="eastAsia" w:ascii="宋体" w:hAnsi="宋体"/>
          <w:szCs w:val="21"/>
        </w:rPr>
        <w:t>第五章  合同条款及格式</w:t>
      </w:r>
    </w:p>
    <w:p w14:paraId="2863085E">
      <w:pPr>
        <w:rPr>
          <w:b/>
          <w:sz w:val="24"/>
        </w:rPr>
      </w:pPr>
    </w:p>
    <w:p w14:paraId="7A44C3E7">
      <w:pPr>
        <w:outlineLvl w:val="0"/>
        <w:rPr>
          <w:b/>
          <w:sz w:val="24"/>
        </w:rPr>
      </w:pPr>
      <w:r>
        <w:rPr>
          <w:rFonts w:hint="eastAsia"/>
          <w:b/>
          <w:sz w:val="24"/>
        </w:rPr>
        <w:t>第二册  通用条款</w:t>
      </w:r>
    </w:p>
    <w:p w14:paraId="3B1C793E">
      <w:pPr>
        <w:ind w:left="630" w:leftChars="300" w:firstLine="411" w:firstLineChars="196"/>
        <w:outlineLvl w:val="0"/>
        <w:rPr>
          <w:rFonts w:ascii="宋体" w:hAnsi="宋体"/>
          <w:szCs w:val="21"/>
        </w:rPr>
      </w:pPr>
      <w:r>
        <w:rPr>
          <w:rFonts w:hint="eastAsia" w:ascii="宋体" w:hAnsi="宋体"/>
          <w:szCs w:val="21"/>
        </w:rPr>
        <w:t>第一章  总则</w:t>
      </w:r>
    </w:p>
    <w:p w14:paraId="4E6410F8">
      <w:pPr>
        <w:ind w:left="630" w:leftChars="300" w:firstLine="411" w:firstLineChars="196"/>
        <w:outlineLvl w:val="0"/>
        <w:rPr>
          <w:rFonts w:ascii="宋体" w:hAnsi="宋体"/>
          <w:szCs w:val="21"/>
        </w:rPr>
      </w:pPr>
      <w:r>
        <w:rPr>
          <w:rFonts w:hint="eastAsia" w:ascii="宋体" w:hAnsi="宋体"/>
          <w:szCs w:val="21"/>
        </w:rPr>
        <w:t>第二章  招标文件</w:t>
      </w:r>
    </w:p>
    <w:p w14:paraId="6FEBE4F0">
      <w:pPr>
        <w:ind w:left="630" w:leftChars="300" w:firstLine="411" w:firstLineChars="196"/>
        <w:outlineLvl w:val="0"/>
        <w:rPr>
          <w:rFonts w:ascii="宋体" w:hAnsi="宋体"/>
          <w:szCs w:val="21"/>
        </w:rPr>
      </w:pPr>
      <w:r>
        <w:rPr>
          <w:rFonts w:hint="eastAsia" w:ascii="宋体" w:hAnsi="宋体"/>
          <w:szCs w:val="21"/>
        </w:rPr>
        <w:t>第三章  投标文件的编制</w:t>
      </w:r>
    </w:p>
    <w:p w14:paraId="47BACC24">
      <w:pPr>
        <w:ind w:left="630" w:leftChars="300" w:firstLine="411" w:firstLineChars="196"/>
        <w:outlineLvl w:val="0"/>
        <w:rPr>
          <w:rFonts w:ascii="宋体" w:hAnsi="宋体"/>
          <w:szCs w:val="21"/>
        </w:rPr>
      </w:pPr>
      <w:r>
        <w:rPr>
          <w:rFonts w:hint="eastAsia" w:ascii="宋体" w:hAnsi="宋体"/>
          <w:szCs w:val="21"/>
        </w:rPr>
        <w:t>第四章  投标文件的递交</w:t>
      </w:r>
    </w:p>
    <w:p w14:paraId="64364BC8">
      <w:pPr>
        <w:ind w:left="630" w:leftChars="300" w:firstLine="411" w:firstLineChars="196"/>
        <w:outlineLvl w:val="0"/>
        <w:rPr>
          <w:rFonts w:ascii="宋体" w:hAnsi="宋体"/>
          <w:szCs w:val="21"/>
        </w:rPr>
      </w:pPr>
      <w:r>
        <w:rPr>
          <w:rFonts w:hint="eastAsia" w:ascii="宋体" w:hAnsi="宋体"/>
          <w:szCs w:val="21"/>
        </w:rPr>
        <w:t>第五章  开标</w:t>
      </w:r>
    </w:p>
    <w:p w14:paraId="1206152B">
      <w:pPr>
        <w:ind w:left="630" w:leftChars="300" w:firstLine="411" w:firstLineChars="196"/>
        <w:outlineLvl w:val="0"/>
        <w:rPr>
          <w:rFonts w:ascii="宋体" w:hAnsi="宋体"/>
          <w:szCs w:val="21"/>
        </w:rPr>
      </w:pPr>
      <w:r>
        <w:rPr>
          <w:rFonts w:hint="eastAsia" w:ascii="宋体" w:hAnsi="宋体"/>
          <w:szCs w:val="21"/>
        </w:rPr>
        <w:t>第六章  评审要求</w:t>
      </w:r>
    </w:p>
    <w:p w14:paraId="0E66E07A">
      <w:pPr>
        <w:ind w:left="630" w:leftChars="300" w:firstLine="411" w:firstLineChars="196"/>
        <w:outlineLvl w:val="0"/>
        <w:rPr>
          <w:rFonts w:ascii="宋体" w:hAnsi="宋体"/>
          <w:szCs w:val="21"/>
        </w:rPr>
      </w:pPr>
      <w:r>
        <w:rPr>
          <w:rFonts w:hint="eastAsia" w:ascii="宋体" w:hAnsi="宋体"/>
          <w:szCs w:val="21"/>
        </w:rPr>
        <w:t>第七章  评审程序及评审方法</w:t>
      </w:r>
    </w:p>
    <w:p w14:paraId="1BBE513C">
      <w:pPr>
        <w:ind w:left="630" w:leftChars="300" w:firstLine="411" w:firstLineChars="196"/>
        <w:outlineLvl w:val="0"/>
        <w:rPr>
          <w:rFonts w:ascii="宋体" w:hAnsi="宋体"/>
          <w:szCs w:val="21"/>
        </w:rPr>
      </w:pPr>
      <w:r>
        <w:rPr>
          <w:rFonts w:hint="eastAsia" w:ascii="宋体" w:hAnsi="宋体"/>
          <w:szCs w:val="21"/>
        </w:rPr>
        <w:t>第八章  定标及公示</w:t>
      </w:r>
    </w:p>
    <w:p w14:paraId="6F3F2503">
      <w:pPr>
        <w:ind w:left="630" w:leftChars="300" w:firstLine="411" w:firstLineChars="196"/>
        <w:outlineLvl w:val="0"/>
        <w:rPr>
          <w:rFonts w:ascii="宋体" w:hAnsi="宋体"/>
          <w:szCs w:val="21"/>
        </w:rPr>
      </w:pPr>
      <w:r>
        <w:rPr>
          <w:rFonts w:hint="eastAsia" w:ascii="宋体" w:hAnsi="宋体"/>
          <w:szCs w:val="21"/>
        </w:rPr>
        <w:t>第九章  公开招标失败的后续处理</w:t>
      </w:r>
    </w:p>
    <w:p w14:paraId="647BE976">
      <w:pPr>
        <w:ind w:left="630" w:leftChars="300" w:firstLine="411" w:firstLineChars="196"/>
        <w:outlineLvl w:val="0"/>
        <w:rPr>
          <w:rFonts w:ascii="宋体" w:hAnsi="宋体"/>
          <w:szCs w:val="21"/>
        </w:rPr>
      </w:pPr>
      <w:r>
        <w:rPr>
          <w:rFonts w:hint="eastAsia" w:ascii="宋体" w:hAnsi="宋体"/>
          <w:szCs w:val="21"/>
        </w:rPr>
        <w:t>第十章  合同的授予与备案</w:t>
      </w:r>
    </w:p>
    <w:p w14:paraId="00B83A00">
      <w:pPr>
        <w:ind w:left="630" w:leftChars="300" w:firstLine="411" w:firstLineChars="196"/>
        <w:outlineLvl w:val="0"/>
        <w:rPr>
          <w:rFonts w:ascii="宋体" w:hAnsi="宋体"/>
          <w:szCs w:val="21"/>
        </w:rPr>
      </w:pPr>
      <w:r>
        <w:rPr>
          <w:rFonts w:hint="eastAsia" w:ascii="宋体" w:hAnsi="宋体"/>
          <w:szCs w:val="21"/>
        </w:rPr>
        <w:t>第十一章  质疑处理</w:t>
      </w:r>
    </w:p>
    <w:bookmarkEnd w:id="2"/>
    <w:p w14:paraId="3695B538">
      <w:pPr>
        <w:pStyle w:val="2"/>
        <w:rPr>
          <w:color w:val="FF0000"/>
          <w:sz w:val="24"/>
        </w:rPr>
      </w:pPr>
      <w:bookmarkStart w:id="4" w:name="bt合同格式"/>
      <w:bookmarkEnd w:id="4"/>
      <w:bookmarkStart w:id="5" w:name="bt其他资料由投标人自定"/>
      <w:bookmarkEnd w:id="5"/>
      <w:bookmarkStart w:id="6" w:name="bt开标一览表"/>
      <w:bookmarkEnd w:id="6"/>
      <w:bookmarkStart w:id="7" w:name="bt投标人情况介绍"/>
      <w:bookmarkEnd w:id="7"/>
      <w:bookmarkStart w:id="8" w:name="bt合同条款"/>
      <w:bookmarkEnd w:id="8"/>
      <w:bookmarkStart w:id="9" w:name="bt本工程承诺书"/>
      <w:bookmarkEnd w:id="9"/>
      <w:bookmarkStart w:id="10" w:name="bt投标报价汇总表"/>
      <w:bookmarkEnd w:id="10"/>
      <w:bookmarkStart w:id="11" w:name="bt投标函"/>
      <w:bookmarkEnd w:id="11"/>
      <w:bookmarkStart w:id="12" w:name="合同格式"/>
      <w:bookmarkEnd w:id="12"/>
      <w:bookmarkStart w:id="13" w:name="bt说明"/>
      <w:bookmarkEnd w:id="13"/>
      <w:bookmarkStart w:id="14" w:name="bt投标人须知"/>
      <w:bookmarkEnd w:id="14"/>
      <w:bookmarkStart w:id="15" w:name="bt投标文件签署授权委托书"/>
      <w:bookmarkEnd w:id="15"/>
      <w:bookmarkStart w:id="16" w:name="bt商务标投标文件格式"/>
      <w:bookmarkEnd w:id="16"/>
      <w:bookmarkStart w:id="17" w:name="bt其他资料2"/>
      <w:bookmarkEnd w:id="17"/>
      <w:bookmarkStart w:id="18" w:name="bt合同条款及格式"/>
      <w:bookmarkEnd w:id="18"/>
      <w:bookmarkStart w:id="19" w:name="bt项目管理班子配备情况"/>
      <w:bookmarkEnd w:id="19"/>
      <w:bookmarkStart w:id="20" w:name="bt技术标投标文件格式"/>
      <w:bookmarkEnd w:id="20"/>
      <w:r>
        <w:rPr>
          <w:rFonts w:hint="eastAsia"/>
        </w:rPr>
        <w:t>第一册  专用条款</w:t>
      </w:r>
    </w:p>
    <w:p w14:paraId="2855E70F">
      <w:pPr>
        <w:pStyle w:val="5"/>
        <w:rPr>
          <w:sz w:val="28"/>
          <w:szCs w:val="28"/>
        </w:rPr>
      </w:pPr>
      <w:r>
        <w:rPr>
          <w:rFonts w:hint="eastAsia"/>
          <w:sz w:val="28"/>
          <w:szCs w:val="28"/>
        </w:rPr>
        <w:t>第一章  招标公告</w:t>
      </w:r>
    </w:p>
    <w:tbl>
      <w:tblPr>
        <w:tblStyle w:val="43"/>
        <w:tblW w:w="4650" w:type="pct"/>
        <w:jc w:val="center"/>
        <w:tblCellSpacing w:w="0" w:type="dxa"/>
        <w:tblLayout w:type="autofit"/>
        <w:tblCellMar>
          <w:top w:w="30" w:type="dxa"/>
          <w:left w:w="30" w:type="dxa"/>
          <w:bottom w:w="30" w:type="dxa"/>
          <w:right w:w="30" w:type="dxa"/>
        </w:tblCellMar>
      </w:tblPr>
      <w:tblGrid>
        <w:gridCol w:w="7787"/>
      </w:tblGrid>
      <w:tr w14:paraId="6291C376">
        <w:tblPrEx>
          <w:tblCellMar>
            <w:top w:w="30" w:type="dxa"/>
            <w:left w:w="30" w:type="dxa"/>
            <w:bottom w:w="30" w:type="dxa"/>
            <w:right w:w="30" w:type="dxa"/>
          </w:tblCellMar>
        </w:tblPrEx>
        <w:trPr>
          <w:tblCellSpacing w:w="0" w:type="dxa"/>
          <w:jc w:val="center"/>
        </w:trPr>
        <w:tc>
          <w:tcPr>
            <w:tcW w:w="0" w:type="auto"/>
          </w:tcPr>
          <w:p w14:paraId="194A9D82">
            <w:pPr>
              <w:pStyle w:val="7"/>
              <w:spacing w:before="60" w:beforeLines="25" w:after="60" w:afterLines="25"/>
              <w:ind w:firstLine="392" w:firstLineChars="187"/>
            </w:pPr>
            <w:r>
              <w:t>  项目概况</w:t>
            </w:r>
          </w:p>
          <w:p w14:paraId="5E894EC8">
            <w:pPr>
              <w:pStyle w:val="7"/>
              <w:spacing w:before="60" w:beforeLines="25" w:after="60" w:afterLines="25"/>
              <w:ind w:firstLine="392" w:firstLineChars="187"/>
            </w:pPr>
            <w:r>
              <w:t xml:space="preserve">    深圳市眼科医院医用设备提升项目-流式细胞仪招标项目的潜在投标人应在（本公告附件中）获取招标文件，并于 2022年01月06日 09:30:00（北京时间）前递交投标文件。 </w:t>
            </w:r>
          </w:p>
          <w:p w14:paraId="54A029BB">
            <w:pPr>
              <w:pStyle w:val="7"/>
              <w:spacing w:before="60" w:beforeLines="25" w:after="60" w:afterLines="25"/>
              <w:ind w:firstLine="392" w:firstLineChars="187"/>
            </w:pPr>
          </w:p>
          <w:p w14:paraId="1F6DCFA4">
            <w:pPr>
              <w:pStyle w:val="7"/>
              <w:spacing w:before="60" w:beforeLines="25" w:after="60" w:afterLines="25"/>
              <w:ind w:firstLine="394" w:firstLineChars="187"/>
              <w:rPr>
                <w:b/>
                <w:bCs/>
              </w:rPr>
            </w:pPr>
            <w:r>
              <w:rPr>
                <w:b/>
                <w:bCs/>
              </w:rPr>
              <w:t>一、项目基本情况</w:t>
            </w:r>
          </w:p>
          <w:p w14:paraId="52C37ED9">
            <w:pPr>
              <w:pStyle w:val="7"/>
              <w:spacing w:before="60" w:beforeLines="25" w:after="60" w:afterLines="25"/>
              <w:ind w:firstLine="392" w:firstLineChars="187"/>
            </w:pPr>
            <w:r>
              <w:t>          1.项目编号：SZCG2021201783</w:t>
            </w:r>
          </w:p>
          <w:p w14:paraId="30E6347B">
            <w:pPr>
              <w:pStyle w:val="7"/>
              <w:spacing w:before="60" w:beforeLines="25" w:after="60" w:afterLines="25"/>
              <w:ind w:firstLine="392" w:firstLineChars="187"/>
            </w:pPr>
            <w:r>
              <w:t>          2.项目名称：深圳市眼科医院医用设备提升项目-流式细胞仪</w:t>
            </w:r>
          </w:p>
          <w:p w14:paraId="0A7830DF">
            <w:pPr>
              <w:pStyle w:val="7"/>
              <w:spacing w:before="60" w:beforeLines="25" w:after="60" w:afterLines="25"/>
              <w:ind w:firstLine="392" w:firstLineChars="187"/>
            </w:pPr>
            <w:r>
              <w:t>          3.预算金额：1400000.00（元）</w:t>
            </w:r>
          </w:p>
          <w:p w14:paraId="3FF79ADA">
            <w:pPr>
              <w:pStyle w:val="7"/>
              <w:spacing w:before="60" w:beforeLines="25" w:after="60" w:afterLines="25"/>
              <w:ind w:firstLine="392" w:firstLineChars="187"/>
            </w:pPr>
            <w:r>
              <w:t>          4.最高限价：无</w:t>
            </w:r>
          </w:p>
          <w:p w14:paraId="18FC6DBF">
            <w:pPr>
              <w:pStyle w:val="7"/>
              <w:spacing w:before="60" w:beforeLines="25" w:after="60" w:afterLines="25"/>
              <w:ind w:firstLine="392" w:firstLineChars="187"/>
            </w:pPr>
            <w:r>
              <w:t>          5.采购需求：</w:t>
            </w:r>
          </w:p>
          <w:tbl>
            <w:tblPr>
              <w:tblStyle w:val="43"/>
              <w:tblW w:w="5000" w:type="pct"/>
              <w:jc w:val="center"/>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Layout w:type="autofit"/>
              <w:tblCellMar>
                <w:top w:w="60" w:type="dxa"/>
                <w:left w:w="60" w:type="dxa"/>
                <w:bottom w:w="60" w:type="dxa"/>
                <w:right w:w="60" w:type="dxa"/>
              </w:tblCellMar>
            </w:tblPr>
            <w:tblGrid>
              <w:gridCol w:w="2244"/>
              <w:gridCol w:w="850"/>
              <w:gridCol w:w="710"/>
              <w:gridCol w:w="3328"/>
              <w:gridCol w:w="580"/>
            </w:tblGrid>
            <w:tr w14:paraId="22D4C4D8">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rPr>
                <w:jc w:val="center"/>
              </w:trPr>
              <w:tc>
                <w:tcPr>
                  <w:tcW w:w="1455" w:type="pct"/>
                  <w:tcBorders>
                    <w:top w:val="outset" w:color="AAAAAA" w:sz="6" w:space="0"/>
                    <w:left w:val="outset" w:color="AAAAAA" w:sz="6" w:space="0"/>
                    <w:bottom w:val="outset" w:color="AAAAAA" w:sz="6" w:space="0"/>
                    <w:right w:val="outset" w:color="AAAAAA" w:sz="6" w:space="0"/>
                  </w:tcBorders>
                  <w:shd w:val="clear" w:color="auto" w:fill="ABCDEF"/>
                  <w:vAlign w:val="center"/>
                </w:tcPr>
                <w:p w14:paraId="270AF5FB">
                  <w:pPr>
                    <w:pStyle w:val="7"/>
                    <w:spacing w:before="60" w:beforeLines="25" w:after="60" w:afterLines="25"/>
                    <w:ind w:firstLine="0"/>
                    <w:jc w:val="center"/>
                  </w:pPr>
                  <w:r>
                    <w:t>标的名称</w:t>
                  </w:r>
                </w:p>
              </w:tc>
              <w:tc>
                <w:tcPr>
                  <w:tcW w:w="551" w:type="pct"/>
                  <w:tcBorders>
                    <w:top w:val="outset" w:color="AAAAAA" w:sz="6" w:space="0"/>
                    <w:left w:val="outset" w:color="AAAAAA" w:sz="6" w:space="0"/>
                    <w:bottom w:val="outset" w:color="AAAAAA" w:sz="6" w:space="0"/>
                    <w:right w:val="outset" w:color="AAAAAA" w:sz="6" w:space="0"/>
                  </w:tcBorders>
                  <w:shd w:val="clear" w:color="auto" w:fill="ABCDEF"/>
                  <w:vAlign w:val="center"/>
                </w:tcPr>
                <w:p w14:paraId="6A8B5D7F">
                  <w:pPr>
                    <w:pStyle w:val="7"/>
                    <w:spacing w:before="60" w:beforeLines="25" w:after="60" w:afterLines="25"/>
                    <w:ind w:firstLine="0"/>
                    <w:jc w:val="center"/>
                  </w:pPr>
                  <w:r>
                    <w:t>数量</w:t>
                  </w:r>
                </w:p>
              </w:tc>
              <w:tc>
                <w:tcPr>
                  <w:tcW w:w="460" w:type="pct"/>
                  <w:tcBorders>
                    <w:top w:val="outset" w:color="AAAAAA" w:sz="6" w:space="0"/>
                    <w:left w:val="outset" w:color="AAAAAA" w:sz="6" w:space="0"/>
                    <w:bottom w:val="outset" w:color="AAAAAA" w:sz="6" w:space="0"/>
                    <w:right w:val="outset" w:color="AAAAAA" w:sz="6" w:space="0"/>
                  </w:tcBorders>
                  <w:shd w:val="clear" w:color="auto" w:fill="ABCDEF"/>
                  <w:vAlign w:val="center"/>
                </w:tcPr>
                <w:p w14:paraId="7F8EBDA1">
                  <w:pPr>
                    <w:pStyle w:val="7"/>
                    <w:spacing w:before="60" w:beforeLines="25" w:after="60" w:afterLines="25"/>
                    <w:ind w:firstLine="0"/>
                    <w:jc w:val="center"/>
                  </w:pPr>
                  <w:r>
                    <w:t>单位</w:t>
                  </w:r>
                </w:p>
              </w:tc>
              <w:tc>
                <w:tcPr>
                  <w:tcW w:w="2158" w:type="pct"/>
                  <w:tcBorders>
                    <w:top w:val="outset" w:color="AAAAAA" w:sz="6" w:space="0"/>
                    <w:left w:val="outset" w:color="AAAAAA" w:sz="6" w:space="0"/>
                    <w:bottom w:val="outset" w:color="AAAAAA" w:sz="6" w:space="0"/>
                    <w:right w:val="outset" w:color="AAAAAA" w:sz="6" w:space="0"/>
                  </w:tcBorders>
                  <w:shd w:val="clear" w:color="auto" w:fill="ABCDEF"/>
                  <w:vAlign w:val="center"/>
                </w:tcPr>
                <w:p w14:paraId="220DCA4B">
                  <w:pPr>
                    <w:pStyle w:val="7"/>
                    <w:spacing w:before="60" w:beforeLines="25" w:after="60" w:afterLines="25"/>
                    <w:ind w:firstLine="0"/>
                    <w:jc w:val="center"/>
                  </w:pPr>
                  <w:r>
                    <w:t>简要技术需求（服务需求）</w:t>
                  </w:r>
                </w:p>
              </w:tc>
              <w:tc>
                <w:tcPr>
                  <w:tcW w:w="0" w:type="auto"/>
                  <w:tcBorders>
                    <w:top w:val="outset" w:color="AAAAAA" w:sz="6" w:space="0"/>
                    <w:left w:val="outset" w:color="AAAAAA" w:sz="6" w:space="0"/>
                    <w:bottom w:val="outset" w:color="AAAAAA" w:sz="6" w:space="0"/>
                    <w:right w:val="outset" w:color="AAAAAA" w:sz="6" w:space="0"/>
                  </w:tcBorders>
                  <w:shd w:val="clear" w:color="auto" w:fill="ABCDEF"/>
                  <w:vAlign w:val="center"/>
                </w:tcPr>
                <w:p w14:paraId="06165C04">
                  <w:pPr>
                    <w:pStyle w:val="7"/>
                    <w:spacing w:before="60" w:beforeLines="25" w:after="60" w:afterLines="25"/>
                    <w:ind w:firstLine="0"/>
                  </w:pPr>
                  <w:r>
                    <w:t>备注</w:t>
                  </w:r>
                </w:p>
              </w:tc>
            </w:tr>
            <w:tr w14:paraId="1663D00D">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rPr>
                <w:jc w:val="center"/>
              </w:trPr>
              <w:tc>
                <w:tcPr>
                  <w:tcW w:w="1455" w:type="pct"/>
                  <w:tcBorders>
                    <w:top w:val="outset" w:color="AAAAAA" w:sz="6" w:space="0"/>
                    <w:left w:val="outset" w:color="AAAAAA" w:sz="6" w:space="0"/>
                    <w:bottom w:val="outset" w:color="AAAAAA" w:sz="6" w:space="0"/>
                    <w:right w:val="outset" w:color="AAAAAA" w:sz="6" w:space="0"/>
                  </w:tcBorders>
                  <w:vAlign w:val="center"/>
                </w:tcPr>
                <w:p w14:paraId="57905F92">
                  <w:pPr>
                    <w:pStyle w:val="7"/>
                    <w:spacing w:before="60" w:beforeLines="25" w:after="60" w:afterLines="25"/>
                    <w:ind w:firstLine="0"/>
                    <w:jc w:val="center"/>
                  </w:pPr>
                  <w:r>
                    <w:t>医用设备提升项目-流式细胞仪</w:t>
                  </w:r>
                </w:p>
              </w:tc>
              <w:tc>
                <w:tcPr>
                  <w:tcW w:w="551" w:type="pct"/>
                  <w:tcBorders>
                    <w:top w:val="outset" w:color="AAAAAA" w:sz="6" w:space="0"/>
                    <w:left w:val="outset" w:color="AAAAAA" w:sz="6" w:space="0"/>
                    <w:bottom w:val="outset" w:color="AAAAAA" w:sz="6" w:space="0"/>
                    <w:right w:val="outset" w:color="AAAAAA" w:sz="6" w:space="0"/>
                  </w:tcBorders>
                  <w:vAlign w:val="center"/>
                </w:tcPr>
                <w:p w14:paraId="58AF3A5B">
                  <w:pPr>
                    <w:pStyle w:val="7"/>
                    <w:spacing w:before="60" w:beforeLines="25" w:after="60" w:afterLines="25"/>
                    <w:ind w:firstLine="0"/>
                    <w:jc w:val="center"/>
                  </w:pPr>
                  <w:r>
                    <w:t>1.0</w:t>
                  </w:r>
                </w:p>
              </w:tc>
              <w:tc>
                <w:tcPr>
                  <w:tcW w:w="460" w:type="pct"/>
                  <w:tcBorders>
                    <w:top w:val="outset" w:color="AAAAAA" w:sz="6" w:space="0"/>
                    <w:left w:val="outset" w:color="AAAAAA" w:sz="6" w:space="0"/>
                    <w:bottom w:val="outset" w:color="AAAAAA" w:sz="6" w:space="0"/>
                    <w:right w:val="outset" w:color="AAAAAA" w:sz="6" w:space="0"/>
                  </w:tcBorders>
                  <w:vAlign w:val="center"/>
                </w:tcPr>
                <w:p w14:paraId="555E987D">
                  <w:pPr>
                    <w:pStyle w:val="7"/>
                    <w:spacing w:before="60" w:beforeLines="25" w:after="60" w:afterLines="25"/>
                    <w:ind w:firstLine="0"/>
                    <w:jc w:val="center"/>
                  </w:pPr>
                  <w:r>
                    <w:t>套</w:t>
                  </w:r>
                </w:p>
              </w:tc>
              <w:tc>
                <w:tcPr>
                  <w:tcW w:w="2158" w:type="pct"/>
                  <w:tcBorders>
                    <w:top w:val="outset" w:color="AAAAAA" w:sz="6" w:space="0"/>
                    <w:left w:val="outset" w:color="AAAAAA" w:sz="6" w:space="0"/>
                    <w:bottom w:val="outset" w:color="AAAAAA" w:sz="6" w:space="0"/>
                    <w:right w:val="outset" w:color="AAAAAA" w:sz="6" w:space="0"/>
                  </w:tcBorders>
                  <w:vAlign w:val="center"/>
                </w:tcPr>
                <w:p w14:paraId="290CCEAD">
                  <w:pPr>
                    <w:pStyle w:val="7"/>
                    <w:spacing w:before="60" w:beforeLines="25" w:after="60" w:afterLines="25"/>
                    <w:ind w:firstLine="0"/>
                    <w:jc w:val="center"/>
                  </w:pPr>
                  <w:r>
                    <w:t>详见招标文件</w:t>
                  </w:r>
                </w:p>
              </w:tc>
              <w:tc>
                <w:tcPr>
                  <w:tcW w:w="0" w:type="auto"/>
                  <w:tcBorders>
                    <w:top w:val="outset" w:color="AAAAAA" w:sz="6" w:space="0"/>
                    <w:left w:val="outset" w:color="AAAAAA" w:sz="6" w:space="0"/>
                    <w:bottom w:val="outset" w:color="AAAAAA" w:sz="6" w:space="0"/>
                    <w:right w:val="outset" w:color="AAAAAA" w:sz="6" w:space="0"/>
                  </w:tcBorders>
                  <w:vAlign w:val="center"/>
                </w:tcPr>
                <w:p w14:paraId="6B617F76">
                  <w:pPr>
                    <w:pStyle w:val="7"/>
                    <w:spacing w:before="60" w:beforeLines="25" w:after="60" w:afterLines="25"/>
                    <w:ind w:firstLine="0"/>
                    <w:jc w:val="center"/>
                  </w:pPr>
                  <w:r>
                    <w:rPr>
                      <w:rFonts w:hint="eastAsia"/>
                    </w:rPr>
                    <w:t>/</w:t>
                  </w:r>
                </w:p>
              </w:tc>
            </w:tr>
          </w:tbl>
          <w:p w14:paraId="0E3131B5">
            <w:pPr>
              <w:pStyle w:val="7"/>
              <w:spacing w:before="60" w:beforeLines="25" w:after="60" w:afterLines="25"/>
              <w:ind w:firstLine="392" w:firstLineChars="187"/>
            </w:pPr>
            <w:r>
              <w:t>          6.合同履行期限：详见招标文件</w:t>
            </w:r>
          </w:p>
          <w:p w14:paraId="104C9BF6">
            <w:pPr>
              <w:pStyle w:val="7"/>
              <w:spacing w:before="60" w:beforeLines="25" w:after="60" w:afterLines="25"/>
              <w:ind w:firstLine="392" w:firstLineChars="187"/>
            </w:pPr>
            <w:r>
              <w:t>          7.本项目（是/否）接受联合体投标：详见“申请人的资格要求”。</w:t>
            </w:r>
          </w:p>
          <w:p w14:paraId="6607F07A">
            <w:pPr>
              <w:pStyle w:val="7"/>
              <w:spacing w:before="60" w:beforeLines="25" w:after="60" w:afterLines="25"/>
              <w:ind w:firstLine="394" w:firstLineChars="187"/>
              <w:rPr>
                <w:b/>
                <w:bCs/>
              </w:rPr>
            </w:pPr>
            <w:r>
              <w:rPr>
                <w:b/>
                <w:bCs/>
              </w:rPr>
              <w:t>二、申请人的资格要求：</w:t>
            </w:r>
          </w:p>
          <w:p w14:paraId="59A1566E">
            <w:pPr>
              <w:pStyle w:val="7"/>
              <w:spacing w:before="60" w:beforeLines="25" w:after="60" w:afterLines="25"/>
              <w:ind w:firstLine="392" w:firstLineChars="187"/>
            </w:pPr>
            <w:r>
              <w:rPr>
                <w:rFonts w:hint="eastAsia"/>
              </w:rPr>
              <w:t>1.具有独立法人资格或是具有独立承担民事责任能力的其它组织（提供营业执照或事业单位法人证书等证明资料扫描件，原件备查）；</w:t>
            </w:r>
          </w:p>
          <w:p w14:paraId="1D7D9932">
            <w:pPr>
              <w:pStyle w:val="7"/>
              <w:spacing w:before="60" w:beforeLines="25" w:after="60" w:afterLines="25"/>
              <w:ind w:firstLine="394" w:firstLineChars="187"/>
              <w:rPr>
                <w:b/>
                <w:bCs/>
                <w:color w:val="FF0000"/>
              </w:rPr>
            </w:pPr>
            <w:r>
              <w:rPr>
                <w:rFonts w:hint="eastAsia"/>
                <w:b/>
                <w:bCs/>
                <w:color w:val="FF0000"/>
              </w:rPr>
              <w:t>2.本项目不接受联合体投标，接受投标人选用进口产品参与投标；</w:t>
            </w:r>
          </w:p>
          <w:p w14:paraId="766AE7D4">
            <w:pPr>
              <w:pStyle w:val="7"/>
              <w:spacing w:before="60" w:beforeLines="25" w:after="60" w:afterLines="25"/>
              <w:ind w:firstLine="392" w:firstLineChars="187"/>
            </w:pPr>
            <w:r>
              <w:rPr>
                <w:rFonts w:hint="eastAsia"/>
              </w:rPr>
              <w:t>3.参与本项目投标前三年内，在经营活动中没有重大违法记录（由供应商在《政府采购投标及履约承诺函》中作出声明）；</w:t>
            </w:r>
          </w:p>
          <w:p w14:paraId="7E4CB9F5">
            <w:pPr>
              <w:pStyle w:val="7"/>
              <w:spacing w:before="60" w:beforeLines="25" w:after="60" w:afterLines="25"/>
              <w:ind w:firstLine="392" w:firstLineChars="187"/>
            </w:pPr>
            <w:r>
              <w:rPr>
                <w:rFonts w:hint="eastAsia"/>
              </w:rPr>
              <w:t>4.参与本项目政府采购活动时不存在被有关部门禁止参与政府采购活动且在有效期内的情况（由供应商在《政府采购投标及履约承诺函》中作出声明）；</w:t>
            </w:r>
          </w:p>
          <w:p w14:paraId="6086D547">
            <w:pPr>
              <w:pStyle w:val="7"/>
              <w:spacing w:before="60" w:beforeLines="25" w:after="60" w:afterLines="25"/>
              <w:ind w:firstLine="392" w:firstLineChars="187"/>
            </w:pPr>
            <w:r>
              <w:rPr>
                <w:rFonts w:hint="eastAsia"/>
              </w:rPr>
              <w:t>5.具备《中华人民共和国政府采购法》第二十二条第一款的条件（由供应商在《政府采购投标及履约承诺函》中作出声明）；</w:t>
            </w:r>
          </w:p>
          <w:p w14:paraId="2FB0E693">
            <w:pPr>
              <w:pStyle w:val="7"/>
              <w:spacing w:before="60" w:beforeLines="25" w:after="60" w:afterLines="25"/>
              <w:ind w:firstLine="392" w:firstLineChars="187"/>
            </w:pPr>
            <w:r>
              <w:rPr>
                <w:rFonts w:hint="eastAsia"/>
              </w:rPr>
              <w:t>6.未被列入失信被执行人、重大税收违法案件当事人名单、政府采购严重违法失信行为记录名单（由供应商在《政府采购投标及履约承诺函》中作出声明）。</w:t>
            </w:r>
          </w:p>
          <w:p w14:paraId="308A70D1">
            <w:pPr>
              <w:pStyle w:val="7"/>
              <w:spacing w:before="60" w:beforeLines="25" w:after="60" w:afterLines="25"/>
              <w:ind w:firstLine="392" w:firstLineChars="187"/>
            </w:pPr>
            <w:r>
              <w:rPr>
                <w:rFonts w:hint="eastAsia"/>
              </w:rPr>
              <w:t>注：（1）“信用中国”、“中国政府采购网”、“深圳信用网”以及“深圳市政府采购监管网”为供应商信用信息的查询渠道，相关信息以开标当日的查询结果为准；</w:t>
            </w:r>
          </w:p>
          <w:p w14:paraId="4A16CC7B">
            <w:pPr>
              <w:pStyle w:val="7"/>
              <w:spacing w:before="60" w:beforeLines="25" w:after="60" w:afterLines="25"/>
              <w:ind w:firstLine="392" w:firstLineChars="187"/>
            </w:pPr>
            <w:r>
              <w:rPr>
                <w:rFonts w:hint="eastAsia"/>
              </w:rPr>
              <w:t>（2）供应商投标（上传投标文件）必须先行办理注册手续，具体请按照本公告“六、其他补充事宜”相关内容指引办理。</w:t>
            </w:r>
          </w:p>
          <w:p w14:paraId="67AF5A41">
            <w:pPr>
              <w:pStyle w:val="7"/>
              <w:spacing w:before="60" w:beforeLines="25" w:after="60" w:afterLines="25"/>
              <w:ind w:firstLine="394" w:firstLineChars="187"/>
              <w:rPr>
                <w:b/>
                <w:bCs/>
              </w:rPr>
            </w:pPr>
            <w:r>
              <w:rPr>
                <w:b/>
                <w:bCs/>
              </w:rPr>
              <w:t>三、获取招标文件</w:t>
            </w:r>
          </w:p>
          <w:p w14:paraId="4D266C12">
            <w:pPr>
              <w:pStyle w:val="7"/>
              <w:spacing w:before="60" w:beforeLines="25" w:after="60" w:afterLines="25"/>
              <w:ind w:firstLine="392" w:firstLineChars="187"/>
            </w:pPr>
            <w:r>
              <w:t xml:space="preserve">          时间：2021年12月24日 18:00:00至2022年01月06日 09:30:00（北京时间）每天上午00:00至12:00，下午12:00至24:00。 </w:t>
            </w:r>
            <w:r>
              <w:br w:type="textWrapping"/>
            </w:r>
            <w:r>
              <w:t xml:space="preserve">          地点：登录深圳公共资源交易网（http://www.szggzy.com/）下载本项目的招标文件。 </w:t>
            </w:r>
            <w:r>
              <w:br w:type="textWrapping"/>
            </w:r>
            <w:r>
              <w:t xml:space="preserve">          方式：在线下载。 </w:t>
            </w:r>
            <w:r>
              <w:br w:type="textWrapping"/>
            </w:r>
            <w:r>
              <w:t xml:space="preserve">          售价：免费。 </w:t>
            </w:r>
          </w:p>
          <w:p w14:paraId="560CBD10">
            <w:pPr>
              <w:pStyle w:val="7"/>
              <w:spacing w:before="60" w:beforeLines="25" w:after="60" w:afterLines="25"/>
              <w:ind w:firstLine="394" w:firstLineChars="187"/>
              <w:rPr>
                <w:b/>
                <w:bCs/>
              </w:rPr>
            </w:pPr>
            <w:r>
              <w:rPr>
                <w:b/>
                <w:bCs/>
              </w:rPr>
              <w:t>四、提交投标文件截止时间、开标时间和地点</w:t>
            </w:r>
          </w:p>
          <w:p w14:paraId="41BDF670">
            <w:pPr>
              <w:pStyle w:val="7"/>
              <w:spacing w:before="60" w:beforeLines="25" w:after="60" w:afterLines="25"/>
              <w:ind w:firstLine="392" w:firstLineChars="187"/>
            </w:pPr>
            <w:r>
              <w:t xml:space="preserve">          时间：2022年01月06日 09:30:00（北京时间） </w:t>
            </w:r>
            <w:r>
              <w:br w:type="textWrapping"/>
            </w:r>
            <w:r>
              <w:t>          地点：深圳公共资源交易中心（深圳交易集团有限公司政府采购业务分公司）</w:t>
            </w:r>
          </w:p>
          <w:p w14:paraId="2FA4088C">
            <w:pPr>
              <w:pStyle w:val="7"/>
              <w:spacing w:before="60" w:beforeLines="25" w:after="60" w:afterLines="25"/>
              <w:ind w:firstLine="394" w:firstLineChars="187"/>
              <w:rPr>
                <w:b/>
                <w:bCs/>
              </w:rPr>
            </w:pPr>
            <w:r>
              <w:rPr>
                <w:b/>
                <w:bCs/>
              </w:rPr>
              <w:t>五、公告期限</w:t>
            </w:r>
          </w:p>
          <w:p w14:paraId="42E89EE1">
            <w:pPr>
              <w:pStyle w:val="7"/>
              <w:spacing w:before="60" w:beforeLines="25" w:after="60" w:afterLines="25"/>
              <w:ind w:firstLine="392" w:firstLineChars="187"/>
            </w:pPr>
            <w:r>
              <w:t>          自本公告发布之日起5个工作日。</w:t>
            </w:r>
          </w:p>
          <w:p w14:paraId="7123E42B">
            <w:pPr>
              <w:pStyle w:val="7"/>
              <w:spacing w:before="60" w:beforeLines="25" w:after="60" w:afterLines="25"/>
              <w:ind w:firstLine="394" w:firstLineChars="187"/>
              <w:rPr>
                <w:b/>
                <w:bCs/>
              </w:rPr>
            </w:pPr>
            <w:r>
              <w:rPr>
                <w:b/>
                <w:bCs/>
              </w:rPr>
              <w:t>六、其他补充事宜</w:t>
            </w:r>
          </w:p>
          <w:p w14:paraId="08F53BF0">
            <w:pPr>
              <w:pStyle w:val="7"/>
              <w:spacing w:before="60" w:beforeLines="25" w:after="60" w:afterLines="25"/>
              <w:ind w:firstLine="392" w:firstLineChars="187"/>
            </w:pPr>
            <w:r>
              <w:t>          1.本项目实行网上投标，采用电子投标文件。</w:t>
            </w:r>
          </w:p>
          <w:p w14:paraId="43091278">
            <w:pPr>
              <w:pStyle w:val="7"/>
              <w:spacing w:before="60" w:beforeLines="25" w:after="60" w:afterLines="25"/>
              <w:ind w:firstLine="392" w:firstLineChars="187"/>
            </w:pPr>
            <w:r>
              <w:t>          2.报名操作：投标人如确定参加投标，首先要在深圳公共资源交易网（http://www.szggzy.com/）上报名投标，方法为登录深圳公共资源交易网（http://www.szggzy.com/）后点击“应标管理→投标响应”或“应标管理→确认邀请”；如果网上报名后又不参加投标，应再到【应标管理】→【投标响应】功能点中点击“撤销响应”；如果网上报名后上传了投标文件，又不参加投标，应再到【应标管理】→【上传投标文件】功能点中进行“撤标”操作；如果是未注册为深圳政府采购的供应商，请访问深圳公共资源交易网（http://www.szggzy.com/），先办理注册手续，再进行投标报名。在网上报名后，点击“应标管理→下载招标文件”进行招标文件的下载。</w:t>
            </w:r>
          </w:p>
          <w:p w14:paraId="4E166CD8">
            <w:pPr>
              <w:pStyle w:val="7"/>
              <w:spacing w:before="60" w:beforeLines="25" w:after="60" w:afterLines="25"/>
              <w:ind w:firstLine="392" w:firstLineChars="187"/>
            </w:pPr>
            <w:r>
              <w:t>          3.投标操作：具体操作为登录“深圳公共资源交易网”（http://www.szggzy.com/），用“应标管理→上传投标文件”功能点上传投标文件。本项目电子投标文件最大容量为100MB，超过此容量的文件将被拒绝。</w:t>
            </w:r>
          </w:p>
          <w:p w14:paraId="4D5A7FD9">
            <w:pPr>
              <w:pStyle w:val="7"/>
              <w:spacing w:before="60" w:beforeLines="25" w:after="60" w:afterLines="25"/>
              <w:ind w:firstLine="392" w:firstLineChars="187"/>
            </w:pPr>
            <w:r>
              <w:t>          4.开标操作：供应商可以登录“深圳公共资源交易中心（深圳交易集团有限公司政府采购业务分公司）网站”，在系统登录首页面即可查看开标情况。</w:t>
            </w:r>
          </w:p>
          <w:p w14:paraId="23E77875">
            <w:pPr>
              <w:pStyle w:val="7"/>
              <w:spacing w:before="60" w:beforeLines="25" w:after="60" w:afterLines="25"/>
              <w:ind w:firstLine="392" w:firstLineChars="187"/>
            </w:pPr>
            <w:r>
              <w:t>          5.采购文件澄清/修改事项：2022年01月01日 00:00（北京时间）时前，供应商如认为采购文件存在不明确、不清晰和前后不一致等问题，要求对采购文件作出澄清的，可登录深圳公共资源交易网（http://www.szggzy.com/），在“应标管理→提出采购文件澄清要求”功能点中填写需澄清内容。2022年01月03日 00:00（北京时间）前将采购文件澄清/修改情况在“应标管理→采购文件澄清/修改查询”中公布，望投标人予以关注。</w:t>
            </w:r>
          </w:p>
          <w:p w14:paraId="0204E511">
            <w:pPr>
              <w:pStyle w:val="7"/>
              <w:spacing w:before="60" w:beforeLines="25" w:after="60" w:afterLines="25"/>
              <w:ind w:firstLine="392" w:firstLineChars="187"/>
            </w:pPr>
            <w:r>
              <w:t>          （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中心（深圳交易集团有限公司政府采购业务分公司）网页（http://www.szzfcg.cn/portal/documentView.do?method=view&amp;id=597839319）所发布的质疑指引、质疑函模板填写质疑函并提交质疑材料。质疑材料可以采用现场或邮寄方式提交，采用邮寄方式提交的，交邮时间应在本公告发布之日起七个工作日内。现场提交、邮寄地址：深圳市福田区景田东路70号雅枫国际酒店北门三楼309室。质疑咨询电话：0755-83948143。根据《深圳经济特区政府采购条例》第四十二条“供应商投诉的事项应当是经过质疑的事项”的规定，未经正式质疑的，将影响供应商行使向财政部门提起投诉的权利。）</w:t>
            </w:r>
          </w:p>
          <w:p w14:paraId="10D4785F">
            <w:pPr>
              <w:pStyle w:val="7"/>
              <w:spacing w:before="60" w:beforeLines="25" w:after="60" w:afterLines="25"/>
              <w:ind w:firstLine="392" w:firstLineChars="187"/>
            </w:pPr>
            <w:r>
              <w:t>          6.深圳公共资源交易中心（深圳交易集团有限公司政府采购业务分公司）有权对中标供应商就本项目要求提供的相关证明资料（原件）进行审查。供应商提供虚假资料被查实的，则可能面临被取消本项目中标资格、列入不良行为记录名单和三年内禁止参与深圳市政府采购活动的风险。</w:t>
            </w:r>
          </w:p>
          <w:p w14:paraId="421A9B06">
            <w:pPr>
              <w:pStyle w:val="7"/>
              <w:spacing w:before="60" w:beforeLines="25" w:after="60" w:afterLines="25"/>
              <w:ind w:firstLine="392" w:firstLineChars="187"/>
            </w:pPr>
            <w:r>
              <w:t>          7.本招标公告及本项目招标文件所涉及的时间一律为北京时间。投标人有义务在招标活动期间浏览深圳公共资源交易网（http://www.szggzy.com/），在深圳公共资源交易网（http://www.szggzy.com/）上公布的与本次招标项目有关的信息视为已送达各投标人。</w:t>
            </w:r>
          </w:p>
          <w:p w14:paraId="11B9FCBD">
            <w:pPr>
              <w:pStyle w:val="7"/>
              <w:spacing w:before="60" w:beforeLines="25" w:after="60" w:afterLines="25"/>
              <w:ind w:firstLine="392" w:firstLineChars="187"/>
            </w:pPr>
            <w:r>
              <w:t>          8.本项目不需要投标保证金。</w:t>
            </w:r>
          </w:p>
          <w:p w14:paraId="2721A40C">
            <w:pPr>
              <w:pStyle w:val="7"/>
              <w:spacing w:before="60" w:beforeLines="25" w:after="60" w:afterLines="25"/>
              <w:ind w:firstLine="394" w:firstLineChars="187"/>
              <w:rPr>
                <w:b/>
                <w:bCs/>
              </w:rPr>
            </w:pPr>
            <w:r>
              <w:rPr>
                <w:b/>
                <w:bCs/>
              </w:rPr>
              <w:t>七、对本次招标提出询问，请按以下方式联系。</w:t>
            </w:r>
          </w:p>
          <w:p w14:paraId="509F1B7A">
            <w:pPr>
              <w:pStyle w:val="7"/>
              <w:numPr>
                <w:ilvl w:val="0"/>
                <w:numId w:val="8"/>
              </w:numPr>
              <w:spacing w:before="60" w:beforeLines="25" w:after="60" w:afterLines="25"/>
              <w:ind w:firstLine="392" w:firstLineChars="187"/>
            </w:pPr>
            <w:r>
              <w:t xml:space="preserve">采购人信息 </w:t>
            </w:r>
            <w:r>
              <w:br w:type="textWrapping"/>
            </w:r>
            <w:r>
              <w:t xml:space="preserve">名 称：深圳市眼科医院 </w:t>
            </w:r>
            <w:r>
              <w:br w:type="textWrapping"/>
            </w:r>
            <w:r>
              <w:t xml:space="preserve">地址：福田区泽田路18号 </w:t>
            </w:r>
            <w:r>
              <w:br w:type="textWrapping"/>
            </w:r>
            <w:r>
              <w:t xml:space="preserve">联系方式：0755-23959569 </w:t>
            </w:r>
          </w:p>
          <w:p w14:paraId="02EDFD3A">
            <w:pPr>
              <w:pStyle w:val="7"/>
              <w:numPr>
                <w:ilvl w:val="0"/>
                <w:numId w:val="8"/>
              </w:numPr>
              <w:spacing w:before="60" w:beforeLines="25" w:after="60" w:afterLines="25"/>
              <w:ind w:firstLine="392" w:firstLineChars="187"/>
            </w:pPr>
            <w:r>
              <w:t xml:space="preserve">采购代理机构信息 </w:t>
            </w:r>
            <w:r>
              <w:br w:type="textWrapping"/>
            </w:r>
            <w:r>
              <w:t xml:space="preserve">名 称：深圳公共资源交易中心，具体由深圳公共资源交易中心（深圳交易集团有限公司政府采购业务分公司）组织实施 </w:t>
            </w:r>
            <w:r>
              <w:br w:type="textWrapping"/>
            </w:r>
            <w:r>
              <w:t xml:space="preserve">地　址：深圳市福田区景田路70号雅枫国际酒店北侧交易集团评审区三楼 </w:t>
            </w:r>
            <w:r>
              <w:br w:type="textWrapping"/>
            </w:r>
            <w:r>
              <w:t xml:space="preserve">联系方式：83948100，83938584，83938599 </w:t>
            </w:r>
          </w:p>
          <w:p w14:paraId="7F184EBE">
            <w:pPr>
              <w:pStyle w:val="7"/>
              <w:numPr>
                <w:ilvl w:val="0"/>
                <w:numId w:val="8"/>
              </w:numPr>
              <w:spacing w:before="60" w:beforeLines="25" w:after="60" w:afterLines="25"/>
              <w:ind w:firstLine="392" w:firstLineChars="187"/>
            </w:pPr>
            <w:r>
              <w:t xml:space="preserve">项目联系方式 </w:t>
            </w:r>
            <w:r>
              <w:br w:type="textWrapping"/>
            </w:r>
            <w:r>
              <w:t xml:space="preserve">项目联系人：苏工 </w:t>
            </w:r>
            <w:r>
              <w:br w:type="textWrapping"/>
            </w:r>
            <w:r>
              <w:t xml:space="preserve">电　话：0755-86500054 </w:t>
            </w:r>
          </w:p>
        </w:tc>
      </w:tr>
    </w:tbl>
    <w:p w14:paraId="0D048121">
      <w:pPr>
        <w:pStyle w:val="7"/>
        <w:spacing w:before="60" w:beforeLines="25" w:after="60" w:afterLines="25"/>
        <w:ind w:firstLine="392" w:firstLineChars="187"/>
        <w:rPr>
          <w:vanish/>
        </w:rPr>
      </w:pPr>
    </w:p>
    <w:tbl>
      <w:tblPr>
        <w:tblStyle w:val="43"/>
        <w:tblW w:w="4000" w:type="pct"/>
        <w:jc w:val="center"/>
        <w:tblCellSpacing w:w="0" w:type="dxa"/>
        <w:tblLayout w:type="autofit"/>
        <w:tblCellMar>
          <w:top w:w="30" w:type="dxa"/>
          <w:left w:w="30" w:type="dxa"/>
          <w:bottom w:w="30" w:type="dxa"/>
          <w:right w:w="30" w:type="dxa"/>
        </w:tblCellMar>
      </w:tblPr>
      <w:tblGrid>
        <w:gridCol w:w="6698"/>
      </w:tblGrid>
      <w:tr w14:paraId="1F2B3C93">
        <w:tblPrEx>
          <w:tblCellMar>
            <w:top w:w="30" w:type="dxa"/>
            <w:left w:w="30" w:type="dxa"/>
            <w:bottom w:w="30" w:type="dxa"/>
            <w:right w:w="30" w:type="dxa"/>
          </w:tblCellMar>
        </w:tblPrEx>
        <w:trPr>
          <w:tblCellSpacing w:w="0" w:type="dxa"/>
          <w:jc w:val="center"/>
        </w:trPr>
        <w:tc>
          <w:tcPr>
            <w:tcW w:w="0" w:type="auto"/>
            <w:vAlign w:val="center"/>
          </w:tcPr>
          <w:p w14:paraId="00DA7AC0">
            <w:pPr>
              <w:pStyle w:val="7"/>
              <w:spacing w:before="60" w:beforeLines="25" w:after="60" w:afterLines="25"/>
              <w:ind w:firstLine="392" w:firstLineChars="187"/>
              <w:jc w:val="right"/>
            </w:pPr>
            <w:r>
              <w:br w:type="textWrapping"/>
            </w:r>
          </w:p>
          <w:p w14:paraId="58A3CE39">
            <w:pPr>
              <w:pStyle w:val="7"/>
              <w:spacing w:before="60" w:beforeLines="25" w:after="60" w:afterLines="25"/>
              <w:ind w:firstLine="392" w:firstLineChars="187"/>
              <w:jc w:val="right"/>
            </w:pPr>
            <w:r>
              <w:t>深圳公共资源交易中心 </w:t>
            </w:r>
            <w:r>
              <w:br w:type="textWrapping"/>
            </w:r>
            <w:r>
              <w:t xml:space="preserve">2021年12月24日 </w:t>
            </w:r>
          </w:p>
        </w:tc>
      </w:tr>
    </w:tbl>
    <w:p w14:paraId="2AFC6BEA">
      <w:pPr>
        <w:pStyle w:val="7"/>
        <w:spacing w:before="60" w:beforeLines="25" w:after="60" w:afterLines="25"/>
        <w:ind w:firstLine="392" w:firstLineChars="187"/>
      </w:pPr>
    </w:p>
    <w:p w14:paraId="30C4BE29">
      <w:pPr>
        <w:pStyle w:val="7"/>
        <w:spacing w:before="60" w:beforeLines="25" w:after="60" w:afterLines="25"/>
        <w:ind w:firstLine="392" w:firstLineChars="187"/>
        <w:jc w:val="right"/>
        <w:rPr>
          <w:rFonts w:ascii="宋体" w:hAnsi="宋体"/>
          <w:szCs w:val="21"/>
        </w:rPr>
      </w:pPr>
    </w:p>
    <w:p w14:paraId="0C5AB650">
      <w:pPr>
        <w:jc w:val="center"/>
        <w:rPr>
          <w:sz w:val="28"/>
          <w:szCs w:val="28"/>
        </w:rPr>
      </w:pPr>
      <w:r>
        <w:rPr>
          <w:sz w:val="24"/>
        </w:rPr>
        <w:br w:type="page"/>
      </w:r>
      <w:r>
        <w:rPr>
          <w:rFonts w:hint="eastAsia" w:ascii="宋体" w:hAnsi="宋体"/>
          <w:b/>
          <w:bCs/>
          <w:kern w:val="0"/>
          <w:sz w:val="28"/>
          <w:szCs w:val="28"/>
        </w:rPr>
        <w:t xml:space="preserve">第二章 </w:t>
      </w:r>
      <w:bookmarkStart w:id="21" w:name="_Hlk71926094"/>
      <w:r>
        <w:rPr>
          <w:rFonts w:hint="eastAsia" w:ascii="宋体" w:hAnsi="宋体"/>
          <w:b/>
          <w:bCs/>
          <w:kern w:val="0"/>
          <w:sz w:val="28"/>
          <w:szCs w:val="28"/>
        </w:rPr>
        <w:t>对通用条款的补充内容及其他关键信息</w:t>
      </w:r>
      <w:bookmarkEnd w:id="21"/>
    </w:p>
    <w:p w14:paraId="0F10D536">
      <w:pPr>
        <w:pStyle w:val="5"/>
        <w:spacing w:before="120" w:beforeLines="50" w:after="120" w:afterLines="50"/>
        <w:rPr>
          <w:szCs w:val="24"/>
        </w:rPr>
      </w:pPr>
      <w:bookmarkStart w:id="22" w:name="_Toc60560625"/>
      <w:bookmarkStart w:id="23" w:name="_Toc100052364"/>
      <w:bookmarkStart w:id="24" w:name="_Toc73521547"/>
      <w:bookmarkStart w:id="25" w:name="_Toc60631620"/>
      <w:bookmarkStart w:id="26" w:name="_Toc101074876"/>
      <w:bookmarkStart w:id="27" w:name="_Toc73517639"/>
      <w:bookmarkStart w:id="28" w:name="_Toc73518117"/>
      <w:bookmarkStart w:id="29" w:name="_Toc73521635"/>
      <w:r>
        <w:rPr>
          <w:rFonts w:hint="eastAsia"/>
          <w:szCs w:val="24"/>
        </w:rPr>
        <w:t>一、对通用条款的补充内容</w:t>
      </w:r>
    </w:p>
    <w:bookmarkEnd w:id="22"/>
    <w:bookmarkEnd w:id="23"/>
    <w:bookmarkEnd w:id="24"/>
    <w:bookmarkEnd w:id="25"/>
    <w:bookmarkEnd w:id="26"/>
    <w:bookmarkEnd w:id="27"/>
    <w:bookmarkEnd w:id="28"/>
    <w:bookmarkEnd w:id="29"/>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045153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3D02A4C">
            <w:pPr>
              <w:jc w:val="center"/>
              <w:rPr>
                <w:rFonts w:ascii="宋体" w:hAnsi="宋体"/>
                <w:b/>
                <w:bCs/>
              </w:rPr>
            </w:pPr>
            <w:bookmarkStart w:id="30" w:name="_Hlk72218097"/>
            <w:r>
              <w:rPr>
                <w:rFonts w:hint="eastAsia" w:ascii="宋体" w:hAnsi="宋体"/>
                <w:b/>
                <w:bCs/>
              </w:rPr>
              <w:t>通用条款序号</w:t>
            </w:r>
          </w:p>
        </w:tc>
        <w:tc>
          <w:tcPr>
            <w:tcW w:w="2409" w:type="dxa"/>
            <w:vAlign w:val="center"/>
          </w:tcPr>
          <w:p w14:paraId="33F3697F">
            <w:pPr>
              <w:jc w:val="center"/>
              <w:rPr>
                <w:rFonts w:ascii="宋体" w:hAnsi="宋体"/>
                <w:b/>
                <w:bCs/>
              </w:rPr>
            </w:pPr>
            <w:r>
              <w:rPr>
                <w:rFonts w:hint="eastAsia" w:ascii="宋体" w:hAnsi="宋体"/>
                <w:b/>
                <w:bCs/>
              </w:rPr>
              <w:t>涉及事项</w:t>
            </w:r>
          </w:p>
        </w:tc>
        <w:tc>
          <w:tcPr>
            <w:tcW w:w="4980" w:type="dxa"/>
            <w:vAlign w:val="center"/>
          </w:tcPr>
          <w:p w14:paraId="1C22F658">
            <w:pPr>
              <w:jc w:val="center"/>
              <w:rPr>
                <w:rFonts w:ascii="宋体" w:hAnsi="宋体"/>
                <w:b/>
                <w:bCs/>
              </w:rPr>
            </w:pPr>
            <w:r>
              <w:rPr>
                <w:rFonts w:hint="eastAsia" w:ascii="宋体" w:hAnsi="宋体"/>
                <w:b/>
                <w:bCs/>
              </w:rPr>
              <w:t>具 体 补 充 内 容</w:t>
            </w:r>
          </w:p>
        </w:tc>
      </w:tr>
      <w:tr w14:paraId="1226FD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EF1C570">
            <w:pPr>
              <w:jc w:val="center"/>
              <w:rPr>
                <w:rFonts w:ascii="宋体" w:hAnsi="宋体"/>
              </w:rPr>
            </w:pPr>
            <w:r>
              <w:rPr>
                <w:rFonts w:hint="eastAsia" w:ascii="宋体" w:hAnsi="宋体"/>
              </w:rPr>
              <w:t>3</w:t>
            </w:r>
            <w:r>
              <w:rPr>
                <w:rFonts w:ascii="宋体" w:hAnsi="宋体"/>
              </w:rPr>
              <w:t>.1</w:t>
            </w:r>
          </w:p>
        </w:tc>
        <w:tc>
          <w:tcPr>
            <w:tcW w:w="2409" w:type="dxa"/>
            <w:vAlign w:val="center"/>
          </w:tcPr>
          <w:p w14:paraId="5C302178">
            <w:pPr>
              <w:jc w:val="center"/>
            </w:pPr>
            <w:r>
              <w:rPr>
                <w:rFonts w:hint="eastAsia"/>
              </w:rPr>
              <w:t>采购人</w:t>
            </w:r>
          </w:p>
        </w:tc>
        <w:tc>
          <w:tcPr>
            <w:tcW w:w="4980" w:type="dxa"/>
            <w:vAlign w:val="center"/>
          </w:tcPr>
          <w:p w14:paraId="3D80D2E2">
            <w:pPr>
              <w:jc w:val="center"/>
              <w:rPr>
                <w:rFonts w:ascii="宋体" w:hAnsi="宋体"/>
              </w:rPr>
            </w:pPr>
            <w:r>
              <w:rPr>
                <w:rFonts w:hint="eastAsia" w:ascii="宋体" w:hAnsi="宋体"/>
              </w:rPr>
              <w:t>深圳市眼科医院</w:t>
            </w:r>
          </w:p>
        </w:tc>
      </w:tr>
      <w:tr w14:paraId="5F1619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CCD345E">
            <w:pPr>
              <w:jc w:val="center"/>
              <w:rPr>
                <w:rFonts w:ascii="宋体" w:hAnsi="宋体"/>
              </w:rPr>
            </w:pPr>
            <w:r>
              <w:rPr>
                <w:rFonts w:hint="eastAsia" w:ascii="宋体" w:hAnsi="宋体"/>
              </w:rPr>
              <w:t>3</w:t>
            </w:r>
            <w:r>
              <w:rPr>
                <w:rFonts w:ascii="宋体" w:hAnsi="宋体"/>
              </w:rPr>
              <w:t>.2</w:t>
            </w:r>
          </w:p>
        </w:tc>
        <w:tc>
          <w:tcPr>
            <w:tcW w:w="2409" w:type="dxa"/>
            <w:vAlign w:val="center"/>
          </w:tcPr>
          <w:p w14:paraId="675EF0FC">
            <w:pPr>
              <w:jc w:val="center"/>
              <w:rPr>
                <w:rFonts w:ascii="宋体" w:hAnsi="宋体"/>
              </w:rPr>
            </w:pPr>
            <w:r>
              <w:rPr>
                <w:rFonts w:hint="eastAsia" w:ascii="宋体" w:hAnsi="宋体"/>
              </w:rPr>
              <w:t>政府集中采购机构</w:t>
            </w:r>
          </w:p>
        </w:tc>
        <w:tc>
          <w:tcPr>
            <w:tcW w:w="4980" w:type="dxa"/>
            <w:vAlign w:val="center"/>
          </w:tcPr>
          <w:p w14:paraId="404FD0AF">
            <w:pPr>
              <w:jc w:val="center"/>
              <w:rPr>
                <w:rFonts w:ascii="宋体" w:hAnsi="宋体"/>
              </w:rPr>
            </w:pPr>
            <w:r>
              <w:rPr>
                <w:rFonts w:hint="eastAsia" w:ascii="宋体" w:hAnsi="宋体"/>
              </w:rPr>
              <w:t>深圳公共资源交易中心</w:t>
            </w:r>
          </w:p>
          <w:p w14:paraId="51059AF2">
            <w:pPr>
              <w:jc w:val="center"/>
              <w:rPr>
                <w:rFonts w:ascii="宋体" w:hAnsi="宋体"/>
              </w:rPr>
            </w:pPr>
            <w:r>
              <w:rPr>
                <w:rFonts w:hint="eastAsia" w:ascii="宋体" w:hAnsi="宋体"/>
              </w:rPr>
              <w:t>（深圳交易集团有限公司政府采购业务分公司）</w:t>
            </w:r>
          </w:p>
        </w:tc>
      </w:tr>
      <w:tr w14:paraId="0A816D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DE85F74">
            <w:pPr>
              <w:jc w:val="center"/>
              <w:rPr>
                <w:rFonts w:ascii="宋体" w:hAnsi="宋体"/>
              </w:rPr>
            </w:pPr>
            <w:r>
              <w:rPr>
                <w:rFonts w:hint="eastAsia" w:ascii="宋体" w:hAnsi="宋体"/>
              </w:rPr>
              <w:t>5</w:t>
            </w:r>
            <w:r>
              <w:rPr>
                <w:rFonts w:ascii="宋体" w:hAnsi="宋体"/>
              </w:rPr>
              <w:t>.3</w:t>
            </w:r>
          </w:p>
        </w:tc>
        <w:tc>
          <w:tcPr>
            <w:tcW w:w="2409" w:type="dxa"/>
            <w:vAlign w:val="center"/>
          </w:tcPr>
          <w:p w14:paraId="06A2D5C3">
            <w:pPr>
              <w:jc w:val="center"/>
              <w:rPr>
                <w:rFonts w:ascii="宋体" w:hAnsi="宋体"/>
              </w:rPr>
            </w:pPr>
            <w:r>
              <w:rPr>
                <w:rFonts w:hint="eastAsia" w:ascii="宋体" w:hAnsi="宋体"/>
              </w:rPr>
              <w:t>联合体投标</w:t>
            </w:r>
          </w:p>
        </w:tc>
        <w:tc>
          <w:tcPr>
            <w:tcW w:w="4980" w:type="dxa"/>
            <w:vAlign w:val="center"/>
          </w:tcPr>
          <w:p w14:paraId="2FEF4D9E">
            <w:pPr>
              <w:jc w:val="center"/>
              <w:rPr>
                <w:rFonts w:ascii="宋体" w:hAnsi="宋体"/>
              </w:rPr>
            </w:pPr>
            <w:r>
              <w:rPr>
                <w:rFonts w:hint="eastAsia" w:ascii="宋体" w:hAnsi="宋体"/>
              </w:rPr>
              <w:t>不接受</w:t>
            </w:r>
          </w:p>
        </w:tc>
      </w:tr>
      <w:tr w14:paraId="3A5510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255B609">
            <w:pPr>
              <w:jc w:val="center"/>
              <w:rPr>
                <w:rFonts w:ascii="宋体" w:hAnsi="宋体"/>
              </w:rPr>
            </w:pPr>
            <w:r>
              <w:rPr>
                <w:rFonts w:hint="eastAsia" w:ascii="宋体" w:hAnsi="宋体"/>
              </w:rPr>
              <w:t>9</w:t>
            </w:r>
          </w:p>
        </w:tc>
        <w:tc>
          <w:tcPr>
            <w:tcW w:w="2409" w:type="dxa"/>
            <w:vAlign w:val="center"/>
          </w:tcPr>
          <w:p w14:paraId="4D3546FE">
            <w:pPr>
              <w:jc w:val="center"/>
              <w:rPr>
                <w:rFonts w:ascii="宋体" w:hAnsi="宋体"/>
              </w:rPr>
            </w:pPr>
            <w:r>
              <w:rPr>
                <w:rFonts w:hint="eastAsia" w:ascii="宋体" w:hAnsi="宋体"/>
              </w:rPr>
              <w:t>踏勘现场</w:t>
            </w:r>
          </w:p>
        </w:tc>
        <w:tc>
          <w:tcPr>
            <w:tcW w:w="4980" w:type="dxa"/>
            <w:vAlign w:val="center"/>
          </w:tcPr>
          <w:p w14:paraId="0FF1624E">
            <w:pPr>
              <w:jc w:val="center"/>
              <w:rPr>
                <w:rFonts w:ascii="宋体" w:hAnsi="宋体"/>
              </w:rPr>
            </w:pPr>
            <w:r>
              <w:rPr>
                <w:rFonts w:hint="eastAsia" w:ascii="宋体" w:hAnsi="宋体"/>
              </w:rPr>
              <w:t>不组织</w:t>
            </w:r>
          </w:p>
        </w:tc>
      </w:tr>
      <w:tr w14:paraId="13895F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C6B65C5">
            <w:pPr>
              <w:jc w:val="center"/>
              <w:rPr>
                <w:rFonts w:ascii="宋体" w:hAnsi="宋体"/>
              </w:rPr>
            </w:pPr>
            <w:r>
              <w:rPr>
                <w:rFonts w:hint="eastAsia" w:ascii="宋体" w:hAnsi="宋体"/>
              </w:rPr>
              <w:t>1</w:t>
            </w:r>
            <w:r>
              <w:rPr>
                <w:rFonts w:ascii="宋体" w:hAnsi="宋体"/>
              </w:rPr>
              <w:t>0</w:t>
            </w:r>
          </w:p>
        </w:tc>
        <w:tc>
          <w:tcPr>
            <w:tcW w:w="2409" w:type="dxa"/>
            <w:vAlign w:val="center"/>
          </w:tcPr>
          <w:p w14:paraId="6F2C37BD">
            <w:pPr>
              <w:jc w:val="center"/>
              <w:rPr>
                <w:rFonts w:ascii="宋体" w:hAnsi="宋体"/>
              </w:rPr>
            </w:pPr>
            <w:r>
              <w:rPr>
                <w:rFonts w:hint="eastAsia" w:ascii="宋体" w:hAnsi="宋体"/>
              </w:rPr>
              <w:t>标前会议</w:t>
            </w:r>
          </w:p>
        </w:tc>
        <w:tc>
          <w:tcPr>
            <w:tcW w:w="4980" w:type="dxa"/>
            <w:vAlign w:val="center"/>
          </w:tcPr>
          <w:p w14:paraId="0E63538F">
            <w:pPr>
              <w:jc w:val="center"/>
              <w:rPr>
                <w:rFonts w:ascii="宋体" w:hAnsi="宋体"/>
              </w:rPr>
            </w:pPr>
            <w:r>
              <w:rPr>
                <w:rFonts w:hint="eastAsia" w:ascii="宋体" w:hAnsi="宋体"/>
              </w:rPr>
              <w:t>不组织</w:t>
            </w:r>
          </w:p>
        </w:tc>
      </w:tr>
      <w:tr w14:paraId="2AAC0A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81627F5">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2507A238">
            <w:pPr>
              <w:jc w:val="center"/>
              <w:rPr>
                <w:rFonts w:ascii="宋体" w:hAnsi="宋体"/>
              </w:rPr>
            </w:pPr>
            <w:r>
              <w:rPr>
                <w:rFonts w:hint="eastAsia" w:ascii="宋体" w:hAnsi="宋体"/>
              </w:rPr>
              <w:t>招标文件的澄清和修改</w:t>
            </w:r>
          </w:p>
        </w:tc>
        <w:tc>
          <w:tcPr>
            <w:tcW w:w="4980" w:type="dxa"/>
            <w:vAlign w:val="center"/>
          </w:tcPr>
          <w:p w14:paraId="30E70B5F">
            <w:pPr>
              <w:jc w:val="left"/>
              <w:rPr>
                <w:rFonts w:ascii="宋体" w:hAnsi="宋体"/>
              </w:rPr>
            </w:pPr>
            <w:r>
              <w:rPr>
                <w:rFonts w:hint="eastAsia" w:ascii="宋体" w:hAnsi="宋体"/>
              </w:rPr>
              <w:t>投标截止日三日前，投标人有义务在招标期间在政府集中采购机构网站浏览与本项目有关的澄清和修改信息</w:t>
            </w:r>
          </w:p>
        </w:tc>
      </w:tr>
      <w:tr w14:paraId="5BB32B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529817A">
            <w:pPr>
              <w:jc w:val="center"/>
              <w:rPr>
                <w:rFonts w:ascii="宋体" w:hAnsi="宋体"/>
              </w:rPr>
            </w:pPr>
            <w:r>
              <w:rPr>
                <w:rFonts w:hint="eastAsia" w:ascii="宋体" w:hAnsi="宋体"/>
              </w:rPr>
              <w:t>2</w:t>
            </w:r>
            <w:r>
              <w:rPr>
                <w:rFonts w:ascii="宋体" w:hAnsi="宋体"/>
              </w:rPr>
              <w:t>0</w:t>
            </w:r>
          </w:p>
        </w:tc>
        <w:tc>
          <w:tcPr>
            <w:tcW w:w="2409" w:type="dxa"/>
            <w:vAlign w:val="center"/>
          </w:tcPr>
          <w:p w14:paraId="4458D9D8">
            <w:pPr>
              <w:jc w:val="center"/>
              <w:rPr>
                <w:rFonts w:ascii="宋体" w:hAnsi="宋体"/>
              </w:rPr>
            </w:pPr>
            <w:r>
              <w:rPr>
                <w:rFonts w:hint="eastAsia" w:ascii="宋体" w:hAnsi="宋体"/>
              </w:rPr>
              <w:t>投标有效期</w:t>
            </w:r>
          </w:p>
        </w:tc>
        <w:tc>
          <w:tcPr>
            <w:tcW w:w="4980" w:type="dxa"/>
            <w:vAlign w:val="center"/>
          </w:tcPr>
          <w:p w14:paraId="1FAA19F9">
            <w:pPr>
              <w:jc w:val="center"/>
              <w:rPr>
                <w:rFonts w:ascii="宋体" w:hAnsi="宋体"/>
              </w:rPr>
            </w:pPr>
            <w:r>
              <w:rPr>
                <w:rFonts w:hint="eastAsia" w:ascii="宋体" w:hAnsi="宋体"/>
              </w:rPr>
              <w:t>1</w:t>
            </w:r>
            <w:r>
              <w:rPr>
                <w:rFonts w:ascii="宋体" w:hAnsi="宋体"/>
              </w:rPr>
              <w:t>20</w:t>
            </w:r>
            <w:r>
              <w:rPr>
                <w:rFonts w:hint="eastAsia" w:ascii="宋体" w:hAnsi="宋体"/>
              </w:rPr>
              <w:t>个日历日</w:t>
            </w:r>
          </w:p>
        </w:tc>
      </w:tr>
      <w:tr w14:paraId="75C476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3993A6D">
            <w:pPr>
              <w:jc w:val="center"/>
              <w:rPr>
                <w:rFonts w:ascii="宋体" w:hAnsi="宋体"/>
              </w:rPr>
            </w:pPr>
            <w:r>
              <w:rPr>
                <w:rFonts w:hint="eastAsia" w:ascii="宋体" w:hAnsi="宋体"/>
              </w:rPr>
              <w:t>2</w:t>
            </w:r>
            <w:r>
              <w:rPr>
                <w:rFonts w:ascii="宋体" w:hAnsi="宋体"/>
              </w:rPr>
              <w:t>2</w:t>
            </w:r>
          </w:p>
        </w:tc>
        <w:tc>
          <w:tcPr>
            <w:tcW w:w="2409" w:type="dxa"/>
            <w:vAlign w:val="center"/>
          </w:tcPr>
          <w:p w14:paraId="2863286A">
            <w:pPr>
              <w:jc w:val="center"/>
              <w:rPr>
                <w:rFonts w:ascii="宋体" w:hAnsi="宋体"/>
              </w:rPr>
            </w:pPr>
            <w:r>
              <w:rPr>
                <w:rFonts w:hint="eastAsia" w:ascii="宋体" w:hAnsi="宋体"/>
              </w:rPr>
              <w:t>投标人的替代方案</w:t>
            </w:r>
          </w:p>
        </w:tc>
        <w:tc>
          <w:tcPr>
            <w:tcW w:w="4980" w:type="dxa"/>
            <w:vAlign w:val="center"/>
          </w:tcPr>
          <w:p w14:paraId="7F12228D">
            <w:pPr>
              <w:jc w:val="center"/>
              <w:rPr>
                <w:rFonts w:ascii="宋体" w:hAnsi="宋体"/>
              </w:rPr>
            </w:pPr>
            <w:r>
              <w:rPr>
                <w:rFonts w:hint="eastAsia" w:ascii="宋体" w:hAnsi="宋体"/>
              </w:rPr>
              <w:t>不接受</w:t>
            </w:r>
          </w:p>
        </w:tc>
      </w:tr>
      <w:tr w14:paraId="5E5F72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CFC5F24">
            <w:pPr>
              <w:jc w:val="center"/>
              <w:rPr>
                <w:rFonts w:ascii="宋体" w:hAnsi="宋体"/>
              </w:rPr>
            </w:pPr>
            <w:r>
              <w:rPr>
                <w:rFonts w:hint="eastAsia" w:ascii="宋体" w:hAnsi="宋体"/>
              </w:rPr>
              <w:t>2</w:t>
            </w:r>
            <w:r>
              <w:rPr>
                <w:rFonts w:ascii="宋体" w:hAnsi="宋体"/>
              </w:rPr>
              <w:t>5</w:t>
            </w:r>
          </w:p>
        </w:tc>
        <w:tc>
          <w:tcPr>
            <w:tcW w:w="2409" w:type="dxa"/>
            <w:vAlign w:val="center"/>
          </w:tcPr>
          <w:p w14:paraId="48DAADD6">
            <w:pPr>
              <w:jc w:val="center"/>
              <w:rPr>
                <w:rFonts w:ascii="宋体" w:hAnsi="宋体"/>
              </w:rPr>
            </w:pPr>
            <w:r>
              <w:rPr>
                <w:rFonts w:hint="eastAsia" w:ascii="宋体" w:hAnsi="宋体"/>
              </w:rPr>
              <w:t>投标文件的大小</w:t>
            </w:r>
          </w:p>
        </w:tc>
        <w:tc>
          <w:tcPr>
            <w:tcW w:w="4980" w:type="dxa"/>
            <w:vAlign w:val="center"/>
          </w:tcPr>
          <w:p w14:paraId="084BC8B5">
            <w:pPr>
              <w:jc w:val="center"/>
              <w:rPr>
                <w:rFonts w:ascii="宋体" w:hAnsi="宋体"/>
              </w:rPr>
            </w:pPr>
            <w:r>
              <w:rPr>
                <w:rFonts w:hint="eastAsia" w:ascii="宋体" w:hAnsi="宋体"/>
              </w:rPr>
              <w:t>投标文件大小不得超过100MB</w:t>
            </w:r>
          </w:p>
        </w:tc>
      </w:tr>
      <w:tr w14:paraId="301CBE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EBFA6DA">
            <w:pPr>
              <w:jc w:val="center"/>
              <w:rPr>
                <w:rFonts w:ascii="宋体" w:hAnsi="宋体"/>
              </w:rPr>
            </w:pPr>
            <w:r>
              <w:rPr>
                <w:rFonts w:hint="eastAsia" w:ascii="宋体" w:hAnsi="宋体"/>
              </w:rPr>
              <w:t>2</w:t>
            </w:r>
            <w:r>
              <w:rPr>
                <w:rFonts w:ascii="宋体" w:hAnsi="宋体"/>
              </w:rPr>
              <w:t>6</w:t>
            </w:r>
          </w:p>
        </w:tc>
        <w:tc>
          <w:tcPr>
            <w:tcW w:w="2409" w:type="dxa"/>
            <w:vAlign w:val="center"/>
          </w:tcPr>
          <w:p w14:paraId="6970B5A9">
            <w:pPr>
              <w:jc w:val="center"/>
              <w:rPr>
                <w:rFonts w:ascii="宋体" w:hAnsi="宋体"/>
              </w:rPr>
            </w:pPr>
            <w:bookmarkStart w:id="31" w:name="_Hlk71664860"/>
            <w:r>
              <w:rPr>
                <w:rFonts w:hint="eastAsia" w:ascii="宋体" w:hAnsi="宋体"/>
              </w:rPr>
              <w:t>样品、现场演示、方案讲解</w:t>
            </w:r>
            <w:bookmarkEnd w:id="31"/>
          </w:p>
        </w:tc>
        <w:tc>
          <w:tcPr>
            <w:tcW w:w="4980" w:type="dxa"/>
            <w:vAlign w:val="center"/>
          </w:tcPr>
          <w:p w14:paraId="23F604A4">
            <w:pPr>
              <w:jc w:val="center"/>
              <w:rPr>
                <w:rFonts w:ascii="宋体" w:hAnsi="宋体"/>
              </w:rPr>
            </w:pPr>
            <w:r>
              <w:rPr>
                <w:rFonts w:hint="eastAsia" w:ascii="宋体" w:hAnsi="宋体"/>
              </w:rPr>
              <w:t>无</w:t>
            </w:r>
          </w:p>
        </w:tc>
      </w:tr>
      <w:tr w14:paraId="7B35B7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9D0934A">
            <w:pPr>
              <w:jc w:val="center"/>
              <w:rPr>
                <w:rFonts w:ascii="宋体" w:hAnsi="宋体"/>
              </w:rPr>
            </w:pPr>
            <w:r>
              <w:rPr>
                <w:rFonts w:hint="eastAsia" w:ascii="宋体" w:hAnsi="宋体"/>
              </w:rPr>
              <w:t>3</w:t>
            </w:r>
            <w:r>
              <w:rPr>
                <w:rFonts w:ascii="宋体" w:hAnsi="宋体"/>
              </w:rPr>
              <w:t>7</w:t>
            </w:r>
          </w:p>
        </w:tc>
        <w:tc>
          <w:tcPr>
            <w:tcW w:w="2409" w:type="dxa"/>
            <w:vAlign w:val="center"/>
          </w:tcPr>
          <w:p w14:paraId="31AF6F66">
            <w:pPr>
              <w:jc w:val="center"/>
              <w:rPr>
                <w:rFonts w:ascii="宋体" w:hAnsi="宋体"/>
              </w:rPr>
            </w:pPr>
            <w:r>
              <w:rPr>
                <w:rFonts w:hint="eastAsia" w:ascii="宋体" w:hAnsi="宋体"/>
              </w:rPr>
              <w:t>评审方法</w:t>
            </w:r>
          </w:p>
        </w:tc>
        <w:tc>
          <w:tcPr>
            <w:tcW w:w="4980" w:type="dxa"/>
            <w:vAlign w:val="center"/>
          </w:tcPr>
          <w:p w14:paraId="32517D03">
            <w:pPr>
              <w:jc w:val="center"/>
              <w:rPr>
                <w:rFonts w:ascii="宋体" w:hAnsi="宋体"/>
              </w:rPr>
            </w:pPr>
            <w:r>
              <w:rPr>
                <w:rFonts w:hint="eastAsia" w:ascii="宋体" w:hAnsi="宋体"/>
              </w:rPr>
              <w:t>综合评分法</w:t>
            </w:r>
          </w:p>
        </w:tc>
      </w:tr>
      <w:tr w14:paraId="69F31A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6D07A49">
            <w:pPr>
              <w:jc w:val="center"/>
              <w:rPr>
                <w:rFonts w:ascii="宋体" w:hAnsi="宋体"/>
              </w:rPr>
            </w:pPr>
            <w:r>
              <w:rPr>
                <w:rFonts w:hint="eastAsia" w:ascii="宋体" w:hAnsi="宋体"/>
              </w:rPr>
              <w:t>3</w:t>
            </w:r>
            <w:r>
              <w:rPr>
                <w:rFonts w:ascii="宋体" w:hAnsi="宋体"/>
              </w:rPr>
              <w:t>8</w:t>
            </w:r>
          </w:p>
        </w:tc>
        <w:tc>
          <w:tcPr>
            <w:tcW w:w="2409" w:type="dxa"/>
            <w:vAlign w:val="center"/>
          </w:tcPr>
          <w:p w14:paraId="16F03457">
            <w:pPr>
              <w:jc w:val="center"/>
              <w:rPr>
                <w:rFonts w:ascii="宋体" w:hAnsi="宋体"/>
              </w:rPr>
            </w:pPr>
            <w:r>
              <w:rPr>
                <w:rFonts w:hint="eastAsia" w:ascii="宋体" w:hAnsi="宋体"/>
              </w:rPr>
              <w:t>定标方法</w:t>
            </w:r>
          </w:p>
        </w:tc>
        <w:tc>
          <w:tcPr>
            <w:tcW w:w="4980" w:type="dxa"/>
            <w:vAlign w:val="center"/>
          </w:tcPr>
          <w:p w14:paraId="18149DB6">
            <w:pPr>
              <w:jc w:val="center"/>
              <w:rPr>
                <w:rFonts w:ascii="宋体" w:hAnsi="宋体"/>
              </w:rPr>
            </w:pPr>
            <w:r>
              <w:rPr>
                <w:rFonts w:hint="eastAsia" w:ascii="宋体" w:hAnsi="宋体"/>
              </w:rPr>
              <w:t>非评定分离</w:t>
            </w:r>
          </w:p>
        </w:tc>
      </w:tr>
      <w:tr w14:paraId="660CBE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E3DEA49">
            <w:pPr>
              <w:jc w:val="center"/>
              <w:rPr>
                <w:rFonts w:ascii="宋体" w:hAnsi="宋体"/>
              </w:rPr>
            </w:pPr>
            <w:r>
              <w:rPr>
                <w:rFonts w:hint="eastAsia" w:ascii="宋体" w:hAnsi="宋体"/>
              </w:rPr>
              <w:t>4</w:t>
            </w:r>
            <w:r>
              <w:rPr>
                <w:rFonts w:ascii="宋体" w:hAnsi="宋体"/>
              </w:rPr>
              <w:t>6</w:t>
            </w:r>
          </w:p>
        </w:tc>
        <w:tc>
          <w:tcPr>
            <w:tcW w:w="2409" w:type="dxa"/>
            <w:vAlign w:val="center"/>
          </w:tcPr>
          <w:p w14:paraId="1851AFE3">
            <w:pPr>
              <w:jc w:val="center"/>
              <w:rPr>
                <w:rFonts w:ascii="宋体" w:hAnsi="宋体"/>
              </w:rPr>
            </w:pPr>
            <w:r>
              <w:rPr>
                <w:rFonts w:hint="eastAsia" w:ascii="宋体" w:hAnsi="宋体"/>
              </w:rPr>
              <w:t>履约担保</w:t>
            </w:r>
          </w:p>
        </w:tc>
        <w:tc>
          <w:tcPr>
            <w:tcW w:w="4980" w:type="dxa"/>
            <w:vAlign w:val="center"/>
          </w:tcPr>
          <w:p w14:paraId="10D5683E">
            <w:pPr>
              <w:jc w:val="left"/>
              <w:rPr>
                <w:rFonts w:ascii="宋体" w:hAnsi="宋体"/>
              </w:rPr>
            </w:pPr>
            <w:r>
              <w:rPr>
                <w:rFonts w:hint="eastAsia"/>
                <w:color w:val="FF0000"/>
              </w:rPr>
              <w:t>合同金额的5%，投标供应商自主选择以支票、汇票、本票、保函等非现金形式缴纳或提交。履约保证金在中标人履行完成合同约定权利义务事项在质保期结束后60日内按原方式退还，不计利息。采购人逾期退还履约保证金的，向中标人每日偿付履约保证金的0.5‰的利息。因中标人原因而未能达到本项目验收标准或验收不通过的，履约保证金不予退还。</w:t>
            </w:r>
          </w:p>
        </w:tc>
      </w:tr>
    </w:tbl>
    <w:p w14:paraId="11FB0C59">
      <w:pPr>
        <w:rPr>
          <w:b/>
        </w:rPr>
      </w:pPr>
      <w:r>
        <w:rPr>
          <w:rFonts w:hint="eastAsia"/>
          <w:szCs w:val="21"/>
        </w:rPr>
        <w:t>备注：本表是通用条款相关条款的补充和明确，如与通用条款内容相冲突的，以本表为准。</w:t>
      </w:r>
    </w:p>
    <w:bookmarkEnd w:id="30"/>
    <w:p w14:paraId="67157996">
      <w:pPr>
        <w:pStyle w:val="5"/>
        <w:spacing w:before="120" w:beforeLines="50" w:after="120" w:afterLines="50"/>
        <w:rPr>
          <w:szCs w:val="24"/>
        </w:rPr>
      </w:pPr>
      <w:bookmarkStart w:id="32" w:name="_Hlk72218117"/>
      <w:r>
        <w:rPr>
          <w:rFonts w:hint="eastAsia"/>
          <w:szCs w:val="24"/>
        </w:rPr>
        <w:t>二、其他关键信息</w:t>
      </w:r>
    </w:p>
    <w:p w14:paraId="3DE665BB">
      <w:pPr>
        <w:ind w:firstLine="422" w:firstLineChars="200"/>
        <w:rPr>
          <w:b/>
          <w:bCs/>
        </w:rPr>
      </w:pPr>
      <w:bookmarkStart w:id="33" w:name="_Hlk72579427"/>
      <w:r>
        <w:rPr>
          <w:rFonts w:hint="eastAsia"/>
          <w:b/>
          <w:bCs/>
        </w:rPr>
        <w:t>（一）评标定标信息</w:t>
      </w:r>
    </w:p>
    <w:p w14:paraId="4AD98289">
      <w:pPr>
        <w:jc w:val="center"/>
        <w:rPr>
          <w:b/>
        </w:rPr>
      </w:pPr>
    </w:p>
    <w:p w14:paraId="1571A62D">
      <w:pPr>
        <w:jc w:val="center"/>
      </w:pPr>
      <w:r>
        <w:rPr>
          <w:rFonts w:hint="eastAsia"/>
          <w:b/>
        </w:rPr>
        <w:t>非评定分离项目</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593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400CF1C">
            <w:pPr>
              <w:jc w:val="center"/>
            </w:pPr>
            <w:bookmarkStart w:id="34" w:name="_Hlk74239733"/>
            <w:r>
              <w:rPr>
                <w:rFonts w:hint="eastAsia"/>
              </w:rPr>
              <w:t>评标方法</w:t>
            </w:r>
          </w:p>
        </w:tc>
        <w:tc>
          <w:tcPr>
            <w:tcW w:w="4265" w:type="dxa"/>
          </w:tcPr>
          <w:p w14:paraId="6E1638F0">
            <w:pPr>
              <w:jc w:val="center"/>
            </w:pPr>
            <w:r>
              <w:rPr>
                <w:rFonts w:hint="eastAsia"/>
              </w:rPr>
              <w:t>综合评分法</w:t>
            </w:r>
          </w:p>
        </w:tc>
      </w:tr>
      <w:tr w14:paraId="731A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FC6BC29">
            <w:pPr>
              <w:jc w:val="center"/>
            </w:pPr>
            <w:r>
              <w:rPr>
                <w:rFonts w:hint="eastAsia"/>
              </w:rPr>
              <w:t>候选中标供应商家数</w:t>
            </w:r>
          </w:p>
        </w:tc>
        <w:tc>
          <w:tcPr>
            <w:tcW w:w="4265" w:type="dxa"/>
          </w:tcPr>
          <w:p w14:paraId="662D4E1A">
            <w:pPr>
              <w:jc w:val="center"/>
            </w:pPr>
            <w:r>
              <w:rPr>
                <w:rFonts w:hint="eastAsia"/>
              </w:rPr>
              <w:t>3</w:t>
            </w:r>
          </w:p>
        </w:tc>
      </w:tr>
      <w:tr w14:paraId="442B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035A390">
            <w:pPr>
              <w:jc w:val="center"/>
            </w:pPr>
            <w:r>
              <w:rPr>
                <w:rFonts w:hint="eastAsia"/>
              </w:rPr>
              <w:t>中标供应商家数</w:t>
            </w:r>
          </w:p>
        </w:tc>
        <w:tc>
          <w:tcPr>
            <w:tcW w:w="4265" w:type="dxa"/>
          </w:tcPr>
          <w:p w14:paraId="34D0AA8C">
            <w:pPr>
              <w:jc w:val="center"/>
            </w:pPr>
            <w:r>
              <w:rPr>
                <w:rFonts w:hint="eastAsia"/>
              </w:rPr>
              <w:t>1</w:t>
            </w:r>
          </w:p>
        </w:tc>
      </w:tr>
      <w:bookmarkEnd w:id="34"/>
    </w:tbl>
    <w:p w14:paraId="567ACB9F">
      <w:pPr>
        <w:ind w:firstLine="422" w:firstLineChars="200"/>
        <w:rPr>
          <w:b/>
        </w:rPr>
      </w:pPr>
    </w:p>
    <w:p w14:paraId="3FE27BF6">
      <w:pPr>
        <w:ind w:firstLine="422" w:firstLineChars="200"/>
        <w:rPr>
          <w:b/>
        </w:rPr>
      </w:pPr>
      <w:r>
        <w:rPr>
          <w:rFonts w:hint="eastAsia"/>
          <w:b/>
        </w:rPr>
        <w:t>（二）其他事项</w:t>
      </w:r>
      <w:bookmarkEnd w:id="33"/>
    </w:p>
    <w:p w14:paraId="6EBA671A">
      <w:pPr>
        <w:ind w:firstLine="422" w:firstLineChars="200"/>
        <w:rPr>
          <w:b/>
          <w:bCs/>
        </w:rPr>
      </w:pPr>
      <w:r>
        <w:rPr>
          <w:b/>
          <w:bCs/>
        </w:rPr>
        <w:t>1</w:t>
      </w:r>
      <w:r>
        <w:rPr>
          <w:rFonts w:hint="eastAsia"/>
          <w:b/>
          <w:bCs/>
        </w:rPr>
        <w:t>、关于享受优惠政策的主体及价格扣除比例</w:t>
      </w:r>
    </w:p>
    <w:p w14:paraId="00124F61">
      <w:pPr>
        <w:ind w:firstLine="420" w:firstLineChars="200"/>
      </w:pPr>
      <w:r>
        <w:rPr>
          <w:rFonts w:hint="eastAsia"/>
        </w:rPr>
        <w:t>（1）投标人提供的货物（以招标文件用户需求书“货物清单明细”的“货物名称”一栏为准）全部均由优惠主体制造，则对其投标总价给予</w:t>
      </w:r>
      <w:r>
        <w:rPr>
          <w:color w:val="FF0000"/>
          <w:u w:val="single"/>
        </w:rPr>
        <w:t xml:space="preserve">  </w:t>
      </w:r>
      <w:r>
        <w:rPr>
          <w:rFonts w:hint="eastAsia"/>
          <w:color w:val="FF0000"/>
          <w:u w:val="single"/>
        </w:rPr>
        <w:t>10</w:t>
      </w:r>
      <w:r>
        <w:rPr>
          <w:color w:val="FF0000"/>
          <w:u w:val="single"/>
        </w:rPr>
        <w:t xml:space="preserve">  %</w:t>
      </w:r>
      <w:r>
        <w:rPr>
          <w:rFonts w:hint="eastAsia"/>
        </w:rPr>
        <w:t>的扣除，用扣除后的价格参与评审。满足多项优惠政策的企业，不重复享受多项价格扣除政策。</w:t>
      </w:r>
    </w:p>
    <w:p w14:paraId="597BE453">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优惠主体制造是指货物由优惠主体生产且使用该优惠主体商号或者注册商标；投标人提供的货物既有优惠主体制造货物，又有非优惠主体制造货物的，不给予价格扣除。</w:t>
      </w:r>
    </w:p>
    <w:p w14:paraId="00F324D1">
      <w:pPr>
        <w:ind w:firstLine="420" w:firstLineChars="200"/>
      </w:pPr>
      <w:r>
        <w:rPr>
          <w:rFonts w:hint="eastAsia"/>
        </w:rPr>
        <w:t>（2）根据</w:t>
      </w:r>
      <w:r>
        <w:rPr>
          <w:rFonts w:hint="eastAsia"/>
          <w:szCs w:val="22"/>
        </w:rPr>
        <w:t>《工业和信息化部、国家统计局、国家发展和改革委员会、财政部关于印发中小企业划型标准规定的通知》（工信部联企业〔2011〕300 号）</w:t>
      </w:r>
      <w:r>
        <w:rPr>
          <w:rFonts w:hint="eastAsia"/>
        </w:rPr>
        <w:t>，</w:t>
      </w:r>
      <w:bookmarkStart w:id="35" w:name="_Hlk71970739"/>
      <w:r>
        <w:rPr>
          <w:rFonts w:hint="eastAsia"/>
        </w:rPr>
        <w:t>本项目</w:t>
      </w:r>
      <w:bookmarkStart w:id="36" w:name="_Hlk71924718"/>
      <w:r>
        <w:rPr>
          <w:rFonts w:hint="eastAsia"/>
        </w:rPr>
        <w:t>采购标的（货物）对应的中小企业划分标准所属行业</w:t>
      </w:r>
      <w:bookmarkEnd w:id="36"/>
      <w:r>
        <w:rPr>
          <w:rFonts w:hint="eastAsia"/>
        </w:rPr>
        <w:t xml:space="preserve">为     </w:t>
      </w:r>
      <w:r>
        <w:rPr>
          <w:rFonts w:hint="eastAsia"/>
          <w:b/>
          <w:bCs/>
          <w:color w:val="FF0000"/>
          <w:sz w:val="32"/>
          <w:szCs w:val="40"/>
        </w:rPr>
        <w:t>零售业</w:t>
      </w:r>
      <w:r>
        <w:rPr>
          <w:rFonts w:hint="eastAsia"/>
        </w:rPr>
        <w:t>。</w:t>
      </w:r>
      <w:bookmarkEnd w:id="35"/>
    </w:p>
    <w:p w14:paraId="0AD80CD1">
      <w:pPr>
        <w:ind w:firstLine="420" w:firstLineChars="200"/>
      </w:pPr>
      <w:r>
        <w:rPr>
          <w:rFonts w:hint="eastAsia"/>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14:paraId="1D706BD2">
      <w:pPr>
        <w:ind w:firstLine="420" w:firstLineChars="200"/>
        <w:rPr>
          <w:rFonts w:ascii="仿宋" w:hAnsi="仿宋" w:eastAsia="仿宋"/>
          <w:sz w:val="28"/>
          <w:szCs w:val="28"/>
        </w:rPr>
      </w:pPr>
      <w:r>
        <w:rPr>
          <w:rFonts w:hint="eastAsia"/>
        </w:rPr>
        <w:t>（4）享受价格扣除获得政府采购合同的，小微企业不得将合同分包给大中型企业。</w:t>
      </w:r>
    </w:p>
    <w:p w14:paraId="7CE5179D">
      <w:pPr>
        <w:rPr>
          <w:b/>
        </w:rPr>
      </w:pPr>
    </w:p>
    <w:p w14:paraId="7BC7CCB1">
      <w:pPr>
        <w:widowControl/>
        <w:jc w:val="center"/>
        <w:rPr>
          <w:rFonts w:ascii="宋体" w:hAnsi="宋体" w:cs="宋体"/>
          <w:b/>
          <w:color w:val="FF0000"/>
          <w:kern w:val="0"/>
          <w:sz w:val="24"/>
          <w:szCs w:val="21"/>
        </w:rPr>
      </w:pPr>
      <w:r>
        <w:rPr>
          <w:rFonts w:hint="eastAsia" w:cs="宋体"/>
          <w:b/>
          <w:color w:val="FF0000"/>
          <w:kern w:val="0"/>
          <w:sz w:val="24"/>
          <w:lang w:bidi="ar"/>
        </w:rPr>
        <w:t>三、代理服务费</w:t>
      </w:r>
    </w:p>
    <w:p w14:paraId="3B04A50D">
      <w:pPr>
        <w:widowControl/>
        <w:spacing w:before="50" w:after="50"/>
        <w:ind w:firstLine="480" w:firstLineChars="200"/>
        <w:jc w:val="left"/>
        <w:rPr>
          <w:rFonts w:ascii="宋体" w:hAnsi="宋体" w:cs="宋体"/>
          <w:color w:val="FF0000"/>
          <w:kern w:val="0"/>
          <w:sz w:val="24"/>
          <w:szCs w:val="21"/>
        </w:rPr>
      </w:pPr>
      <w:r>
        <w:rPr>
          <w:rFonts w:hint="eastAsia" w:ascii="宋体" w:hAnsi="宋体" w:cs="宋体"/>
          <w:color w:val="FF0000"/>
          <w:kern w:val="0"/>
          <w:sz w:val="24"/>
          <w:szCs w:val="21"/>
          <w:lang w:bidi="ar"/>
        </w:rPr>
        <w:t>中标供应商在领取《中标通知书》之前须向深圳交易集团有限公司交纳代理服务费。若因中标供应商交纳代理服务费所产生的时间影响到合同签订的，由中标供应商自行承担责任。代理服务费标准参照深交易〔2020〕123号文收取。本项目类型为货物类：</w:t>
      </w:r>
    </w:p>
    <w:p w14:paraId="3C3CBC37">
      <w:pPr>
        <w:widowControl/>
        <w:tabs>
          <w:tab w:val="left" w:pos="1182"/>
        </w:tabs>
        <w:ind w:left="360" w:right="-317" w:rightChars="-151"/>
        <w:jc w:val="left"/>
        <w:rPr>
          <w:rFonts w:ascii="宋体" w:hAnsi="宋体" w:cs="宋体"/>
          <w:bCs/>
          <w:color w:val="FF0000"/>
          <w:spacing w:val="-4"/>
          <w:kern w:val="0"/>
          <w:sz w:val="24"/>
          <w:szCs w:val="21"/>
        </w:rPr>
      </w:pPr>
      <w:r>
        <w:rPr>
          <w:rFonts w:hint="eastAsia" w:ascii="宋体" w:hAnsi="宋体" w:cs="宋体"/>
          <w:bCs/>
          <w:color w:val="FF0000"/>
          <w:spacing w:val="-4"/>
          <w:kern w:val="0"/>
          <w:sz w:val="24"/>
          <w:szCs w:val="21"/>
          <w:lang w:bidi="ar"/>
        </w:rPr>
        <w:t>（一）代理服务费以《中标通知书》确定的中标金额作为计算基数，按差额定率累进法计算。</w:t>
      </w:r>
    </w:p>
    <w:p w14:paraId="010D5151">
      <w:pPr>
        <w:widowControl/>
        <w:tabs>
          <w:tab w:val="left" w:pos="1182"/>
        </w:tabs>
        <w:ind w:left="360" w:right="-317" w:rightChars="-151"/>
        <w:jc w:val="left"/>
        <w:rPr>
          <w:rFonts w:ascii="宋体" w:hAnsi="宋体" w:cs="宋体"/>
          <w:bCs/>
          <w:color w:val="FF0000"/>
          <w:spacing w:val="-4"/>
          <w:kern w:val="0"/>
          <w:sz w:val="24"/>
          <w:szCs w:val="21"/>
        </w:rPr>
      </w:pPr>
      <w:r>
        <w:rPr>
          <w:rFonts w:hint="eastAsia" w:ascii="宋体" w:hAnsi="宋体" w:cs="宋体"/>
          <w:bCs/>
          <w:color w:val="FF0000"/>
          <w:spacing w:val="-4"/>
          <w:kern w:val="0"/>
          <w:sz w:val="24"/>
          <w:szCs w:val="21"/>
          <w:lang w:bidi="ar"/>
        </w:rPr>
        <w:t>（二）中标金额的各部分费率如下表：</w:t>
      </w:r>
    </w:p>
    <w:tbl>
      <w:tblPr>
        <w:tblStyle w:val="43"/>
        <w:tblW w:w="7152" w:type="dxa"/>
        <w:jc w:val="center"/>
        <w:tblLayout w:type="fixed"/>
        <w:tblCellMar>
          <w:top w:w="0" w:type="dxa"/>
          <w:left w:w="108" w:type="dxa"/>
          <w:bottom w:w="0" w:type="dxa"/>
          <w:right w:w="108" w:type="dxa"/>
        </w:tblCellMar>
      </w:tblPr>
      <w:tblGrid>
        <w:gridCol w:w="2884"/>
        <w:gridCol w:w="1438"/>
        <w:gridCol w:w="1393"/>
        <w:gridCol w:w="1437"/>
      </w:tblGrid>
      <w:tr w14:paraId="163940D5">
        <w:tblPrEx>
          <w:tblCellMar>
            <w:top w:w="0" w:type="dxa"/>
            <w:left w:w="108" w:type="dxa"/>
            <w:bottom w:w="0" w:type="dxa"/>
            <w:right w:w="108" w:type="dxa"/>
          </w:tblCellMar>
        </w:tblPrEx>
        <w:trPr>
          <w:trHeight w:val="737" w:hRule="atLeast"/>
          <w:jc w:val="center"/>
        </w:trPr>
        <w:tc>
          <w:tcPr>
            <w:tcW w:w="2884"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14:paraId="76F540E7">
            <w:pPr>
              <w:widowControl/>
              <w:spacing w:before="120" w:beforeLines="50" w:after="120" w:afterLines="50" w:line="240" w:lineRule="exact"/>
              <w:ind w:firstLine="1680" w:firstLineChars="700"/>
              <w:jc w:val="left"/>
              <w:rPr>
                <w:rFonts w:ascii="宋体" w:hAnsi="宋体" w:cs="仿宋_GB2312"/>
                <w:bCs/>
                <w:color w:val="FF0000"/>
                <w:kern w:val="0"/>
                <w:sz w:val="24"/>
                <w:szCs w:val="21"/>
              </w:rPr>
            </w:pPr>
            <w:r>
              <w:rPr>
                <w:rFonts w:hint="eastAsia" w:ascii="宋体" w:hAnsi="宋体" w:cs="仿宋_GB2312"/>
                <w:bCs/>
                <w:color w:val="FF0000"/>
                <w:kern w:val="0"/>
                <w:sz w:val="24"/>
                <w:szCs w:val="21"/>
                <w:lang w:bidi="ar"/>
              </w:rPr>
              <w:t>类别</w:t>
            </w:r>
          </w:p>
          <w:p w14:paraId="39C7CBC4">
            <w:pPr>
              <w:widowControl/>
              <w:spacing w:before="120" w:beforeLines="50" w:after="120" w:afterLines="50" w:line="240" w:lineRule="exact"/>
              <w:jc w:val="left"/>
              <w:rPr>
                <w:rFonts w:ascii="宋体" w:hAnsi="宋体" w:cs="仿宋_GB2312"/>
                <w:bCs/>
                <w:color w:val="FF0000"/>
                <w:kern w:val="0"/>
                <w:sz w:val="24"/>
                <w:szCs w:val="21"/>
              </w:rPr>
            </w:pPr>
            <w:r>
              <w:rPr>
                <w:rFonts w:hint="eastAsia" w:ascii="宋体" w:hAnsi="宋体" w:cs="仿宋_GB2312"/>
                <w:bCs/>
                <w:color w:val="FF0000"/>
                <w:kern w:val="0"/>
                <w:sz w:val="24"/>
                <w:szCs w:val="21"/>
                <w:lang w:bidi="ar"/>
              </w:rPr>
              <w:t>金额(万元)</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14:paraId="40E0E828">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工程招标</w:t>
            </w:r>
          </w:p>
        </w:tc>
        <w:tc>
          <w:tcPr>
            <w:tcW w:w="1393" w:type="dxa"/>
            <w:tcBorders>
              <w:top w:val="single" w:color="auto" w:sz="4" w:space="0"/>
              <w:left w:val="nil"/>
              <w:bottom w:val="single" w:color="auto" w:sz="4" w:space="0"/>
              <w:right w:val="single" w:color="auto" w:sz="4" w:space="0"/>
            </w:tcBorders>
            <w:shd w:val="clear" w:color="auto" w:fill="auto"/>
            <w:vAlign w:val="center"/>
          </w:tcPr>
          <w:p w14:paraId="0F372B17">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货物招标</w:t>
            </w:r>
          </w:p>
        </w:tc>
        <w:tc>
          <w:tcPr>
            <w:tcW w:w="1437" w:type="dxa"/>
            <w:tcBorders>
              <w:top w:val="single" w:color="auto" w:sz="4" w:space="0"/>
              <w:left w:val="nil"/>
              <w:bottom w:val="single" w:color="auto" w:sz="4" w:space="0"/>
              <w:right w:val="single" w:color="auto" w:sz="4" w:space="0"/>
            </w:tcBorders>
            <w:shd w:val="clear" w:color="auto" w:fill="auto"/>
            <w:vAlign w:val="center"/>
          </w:tcPr>
          <w:p w14:paraId="527CBBB0">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服务招标</w:t>
            </w:r>
          </w:p>
        </w:tc>
      </w:tr>
      <w:tr w14:paraId="70B4BE33">
        <w:tblPrEx>
          <w:tblCellMar>
            <w:top w:w="0" w:type="dxa"/>
            <w:left w:w="108" w:type="dxa"/>
            <w:bottom w:w="0" w:type="dxa"/>
            <w:right w:w="108" w:type="dxa"/>
          </w:tblCellMar>
        </w:tblPrEx>
        <w:trPr>
          <w:trHeight w:val="402" w:hRule="atLeast"/>
          <w:jc w:val="center"/>
        </w:trPr>
        <w:tc>
          <w:tcPr>
            <w:tcW w:w="2884" w:type="dxa"/>
            <w:tcBorders>
              <w:top w:val="single" w:color="auto" w:sz="4" w:space="0"/>
              <w:left w:val="single" w:color="auto" w:sz="8" w:space="0"/>
              <w:bottom w:val="single" w:color="auto" w:sz="8" w:space="0"/>
              <w:right w:val="single" w:color="auto" w:sz="8" w:space="0"/>
            </w:tcBorders>
            <w:shd w:val="clear" w:color="auto" w:fill="auto"/>
          </w:tcPr>
          <w:p w14:paraId="2D78E274">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100以下</w:t>
            </w:r>
          </w:p>
        </w:tc>
        <w:tc>
          <w:tcPr>
            <w:tcW w:w="1438" w:type="dxa"/>
            <w:tcBorders>
              <w:top w:val="nil"/>
              <w:left w:val="nil"/>
              <w:bottom w:val="single" w:color="auto" w:sz="8" w:space="0"/>
              <w:right w:val="single" w:color="auto" w:sz="8" w:space="0"/>
            </w:tcBorders>
            <w:shd w:val="clear" w:color="auto" w:fill="auto"/>
          </w:tcPr>
          <w:p w14:paraId="11944307">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1.00%</w:t>
            </w:r>
          </w:p>
        </w:tc>
        <w:tc>
          <w:tcPr>
            <w:tcW w:w="1393" w:type="dxa"/>
            <w:tcBorders>
              <w:top w:val="nil"/>
              <w:left w:val="nil"/>
              <w:bottom w:val="single" w:color="auto" w:sz="8" w:space="0"/>
              <w:right w:val="single" w:color="auto" w:sz="8" w:space="0"/>
            </w:tcBorders>
            <w:shd w:val="clear" w:color="auto" w:fill="auto"/>
          </w:tcPr>
          <w:p w14:paraId="7FDC1092">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1.50%</w:t>
            </w:r>
          </w:p>
        </w:tc>
        <w:tc>
          <w:tcPr>
            <w:tcW w:w="1437" w:type="dxa"/>
            <w:tcBorders>
              <w:top w:val="nil"/>
              <w:left w:val="nil"/>
              <w:bottom w:val="single" w:color="auto" w:sz="8" w:space="0"/>
              <w:right w:val="single" w:color="auto" w:sz="8" w:space="0"/>
            </w:tcBorders>
            <w:shd w:val="clear" w:color="auto" w:fill="auto"/>
          </w:tcPr>
          <w:p w14:paraId="3874B79C">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1.50%</w:t>
            </w:r>
          </w:p>
        </w:tc>
      </w:tr>
      <w:tr w14:paraId="60ED24E8">
        <w:tblPrEx>
          <w:tblCellMar>
            <w:top w:w="0" w:type="dxa"/>
            <w:left w:w="108" w:type="dxa"/>
            <w:bottom w:w="0" w:type="dxa"/>
            <w:right w:w="108" w:type="dxa"/>
          </w:tblCellMar>
        </w:tblPrEx>
        <w:trPr>
          <w:trHeight w:val="402" w:hRule="atLeast"/>
          <w:jc w:val="center"/>
        </w:trPr>
        <w:tc>
          <w:tcPr>
            <w:tcW w:w="2884" w:type="dxa"/>
            <w:tcBorders>
              <w:top w:val="nil"/>
              <w:left w:val="single" w:color="auto" w:sz="8" w:space="0"/>
              <w:bottom w:val="single" w:color="auto" w:sz="8" w:space="0"/>
              <w:right w:val="single" w:color="auto" w:sz="8" w:space="0"/>
            </w:tcBorders>
            <w:shd w:val="clear" w:color="auto" w:fill="auto"/>
          </w:tcPr>
          <w:p w14:paraId="60F1A542">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100-500</w:t>
            </w:r>
          </w:p>
        </w:tc>
        <w:tc>
          <w:tcPr>
            <w:tcW w:w="1438" w:type="dxa"/>
            <w:tcBorders>
              <w:top w:val="nil"/>
              <w:left w:val="nil"/>
              <w:bottom w:val="single" w:color="auto" w:sz="8" w:space="0"/>
              <w:right w:val="single" w:color="auto" w:sz="8" w:space="0"/>
            </w:tcBorders>
            <w:shd w:val="clear" w:color="auto" w:fill="auto"/>
          </w:tcPr>
          <w:p w14:paraId="315DC333">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0.70%</w:t>
            </w:r>
          </w:p>
        </w:tc>
        <w:tc>
          <w:tcPr>
            <w:tcW w:w="1393" w:type="dxa"/>
            <w:tcBorders>
              <w:top w:val="nil"/>
              <w:left w:val="nil"/>
              <w:bottom w:val="single" w:color="auto" w:sz="8" w:space="0"/>
              <w:right w:val="single" w:color="auto" w:sz="8" w:space="0"/>
            </w:tcBorders>
            <w:shd w:val="clear" w:color="auto" w:fill="auto"/>
          </w:tcPr>
          <w:p w14:paraId="7516366B">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1.10%</w:t>
            </w:r>
          </w:p>
        </w:tc>
        <w:tc>
          <w:tcPr>
            <w:tcW w:w="1437" w:type="dxa"/>
            <w:tcBorders>
              <w:top w:val="nil"/>
              <w:left w:val="nil"/>
              <w:bottom w:val="single" w:color="auto" w:sz="8" w:space="0"/>
              <w:right w:val="single" w:color="auto" w:sz="8" w:space="0"/>
            </w:tcBorders>
            <w:shd w:val="clear" w:color="auto" w:fill="auto"/>
          </w:tcPr>
          <w:p w14:paraId="70329E3B">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0.80%</w:t>
            </w:r>
          </w:p>
        </w:tc>
      </w:tr>
      <w:tr w14:paraId="4CDA5126">
        <w:tblPrEx>
          <w:tblCellMar>
            <w:top w:w="0" w:type="dxa"/>
            <w:left w:w="108" w:type="dxa"/>
            <w:bottom w:w="0" w:type="dxa"/>
            <w:right w:w="108" w:type="dxa"/>
          </w:tblCellMar>
        </w:tblPrEx>
        <w:trPr>
          <w:trHeight w:val="402" w:hRule="atLeast"/>
          <w:jc w:val="center"/>
        </w:trPr>
        <w:tc>
          <w:tcPr>
            <w:tcW w:w="2884" w:type="dxa"/>
            <w:tcBorders>
              <w:top w:val="nil"/>
              <w:left w:val="single" w:color="auto" w:sz="8" w:space="0"/>
              <w:bottom w:val="single" w:color="auto" w:sz="8" w:space="0"/>
              <w:right w:val="single" w:color="auto" w:sz="8" w:space="0"/>
            </w:tcBorders>
            <w:shd w:val="clear" w:color="auto" w:fill="auto"/>
          </w:tcPr>
          <w:p w14:paraId="04ADD2A5">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500-1000</w:t>
            </w:r>
          </w:p>
        </w:tc>
        <w:tc>
          <w:tcPr>
            <w:tcW w:w="1438" w:type="dxa"/>
            <w:tcBorders>
              <w:top w:val="nil"/>
              <w:left w:val="nil"/>
              <w:bottom w:val="single" w:color="auto" w:sz="8" w:space="0"/>
              <w:right w:val="single" w:color="auto" w:sz="8" w:space="0"/>
            </w:tcBorders>
            <w:shd w:val="clear" w:color="auto" w:fill="auto"/>
          </w:tcPr>
          <w:p w14:paraId="1B76A8CF">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0.55%</w:t>
            </w:r>
          </w:p>
        </w:tc>
        <w:tc>
          <w:tcPr>
            <w:tcW w:w="1393" w:type="dxa"/>
            <w:tcBorders>
              <w:top w:val="nil"/>
              <w:left w:val="nil"/>
              <w:bottom w:val="single" w:color="auto" w:sz="8" w:space="0"/>
              <w:right w:val="single" w:color="auto" w:sz="8" w:space="0"/>
            </w:tcBorders>
            <w:shd w:val="clear" w:color="auto" w:fill="auto"/>
          </w:tcPr>
          <w:p w14:paraId="3236CEC3">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0.80%</w:t>
            </w:r>
          </w:p>
        </w:tc>
        <w:tc>
          <w:tcPr>
            <w:tcW w:w="1437" w:type="dxa"/>
            <w:tcBorders>
              <w:top w:val="nil"/>
              <w:left w:val="nil"/>
              <w:bottom w:val="single" w:color="auto" w:sz="8" w:space="0"/>
              <w:right w:val="single" w:color="auto" w:sz="8" w:space="0"/>
            </w:tcBorders>
            <w:shd w:val="clear" w:color="auto" w:fill="auto"/>
          </w:tcPr>
          <w:p w14:paraId="7BA6E634">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0.45%</w:t>
            </w:r>
          </w:p>
        </w:tc>
      </w:tr>
      <w:tr w14:paraId="0F873383">
        <w:tblPrEx>
          <w:tblCellMar>
            <w:top w:w="0" w:type="dxa"/>
            <w:left w:w="108" w:type="dxa"/>
            <w:bottom w:w="0" w:type="dxa"/>
            <w:right w:w="108" w:type="dxa"/>
          </w:tblCellMar>
        </w:tblPrEx>
        <w:trPr>
          <w:trHeight w:val="402" w:hRule="atLeast"/>
          <w:jc w:val="center"/>
        </w:trPr>
        <w:tc>
          <w:tcPr>
            <w:tcW w:w="2884" w:type="dxa"/>
            <w:tcBorders>
              <w:top w:val="nil"/>
              <w:left w:val="single" w:color="auto" w:sz="8" w:space="0"/>
              <w:bottom w:val="single" w:color="auto" w:sz="8" w:space="0"/>
              <w:right w:val="single" w:color="auto" w:sz="8" w:space="0"/>
            </w:tcBorders>
            <w:shd w:val="clear" w:color="auto" w:fill="auto"/>
          </w:tcPr>
          <w:p w14:paraId="6E680D2C">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1000-5000</w:t>
            </w:r>
          </w:p>
        </w:tc>
        <w:tc>
          <w:tcPr>
            <w:tcW w:w="1438" w:type="dxa"/>
            <w:tcBorders>
              <w:top w:val="nil"/>
              <w:left w:val="nil"/>
              <w:bottom w:val="single" w:color="auto" w:sz="8" w:space="0"/>
              <w:right w:val="single" w:color="auto" w:sz="8" w:space="0"/>
            </w:tcBorders>
            <w:shd w:val="clear" w:color="auto" w:fill="auto"/>
          </w:tcPr>
          <w:p w14:paraId="28CE402E">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0.35%</w:t>
            </w:r>
          </w:p>
        </w:tc>
        <w:tc>
          <w:tcPr>
            <w:tcW w:w="1393" w:type="dxa"/>
            <w:tcBorders>
              <w:top w:val="nil"/>
              <w:left w:val="nil"/>
              <w:bottom w:val="single" w:color="auto" w:sz="8" w:space="0"/>
              <w:right w:val="single" w:color="auto" w:sz="8" w:space="0"/>
            </w:tcBorders>
            <w:shd w:val="clear" w:color="auto" w:fill="auto"/>
          </w:tcPr>
          <w:p w14:paraId="0B80ED78">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0.50%</w:t>
            </w:r>
          </w:p>
        </w:tc>
        <w:tc>
          <w:tcPr>
            <w:tcW w:w="1437" w:type="dxa"/>
            <w:tcBorders>
              <w:top w:val="nil"/>
              <w:left w:val="nil"/>
              <w:bottom w:val="single" w:color="auto" w:sz="8" w:space="0"/>
              <w:right w:val="single" w:color="auto" w:sz="8" w:space="0"/>
            </w:tcBorders>
            <w:shd w:val="clear" w:color="auto" w:fill="auto"/>
          </w:tcPr>
          <w:p w14:paraId="6C22D661">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0.25%</w:t>
            </w:r>
          </w:p>
        </w:tc>
      </w:tr>
      <w:tr w14:paraId="223D66E1">
        <w:tblPrEx>
          <w:tblCellMar>
            <w:top w:w="0" w:type="dxa"/>
            <w:left w:w="108" w:type="dxa"/>
            <w:bottom w:w="0" w:type="dxa"/>
            <w:right w:w="108" w:type="dxa"/>
          </w:tblCellMar>
        </w:tblPrEx>
        <w:trPr>
          <w:trHeight w:val="402" w:hRule="atLeast"/>
          <w:jc w:val="center"/>
        </w:trPr>
        <w:tc>
          <w:tcPr>
            <w:tcW w:w="2884" w:type="dxa"/>
            <w:tcBorders>
              <w:top w:val="nil"/>
              <w:left w:val="single" w:color="auto" w:sz="8" w:space="0"/>
              <w:bottom w:val="single" w:color="auto" w:sz="8" w:space="0"/>
              <w:right w:val="single" w:color="auto" w:sz="8" w:space="0"/>
            </w:tcBorders>
            <w:shd w:val="clear" w:color="auto" w:fill="auto"/>
          </w:tcPr>
          <w:p w14:paraId="50CFEE33">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5000-10000</w:t>
            </w:r>
          </w:p>
        </w:tc>
        <w:tc>
          <w:tcPr>
            <w:tcW w:w="1438" w:type="dxa"/>
            <w:tcBorders>
              <w:top w:val="nil"/>
              <w:left w:val="nil"/>
              <w:bottom w:val="single" w:color="auto" w:sz="8" w:space="0"/>
              <w:right w:val="single" w:color="auto" w:sz="8" w:space="0"/>
            </w:tcBorders>
            <w:shd w:val="clear" w:color="auto" w:fill="auto"/>
          </w:tcPr>
          <w:p w14:paraId="53F1EA8D">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0.20%</w:t>
            </w:r>
          </w:p>
        </w:tc>
        <w:tc>
          <w:tcPr>
            <w:tcW w:w="1393" w:type="dxa"/>
            <w:tcBorders>
              <w:top w:val="nil"/>
              <w:left w:val="nil"/>
              <w:bottom w:val="single" w:color="auto" w:sz="8" w:space="0"/>
              <w:right w:val="single" w:color="auto" w:sz="8" w:space="0"/>
            </w:tcBorders>
            <w:shd w:val="clear" w:color="auto" w:fill="auto"/>
          </w:tcPr>
          <w:p w14:paraId="02BFFCC4">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0.25%</w:t>
            </w:r>
          </w:p>
        </w:tc>
        <w:tc>
          <w:tcPr>
            <w:tcW w:w="1437" w:type="dxa"/>
            <w:tcBorders>
              <w:top w:val="nil"/>
              <w:left w:val="nil"/>
              <w:bottom w:val="single" w:color="auto" w:sz="8" w:space="0"/>
              <w:right w:val="single" w:color="auto" w:sz="8" w:space="0"/>
            </w:tcBorders>
            <w:shd w:val="clear" w:color="auto" w:fill="auto"/>
          </w:tcPr>
          <w:p w14:paraId="1A50A101">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0.10%</w:t>
            </w:r>
          </w:p>
        </w:tc>
      </w:tr>
      <w:tr w14:paraId="316B724F">
        <w:tblPrEx>
          <w:tblCellMar>
            <w:top w:w="0" w:type="dxa"/>
            <w:left w:w="108" w:type="dxa"/>
            <w:bottom w:w="0" w:type="dxa"/>
            <w:right w:w="108" w:type="dxa"/>
          </w:tblCellMar>
        </w:tblPrEx>
        <w:trPr>
          <w:trHeight w:val="402" w:hRule="atLeast"/>
          <w:jc w:val="center"/>
        </w:trPr>
        <w:tc>
          <w:tcPr>
            <w:tcW w:w="2884" w:type="dxa"/>
            <w:tcBorders>
              <w:top w:val="nil"/>
              <w:left w:val="single" w:color="auto" w:sz="8" w:space="0"/>
              <w:bottom w:val="single" w:color="auto" w:sz="8" w:space="0"/>
              <w:right w:val="single" w:color="auto" w:sz="8" w:space="0"/>
            </w:tcBorders>
            <w:shd w:val="clear" w:color="auto" w:fill="auto"/>
          </w:tcPr>
          <w:p w14:paraId="28A0831B">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10000-50000</w:t>
            </w:r>
          </w:p>
        </w:tc>
        <w:tc>
          <w:tcPr>
            <w:tcW w:w="1438" w:type="dxa"/>
            <w:tcBorders>
              <w:top w:val="nil"/>
              <w:left w:val="nil"/>
              <w:bottom w:val="single" w:color="auto" w:sz="8" w:space="0"/>
              <w:right w:val="single" w:color="auto" w:sz="8" w:space="0"/>
            </w:tcBorders>
            <w:shd w:val="clear" w:color="auto" w:fill="auto"/>
          </w:tcPr>
          <w:p w14:paraId="30D27395">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0.05%</w:t>
            </w:r>
          </w:p>
        </w:tc>
        <w:tc>
          <w:tcPr>
            <w:tcW w:w="1393" w:type="dxa"/>
            <w:tcBorders>
              <w:top w:val="nil"/>
              <w:left w:val="nil"/>
              <w:bottom w:val="single" w:color="auto" w:sz="8" w:space="0"/>
              <w:right w:val="single" w:color="auto" w:sz="8" w:space="0"/>
            </w:tcBorders>
            <w:shd w:val="clear" w:color="auto" w:fill="auto"/>
          </w:tcPr>
          <w:p w14:paraId="14A8EDA1">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0.05%</w:t>
            </w:r>
          </w:p>
        </w:tc>
        <w:tc>
          <w:tcPr>
            <w:tcW w:w="1437" w:type="dxa"/>
            <w:tcBorders>
              <w:top w:val="nil"/>
              <w:left w:val="nil"/>
              <w:bottom w:val="single" w:color="auto" w:sz="8" w:space="0"/>
              <w:right w:val="single" w:color="auto" w:sz="8" w:space="0"/>
            </w:tcBorders>
            <w:shd w:val="clear" w:color="auto" w:fill="auto"/>
          </w:tcPr>
          <w:p w14:paraId="2FB0EC71">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0.05%</w:t>
            </w:r>
          </w:p>
        </w:tc>
      </w:tr>
      <w:tr w14:paraId="2AD71396">
        <w:tblPrEx>
          <w:tblCellMar>
            <w:top w:w="0" w:type="dxa"/>
            <w:left w:w="108" w:type="dxa"/>
            <w:bottom w:w="0" w:type="dxa"/>
            <w:right w:w="108" w:type="dxa"/>
          </w:tblCellMar>
        </w:tblPrEx>
        <w:trPr>
          <w:trHeight w:val="402" w:hRule="atLeast"/>
          <w:jc w:val="center"/>
        </w:trPr>
        <w:tc>
          <w:tcPr>
            <w:tcW w:w="2884" w:type="dxa"/>
            <w:tcBorders>
              <w:top w:val="single" w:color="auto" w:sz="8" w:space="0"/>
              <w:left w:val="single" w:color="auto" w:sz="8" w:space="0"/>
              <w:bottom w:val="single" w:color="auto" w:sz="8" w:space="0"/>
              <w:right w:val="single" w:color="auto" w:sz="8" w:space="0"/>
            </w:tcBorders>
            <w:shd w:val="clear" w:color="auto" w:fill="auto"/>
          </w:tcPr>
          <w:p w14:paraId="020D1094">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50000-100000</w:t>
            </w:r>
          </w:p>
        </w:tc>
        <w:tc>
          <w:tcPr>
            <w:tcW w:w="1438" w:type="dxa"/>
            <w:tcBorders>
              <w:top w:val="single" w:color="auto" w:sz="8" w:space="0"/>
              <w:left w:val="single" w:color="auto" w:sz="8" w:space="0"/>
              <w:bottom w:val="single" w:color="auto" w:sz="8" w:space="0"/>
              <w:right w:val="single" w:color="auto" w:sz="8" w:space="0"/>
            </w:tcBorders>
            <w:shd w:val="clear" w:color="auto" w:fill="auto"/>
          </w:tcPr>
          <w:p w14:paraId="4A41A301">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0.035%</w:t>
            </w:r>
          </w:p>
        </w:tc>
        <w:tc>
          <w:tcPr>
            <w:tcW w:w="1393" w:type="dxa"/>
            <w:tcBorders>
              <w:top w:val="single" w:color="auto" w:sz="8" w:space="0"/>
              <w:left w:val="single" w:color="auto" w:sz="8" w:space="0"/>
              <w:bottom w:val="single" w:color="auto" w:sz="8" w:space="0"/>
              <w:right w:val="single" w:color="auto" w:sz="8" w:space="0"/>
            </w:tcBorders>
            <w:shd w:val="clear" w:color="auto" w:fill="auto"/>
          </w:tcPr>
          <w:p w14:paraId="531741C5">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0.035%</w:t>
            </w:r>
          </w:p>
        </w:tc>
        <w:tc>
          <w:tcPr>
            <w:tcW w:w="1437" w:type="dxa"/>
            <w:tcBorders>
              <w:top w:val="single" w:color="auto" w:sz="8" w:space="0"/>
              <w:left w:val="single" w:color="auto" w:sz="8" w:space="0"/>
              <w:bottom w:val="single" w:color="auto" w:sz="8" w:space="0"/>
              <w:right w:val="single" w:color="auto" w:sz="8" w:space="0"/>
            </w:tcBorders>
            <w:shd w:val="clear" w:color="auto" w:fill="auto"/>
          </w:tcPr>
          <w:p w14:paraId="3E42FC55">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0.035%</w:t>
            </w:r>
          </w:p>
        </w:tc>
      </w:tr>
      <w:tr w14:paraId="34656E40">
        <w:tblPrEx>
          <w:tblCellMar>
            <w:top w:w="0" w:type="dxa"/>
            <w:left w:w="108" w:type="dxa"/>
            <w:bottom w:w="0" w:type="dxa"/>
            <w:right w:w="108" w:type="dxa"/>
          </w:tblCellMar>
        </w:tblPrEx>
        <w:trPr>
          <w:trHeight w:val="402" w:hRule="atLeast"/>
          <w:jc w:val="center"/>
        </w:trPr>
        <w:tc>
          <w:tcPr>
            <w:tcW w:w="2884" w:type="dxa"/>
            <w:tcBorders>
              <w:top w:val="single" w:color="auto" w:sz="8" w:space="0"/>
              <w:left w:val="single" w:color="auto" w:sz="8" w:space="0"/>
              <w:bottom w:val="single" w:color="auto" w:sz="8" w:space="0"/>
              <w:right w:val="single" w:color="auto" w:sz="8" w:space="0"/>
            </w:tcBorders>
            <w:shd w:val="clear" w:color="auto" w:fill="auto"/>
          </w:tcPr>
          <w:p w14:paraId="181718A4">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100000-500000</w:t>
            </w:r>
          </w:p>
        </w:tc>
        <w:tc>
          <w:tcPr>
            <w:tcW w:w="1438" w:type="dxa"/>
            <w:tcBorders>
              <w:top w:val="single" w:color="auto" w:sz="8" w:space="0"/>
              <w:left w:val="single" w:color="auto" w:sz="8" w:space="0"/>
              <w:bottom w:val="single" w:color="auto" w:sz="8" w:space="0"/>
              <w:right w:val="single" w:color="auto" w:sz="8" w:space="0"/>
            </w:tcBorders>
            <w:shd w:val="clear" w:color="auto" w:fill="auto"/>
          </w:tcPr>
          <w:p w14:paraId="4919196E">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0.008%</w:t>
            </w:r>
          </w:p>
        </w:tc>
        <w:tc>
          <w:tcPr>
            <w:tcW w:w="1393" w:type="dxa"/>
            <w:tcBorders>
              <w:top w:val="single" w:color="auto" w:sz="8" w:space="0"/>
              <w:left w:val="single" w:color="auto" w:sz="8" w:space="0"/>
              <w:bottom w:val="single" w:color="auto" w:sz="8" w:space="0"/>
              <w:right w:val="single" w:color="auto" w:sz="8" w:space="0"/>
            </w:tcBorders>
            <w:shd w:val="clear" w:color="auto" w:fill="auto"/>
          </w:tcPr>
          <w:p w14:paraId="62F1603C">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0.008%</w:t>
            </w:r>
          </w:p>
        </w:tc>
        <w:tc>
          <w:tcPr>
            <w:tcW w:w="1437" w:type="dxa"/>
            <w:tcBorders>
              <w:top w:val="single" w:color="auto" w:sz="8" w:space="0"/>
              <w:left w:val="single" w:color="auto" w:sz="8" w:space="0"/>
              <w:bottom w:val="single" w:color="auto" w:sz="8" w:space="0"/>
              <w:right w:val="single" w:color="auto" w:sz="8" w:space="0"/>
            </w:tcBorders>
            <w:shd w:val="clear" w:color="auto" w:fill="auto"/>
          </w:tcPr>
          <w:p w14:paraId="6105BE61">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0.008%</w:t>
            </w:r>
          </w:p>
        </w:tc>
      </w:tr>
      <w:tr w14:paraId="5B90F510">
        <w:tblPrEx>
          <w:tblCellMar>
            <w:top w:w="0" w:type="dxa"/>
            <w:left w:w="108" w:type="dxa"/>
            <w:bottom w:w="0" w:type="dxa"/>
            <w:right w:w="108" w:type="dxa"/>
          </w:tblCellMar>
        </w:tblPrEx>
        <w:trPr>
          <w:trHeight w:val="402" w:hRule="atLeast"/>
          <w:jc w:val="center"/>
        </w:trPr>
        <w:tc>
          <w:tcPr>
            <w:tcW w:w="2884" w:type="dxa"/>
            <w:tcBorders>
              <w:top w:val="single" w:color="auto" w:sz="8" w:space="0"/>
              <w:left w:val="single" w:color="auto" w:sz="8" w:space="0"/>
              <w:bottom w:val="single" w:color="auto" w:sz="8" w:space="0"/>
              <w:right w:val="single" w:color="auto" w:sz="8" w:space="0"/>
            </w:tcBorders>
            <w:shd w:val="clear" w:color="auto" w:fill="auto"/>
          </w:tcPr>
          <w:p w14:paraId="32434D04">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500000-1000000</w:t>
            </w:r>
          </w:p>
        </w:tc>
        <w:tc>
          <w:tcPr>
            <w:tcW w:w="1438" w:type="dxa"/>
            <w:tcBorders>
              <w:top w:val="single" w:color="auto" w:sz="8" w:space="0"/>
              <w:left w:val="single" w:color="auto" w:sz="8" w:space="0"/>
              <w:bottom w:val="single" w:color="auto" w:sz="8" w:space="0"/>
              <w:right w:val="single" w:color="auto" w:sz="8" w:space="0"/>
            </w:tcBorders>
            <w:shd w:val="clear" w:color="auto" w:fill="auto"/>
          </w:tcPr>
          <w:p w14:paraId="5AEE5C08">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0.006%</w:t>
            </w:r>
          </w:p>
        </w:tc>
        <w:tc>
          <w:tcPr>
            <w:tcW w:w="1393" w:type="dxa"/>
            <w:tcBorders>
              <w:top w:val="single" w:color="auto" w:sz="8" w:space="0"/>
              <w:left w:val="single" w:color="auto" w:sz="8" w:space="0"/>
              <w:bottom w:val="single" w:color="auto" w:sz="8" w:space="0"/>
              <w:right w:val="single" w:color="auto" w:sz="8" w:space="0"/>
            </w:tcBorders>
            <w:shd w:val="clear" w:color="auto" w:fill="auto"/>
          </w:tcPr>
          <w:p w14:paraId="054D86FC">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0.006%</w:t>
            </w:r>
          </w:p>
        </w:tc>
        <w:tc>
          <w:tcPr>
            <w:tcW w:w="1437" w:type="dxa"/>
            <w:tcBorders>
              <w:top w:val="single" w:color="auto" w:sz="8" w:space="0"/>
              <w:left w:val="single" w:color="auto" w:sz="8" w:space="0"/>
              <w:bottom w:val="single" w:color="auto" w:sz="8" w:space="0"/>
              <w:right w:val="single" w:color="auto" w:sz="8" w:space="0"/>
            </w:tcBorders>
            <w:shd w:val="clear" w:color="auto" w:fill="auto"/>
          </w:tcPr>
          <w:p w14:paraId="0A40307E">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0.006%</w:t>
            </w:r>
          </w:p>
        </w:tc>
      </w:tr>
      <w:tr w14:paraId="5DB05D89">
        <w:tblPrEx>
          <w:tblCellMar>
            <w:top w:w="0" w:type="dxa"/>
            <w:left w:w="108" w:type="dxa"/>
            <w:bottom w:w="0" w:type="dxa"/>
            <w:right w:w="108" w:type="dxa"/>
          </w:tblCellMar>
        </w:tblPrEx>
        <w:trPr>
          <w:trHeight w:val="402" w:hRule="atLeast"/>
          <w:jc w:val="center"/>
        </w:trPr>
        <w:tc>
          <w:tcPr>
            <w:tcW w:w="2884" w:type="dxa"/>
            <w:tcBorders>
              <w:top w:val="single" w:color="auto" w:sz="8" w:space="0"/>
              <w:left w:val="single" w:color="auto" w:sz="8" w:space="0"/>
              <w:bottom w:val="single" w:color="auto" w:sz="8" w:space="0"/>
              <w:right w:val="single" w:color="auto" w:sz="8" w:space="0"/>
            </w:tcBorders>
            <w:shd w:val="clear" w:color="auto" w:fill="auto"/>
          </w:tcPr>
          <w:p w14:paraId="631655DB">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1000000以上</w:t>
            </w:r>
          </w:p>
        </w:tc>
        <w:tc>
          <w:tcPr>
            <w:tcW w:w="1438" w:type="dxa"/>
            <w:tcBorders>
              <w:top w:val="single" w:color="auto" w:sz="8" w:space="0"/>
              <w:left w:val="single" w:color="auto" w:sz="8" w:space="0"/>
              <w:bottom w:val="single" w:color="auto" w:sz="8" w:space="0"/>
              <w:right w:val="single" w:color="auto" w:sz="8" w:space="0"/>
            </w:tcBorders>
            <w:shd w:val="clear" w:color="auto" w:fill="auto"/>
          </w:tcPr>
          <w:p w14:paraId="6AE893BD">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0.004%</w:t>
            </w:r>
          </w:p>
        </w:tc>
        <w:tc>
          <w:tcPr>
            <w:tcW w:w="1393" w:type="dxa"/>
            <w:tcBorders>
              <w:top w:val="single" w:color="auto" w:sz="8" w:space="0"/>
              <w:left w:val="single" w:color="auto" w:sz="8" w:space="0"/>
              <w:bottom w:val="single" w:color="auto" w:sz="8" w:space="0"/>
              <w:right w:val="single" w:color="auto" w:sz="8" w:space="0"/>
            </w:tcBorders>
            <w:shd w:val="clear" w:color="auto" w:fill="auto"/>
          </w:tcPr>
          <w:p w14:paraId="7778AA0D">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0.004%</w:t>
            </w:r>
          </w:p>
        </w:tc>
        <w:tc>
          <w:tcPr>
            <w:tcW w:w="1437" w:type="dxa"/>
            <w:tcBorders>
              <w:top w:val="single" w:color="auto" w:sz="8" w:space="0"/>
              <w:left w:val="single" w:color="auto" w:sz="8" w:space="0"/>
              <w:bottom w:val="single" w:color="auto" w:sz="8" w:space="0"/>
              <w:right w:val="single" w:color="auto" w:sz="8" w:space="0"/>
            </w:tcBorders>
            <w:shd w:val="clear" w:color="auto" w:fill="auto"/>
          </w:tcPr>
          <w:p w14:paraId="6B20A03E">
            <w:pPr>
              <w:widowControl/>
              <w:spacing w:before="120" w:beforeLines="50" w:after="120" w:afterLines="50" w:line="240" w:lineRule="exact"/>
              <w:jc w:val="center"/>
              <w:rPr>
                <w:rFonts w:ascii="宋体" w:hAnsi="宋体" w:cs="仿宋_GB2312"/>
                <w:bCs/>
                <w:color w:val="FF0000"/>
                <w:kern w:val="0"/>
                <w:sz w:val="24"/>
                <w:szCs w:val="21"/>
              </w:rPr>
            </w:pPr>
            <w:r>
              <w:rPr>
                <w:rFonts w:hint="eastAsia" w:ascii="宋体" w:hAnsi="宋体" w:cs="仿宋_GB2312"/>
                <w:bCs/>
                <w:color w:val="FF0000"/>
                <w:kern w:val="0"/>
                <w:sz w:val="24"/>
                <w:szCs w:val="21"/>
                <w:lang w:bidi="ar"/>
              </w:rPr>
              <w:t>0.004%</w:t>
            </w:r>
          </w:p>
        </w:tc>
      </w:tr>
    </w:tbl>
    <w:p w14:paraId="52014A14">
      <w:pPr>
        <w:widowControl/>
        <w:ind w:firstLine="480" w:firstLineChars="200"/>
        <w:jc w:val="left"/>
        <w:rPr>
          <w:rFonts w:ascii="宋体" w:hAnsi="宋体" w:cs="宋体"/>
          <w:color w:val="FF0000"/>
          <w:kern w:val="0"/>
          <w:sz w:val="24"/>
          <w:szCs w:val="21"/>
        </w:rPr>
      </w:pPr>
      <w:r>
        <w:rPr>
          <w:rFonts w:hint="eastAsia" w:ascii="宋体" w:hAnsi="宋体" w:cs="宋体"/>
          <w:color w:val="FF0000"/>
          <w:kern w:val="0"/>
          <w:sz w:val="24"/>
          <w:szCs w:val="21"/>
          <w:lang w:bidi="ar"/>
        </w:rPr>
        <w:t>如某货物招标项目，中标金额为600万，需交纳的代理服务费具体计算如下：</w:t>
      </w:r>
    </w:p>
    <w:p w14:paraId="1683BE08">
      <w:pPr>
        <w:widowControl/>
        <w:ind w:firstLine="480" w:firstLineChars="200"/>
        <w:jc w:val="left"/>
        <w:rPr>
          <w:rFonts w:ascii="宋体" w:hAnsi="宋体" w:cs="宋体"/>
          <w:color w:val="FF0000"/>
          <w:kern w:val="0"/>
          <w:sz w:val="24"/>
          <w:szCs w:val="21"/>
        </w:rPr>
      </w:pPr>
      <w:r>
        <w:rPr>
          <w:rFonts w:hint="eastAsia" w:ascii="宋体" w:hAnsi="宋体" w:cs="宋体"/>
          <w:color w:val="FF0000"/>
          <w:kern w:val="0"/>
          <w:sz w:val="24"/>
          <w:szCs w:val="21"/>
          <w:lang w:bidi="ar"/>
        </w:rPr>
        <w:t>代理服务费＝（100万以下部分的代理服务费）+（100万～500万部分的代理服务费）+（500万～600万部分的代理服务费）＝100万元×1.5%+（500-100）万元×1.1%+（600-500）万元×0.8%=1.5万元+4.4万元+0.8万元＝6.7万元</w:t>
      </w:r>
    </w:p>
    <w:p w14:paraId="571DE770">
      <w:pPr>
        <w:widowControl/>
        <w:ind w:firstLine="480" w:firstLineChars="200"/>
        <w:jc w:val="left"/>
        <w:rPr>
          <w:rFonts w:ascii="宋体" w:hAnsi="宋体" w:cs="宋体"/>
          <w:color w:val="FF0000"/>
          <w:kern w:val="0"/>
          <w:sz w:val="24"/>
          <w:szCs w:val="21"/>
        </w:rPr>
      </w:pPr>
      <w:r>
        <w:rPr>
          <w:rFonts w:hint="eastAsia" w:ascii="宋体" w:hAnsi="宋体" w:cs="宋体"/>
          <w:color w:val="FF0000"/>
          <w:kern w:val="0"/>
          <w:sz w:val="24"/>
          <w:szCs w:val="21"/>
          <w:lang w:bidi="ar"/>
        </w:rPr>
        <w:t>（三）每宗交易代理服务费不低于8000元；</w:t>
      </w:r>
    </w:p>
    <w:p w14:paraId="314485CF">
      <w:pPr>
        <w:widowControl/>
        <w:ind w:firstLine="480" w:firstLineChars="200"/>
        <w:jc w:val="left"/>
        <w:rPr>
          <w:rFonts w:ascii="宋体" w:hAnsi="宋体" w:cs="宋体"/>
          <w:color w:val="FF0000"/>
          <w:kern w:val="0"/>
          <w:sz w:val="24"/>
          <w:szCs w:val="21"/>
        </w:rPr>
      </w:pPr>
      <w:r>
        <w:rPr>
          <w:rFonts w:hint="eastAsia" w:ascii="宋体" w:hAnsi="宋体" w:cs="宋体"/>
          <w:color w:val="FF0000"/>
          <w:kern w:val="0"/>
          <w:sz w:val="24"/>
          <w:szCs w:val="21"/>
          <w:lang w:bidi="ar"/>
        </w:rPr>
        <w:t>（四）中标供应商中标后，必须按规定采用银行对公转账方式向深圳交易集团有限公司直接交纳代理服务费，交纳信息及要求按以下规定执行：</w:t>
      </w:r>
    </w:p>
    <w:p w14:paraId="2CCE3309">
      <w:pPr>
        <w:widowControl/>
        <w:ind w:firstLine="482" w:firstLineChars="200"/>
        <w:jc w:val="left"/>
        <w:rPr>
          <w:rFonts w:ascii="宋体" w:hAnsi="宋体" w:cs="宋体"/>
          <w:bCs/>
          <w:color w:val="FF0000"/>
          <w:kern w:val="0"/>
          <w:sz w:val="24"/>
          <w:szCs w:val="21"/>
        </w:rPr>
      </w:pPr>
      <w:r>
        <w:rPr>
          <w:rFonts w:hint="eastAsia" w:ascii="宋体" w:hAnsi="宋体" w:cs="宋体"/>
          <w:b/>
          <w:color w:val="FF0000"/>
          <w:kern w:val="0"/>
          <w:sz w:val="24"/>
          <w:szCs w:val="21"/>
          <w:lang w:bidi="ar"/>
        </w:rPr>
        <w:t>基本户信息：</w:t>
      </w:r>
    </w:p>
    <w:p w14:paraId="7D88BC21">
      <w:pPr>
        <w:widowControl/>
        <w:ind w:firstLine="480" w:firstLineChars="200"/>
        <w:jc w:val="left"/>
        <w:rPr>
          <w:rFonts w:ascii="宋体" w:hAnsi="宋体" w:cs="宋体"/>
          <w:color w:val="FF0000"/>
          <w:kern w:val="0"/>
          <w:sz w:val="24"/>
          <w:szCs w:val="21"/>
        </w:rPr>
      </w:pPr>
      <w:r>
        <w:rPr>
          <w:rFonts w:hint="eastAsia" w:ascii="宋体" w:hAnsi="宋体" w:cs="宋体"/>
          <w:color w:val="FF0000"/>
          <w:kern w:val="0"/>
          <w:sz w:val="24"/>
          <w:szCs w:val="21"/>
          <w:lang w:bidi="ar"/>
        </w:rPr>
        <w:t>账户名：深圳交易集团有限公司</w:t>
      </w:r>
    </w:p>
    <w:p w14:paraId="01A6325B">
      <w:pPr>
        <w:widowControl/>
        <w:ind w:firstLine="480" w:firstLineChars="200"/>
        <w:jc w:val="left"/>
        <w:rPr>
          <w:rFonts w:ascii="宋体" w:hAnsi="宋体" w:cs="宋体"/>
          <w:color w:val="FF0000"/>
          <w:kern w:val="0"/>
          <w:sz w:val="24"/>
          <w:szCs w:val="21"/>
        </w:rPr>
      </w:pPr>
      <w:r>
        <w:rPr>
          <w:rFonts w:hint="eastAsia" w:ascii="宋体" w:hAnsi="宋体" w:cs="宋体"/>
          <w:color w:val="FF0000"/>
          <w:kern w:val="0"/>
          <w:sz w:val="24"/>
          <w:szCs w:val="21"/>
          <w:lang w:bidi="ar"/>
        </w:rPr>
        <w:t>账号：632765883</w:t>
      </w:r>
    </w:p>
    <w:p w14:paraId="5FE683FB">
      <w:pPr>
        <w:widowControl/>
        <w:ind w:firstLine="480" w:firstLineChars="200"/>
        <w:jc w:val="left"/>
        <w:rPr>
          <w:rFonts w:ascii="宋体" w:hAnsi="宋体" w:cs="宋体"/>
          <w:color w:val="FF0000"/>
          <w:kern w:val="0"/>
          <w:sz w:val="24"/>
          <w:szCs w:val="21"/>
        </w:rPr>
      </w:pPr>
      <w:r>
        <w:rPr>
          <w:rFonts w:hint="eastAsia" w:ascii="宋体" w:hAnsi="宋体" w:cs="宋体"/>
          <w:color w:val="FF0000"/>
          <w:kern w:val="0"/>
          <w:sz w:val="24"/>
          <w:szCs w:val="21"/>
          <w:lang w:bidi="ar"/>
        </w:rPr>
        <w:t>开户行：民生银行深圳五洲支行</w:t>
      </w:r>
    </w:p>
    <w:p w14:paraId="2962137F">
      <w:pPr>
        <w:widowControl/>
        <w:ind w:firstLine="482" w:firstLineChars="200"/>
        <w:jc w:val="left"/>
        <w:rPr>
          <w:rFonts w:ascii="宋体" w:hAnsi="宋体" w:cs="宋体"/>
          <w:bCs/>
          <w:color w:val="FF0000"/>
          <w:kern w:val="0"/>
          <w:sz w:val="24"/>
          <w:szCs w:val="21"/>
        </w:rPr>
      </w:pPr>
      <w:r>
        <w:rPr>
          <w:rFonts w:hint="eastAsia" w:ascii="宋体" w:hAnsi="宋体" w:cs="宋体"/>
          <w:b/>
          <w:color w:val="FF0000"/>
          <w:kern w:val="0"/>
          <w:sz w:val="24"/>
          <w:szCs w:val="21"/>
          <w:lang w:bidi="ar"/>
        </w:rPr>
        <w:t>转账备注：</w:t>
      </w:r>
    </w:p>
    <w:p w14:paraId="3292AFE0">
      <w:pPr>
        <w:widowControl/>
        <w:ind w:firstLine="480" w:firstLineChars="200"/>
        <w:jc w:val="left"/>
        <w:rPr>
          <w:rFonts w:ascii="宋体" w:hAnsi="宋体" w:cs="宋体"/>
          <w:bCs/>
          <w:color w:val="FF0000"/>
          <w:kern w:val="0"/>
          <w:sz w:val="24"/>
          <w:szCs w:val="21"/>
        </w:rPr>
      </w:pPr>
      <w:r>
        <w:rPr>
          <w:rFonts w:hint="eastAsia" w:ascii="宋体" w:hAnsi="宋体" w:cs="宋体"/>
          <w:bCs/>
          <w:color w:val="FF0000"/>
          <w:kern w:val="0"/>
          <w:sz w:val="24"/>
          <w:szCs w:val="21"/>
          <w:lang w:bidi="ar"/>
        </w:rPr>
        <w:t>项目编号+项目名称+中标金额+中标供应商名称</w:t>
      </w:r>
    </w:p>
    <w:p w14:paraId="4071FBD1">
      <w:pPr>
        <w:widowControl/>
        <w:jc w:val="left"/>
        <w:rPr>
          <w:b/>
          <w:kern w:val="0"/>
          <w:sz w:val="24"/>
        </w:rPr>
      </w:pPr>
    </w:p>
    <w:p w14:paraId="6FD659CA">
      <w:pPr>
        <w:widowControl/>
        <w:jc w:val="left"/>
        <w:rPr>
          <w:b/>
          <w:kern w:val="0"/>
          <w:sz w:val="24"/>
        </w:rPr>
      </w:pPr>
    </w:p>
    <w:p w14:paraId="0D3F848F">
      <w:pPr>
        <w:rPr>
          <w:b/>
        </w:rPr>
      </w:pPr>
    </w:p>
    <w:bookmarkEnd w:id="32"/>
    <w:p w14:paraId="58CD2442">
      <w:pPr>
        <w:pStyle w:val="5"/>
        <w:rPr>
          <w:sz w:val="28"/>
          <w:szCs w:val="28"/>
        </w:rPr>
      </w:pPr>
      <w:r>
        <w:rPr>
          <w:rFonts w:hint="eastAsia"/>
          <w:sz w:val="28"/>
          <w:szCs w:val="28"/>
        </w:rPr>
        <w:t>第三章 用户需求书</w:t>
      </w:r>
    </w:p>
    <w:p w14:paraId="50F4EEAA">
      <w:pPr>
        <w:pStyle w:val="5"/>
        <w:spacing w:before="120" w:beforeLines="50" w:after="120" w:afterLines="50"/>
        <w:rPr>
          <w:szCs w:val="24"/>
        </w:rPr>
      </w:pPr>
      <w:r>
        <w:rPr>
          <w:rFonts w:hint="eastAsia"/>
          <w:szCs w:val="24"/>
        </w:rPr>
        <w:t>一、项目基本信息</w:t>
      </w:r>
    </w:p>
    <w:p w14:paraId="5F74BECE">
      <w:pPr>
        <w:rPr>
          <w:rFonts w:ascii="宋体" w:hAnsi="宋体"/>
          <w:b/>
          <w:color w:val="FF0000"/>
          <w:szCs w:val="21"/>
        </w:rPr>
      </w:pPr>
    </w:p>
    <w:tbl>
      <w:tblPr>
        <w:tblStyle w:val="43"/>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2562"/>
        <w:gridCol w:w="3113"/>
        <w:gridCol w:w="2312"/>
      </w:tblGrid>
      <w:tr w14:paraId="25FF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42" w:type="dxa"/>
            <w:vAlign w:val="center"/>
          </w:tcPr>
          <w:p w14:paraId="1CC8D6E1">
            <w:pPr>
              <w:jc w:val="center"/>
              <w:rPr>
                <w:bCs/>
                <w:szCs w:val="21"/>
              </w:rPr>
            </w:pPr>
            <w:r>
              <w:rPr>
                <w:rFonts w:hint="eastAsia"/>
                <w:bCs/>
                <w:szCs w:val="21"/>
              </w:rPr>
              <w:t>序号</w:t>
            </w:r>
          </w:p>
        </w:tc>
        <w:tc>
          <w:tcPr>
            <w:tcW w:w="2562" w:type="dxa"/>
            <w:vAlign w:val="center"/>
          </w:tcPr>
          <w:p w14:paraId="5FE83ABF">
            <w:pPr>
              <w:jc w:val="center"/>
              <w:rPr>
                <w:bCs/>
                <w:szCs w:val="21"/>
              </w:rPr>
            </w:pPr>
            <w:r>
              <w:rPr>
                <w:rFonts w:hint="eastAsia"/>
                <w:szCs w:val="21"/>
              </w:rPr>
              <w:t>采购计划编号</w:t>
            </w:r>
          </w:p>
        </w:tc>
        <w:tc>
          <w:tcPr>
            <w:tcW w:w="3113" w:type="dxa"/>
            <w:vAlign w:val="center"/>
          </w:tcPr>
          <w:p w14:paraId="6B229663">
            <w:pPr>
              <w:jc w:val="center"/>
              <w:rPr>
                <w:bCs/>
                <w:szCs w:val="21"/>
              </w:rPr>
            </w:pPr>
            <w:r>
              <w:rPr>
                <w:rFonts w:hint="eastAsia"/>
                <w:bCs/>
                <w:szCs w:val="21"/>
              </w:rPr>
              <w:t>采购项目名称</w:t>
            </w:r>
          </w:p>
        </w:tc>
        <w:tc>
          <w:tcPr>
            <w:tcW w:w="2312" w:type="dxa"/>
            <w:vAlign w:val="center"/>
          </w:tcPr>
          <w:p w14:paraId="28F04E79">
            <w:pPr>
              <w:jc w:val="center"/>
              <w:rPr>
                <w:b/>
                <w:bCs/>
                <w:color w:val="FF0000"/>
                <w:szCs w:val="21"/>
              </w:rPr>
            </w:pPr>
            <w:r>
              <w:rPr>
                <w:rFonts w:hint="eastAsia"/>
                <w:b/>
                <w:bCs/>
                <w:color w:val="FF0000"/>
                <w:szCs w:val="21"/>
              </w:rPr>
              <w:t>财政预算限额（元）</w:t>
            </w:r>
          </w:p>
        </w:tc>
      </w:tr>
      <w:tr w14:paraId="2C42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2" w:type="dxa"/>
            <w:vAlign w:val="center"/>
          </w:tcPr>
          <w:p w14:paraId="4EDAD1D1">
            <w:pPr>
              <w:jc w:val="center"/>
              <w:rPr>
                <w:bCs/>
                <w:color w:val="FF0000"/>
                <w:szCs w:val="21"/>
              </w:rPr>
            </w:pPr>
            <w:r>
              <w:rPr>
                <w:rFonts w:hint="eastAsia"/>
                <w:bCs/>
                <w:color w:val="FF0000"/>
                <w:szCs w:val="21"/>
              </w:rPr>
              <w:t>1</w:t>
            </w:r>
          </w:p>
        </w:tc>
        <w:tc>
          <w:tcPr>
            <w:tcW w:w="2562" w:type="dxa"/>
            <w:vAlign w:val="center"/>
          </w:tcPr>
          <w:p w14:paraId="3BB012EC">
            <w:pPr>
              <w:jc w:val="center"/>
              <w:rPr>
                <w:bCs/>
                <w:color w:val="FF0000"/>
                <w:szCs w:val="21"/>
              </w:rPr>
            </w:pPr>
            <w:r>
              <w:rPr>
                <w:rFonts w:hint="eastAsia"/>
                <w:bCs/>
                <w:color w:val="FF0000"/>
                <w:szCs w:val="21"/>
              </w:rPr>
              <w:t xml:space="preserve">PLAN-2021-440301-0102018021-01171 </w:t>
            </w:r>
          </w:p>
        </w:tc>
        <w:tc>
          <w:tcPr>
            <w:tcW w:w="3113" w:type="dxa"/>
            <w:vAlign w:val="center"/>
          </w:tcPr>
          <w:p w14:paraId="6CD2B2F6">
            <w:pPr>
              <w:jc w:val="center"/>
              <w:rPr>
                <w:b/>
                <w:bCs/>
                <w:color w:val="FF0000"/>
                <w:szCs w:val="21"/>
              </w:rPr>
            </w:pPr>
            <w:r>
              <w:rPr>
                <w:rFonts w:hint="eastAsia"/>
                <w:b/>
                <w:bCs/>
                <w:color w:val="FF0000"/>
                <w:szCs w:val="21"/>
              </w:rPr>
              <w:t>深圳市眼科医院医用设备提升项目-流式细胞仪</w:t>
            </w:r>
          </w:p>
        </w:tc>
        <w:tc>
          <w:tcPr>
            <w:tcW w:w="2312" w:type="dxa"/>
            <w:vAlign w:val="center"/>
          </w:tcPr>
          <w:p w14:paraId="6A286F4A">
            <w:pPr>
              <w:jc w:val="center"/>
              <w:rPr>
                <w:bCs/>
                <w:color w:val="FF0000"/>
                <w:szCs w:val="21"/>
              </w:rPr>
            </w:pPr>
            <w:r>
              <w:rPr>
                <w:rFonts w:hint="eastAsia"/>
                <w:bCs/>
                <w:color w:val="FF0000"/>
                <w:szCs w:val="21"/>
              </w:rPr>
              <w:t>1,400,000.00</w:t>
            </w:r>
          </w:p>
        </w:tc>
      </w:tr>
    </w:tbl>
    <w:p w14:paraId="0A90A3CE">
      <w:pPr>
        <w:rPr>
          <w:rFonts w:ascii="宋体" w:hAnsi="宋体"/>
          <w:b/>
          <w:color w:val="FF0000"/>
          <w:szCs w:val="21"/>
        </w:rPr>
      </w:pPr>
    </w:p>
    <w:p w14:paraId="69E8D9A5">
      <w:pPr>
        <w:pStyle w:val="5"/>
        <w:spacing w:before="120" w:beforeLines="50" w:after="120" w:afterLines="50"/>
        <w:rPr>
          <w:szCs w:val="24"/>
        </w:rPr>
      </w:pPr>
      <w:bookmarkStart w:id="37" w:name="_Hlk72258617"/>
      <w:r>
        <w:rPr>
          <w:rFonts w:hint="eastAsia"/>
          <w:szCs w:val="24"/>
        </w:rPr>
        <w:t>二、</w:t>
      </w:r>
      <w:bookmarkStart w:id="38" w:name="_Hlk72073432"/>
      <w:r>
        <w:rPr>
          <w:rFonts w:hint="eastAsia"/>
          <w:szCs w:val="24"/>
        </w:rPr>
        <w:t>货物需求明细</w:t>
      </w:r>
      <w:bookmarkEnd w:id="38"/>
    </w:p>
    <w:tbl>
      <w:tblPr>
        <w:tblStyle w:val="43"/>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961"/>
        <w:gridCol w:w="2600"/>
        <w:gridCol w:w="531"/>
        <w:gridCol w:w="542"/>
        <w:gridCol w:w="1653"/>
        <w:gridCol w:w="1653"/>
      </w:tblGrid>
      <w:tr w14:paraId="5F38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89" w:type="dxa"/>
            <w:vAlign w:val="center"/>
          </w:tcPr>
          <w:p w14:paraId="24F2778B">
            <w:pPr>
              <w:jc w:val="center"/>
              <w:rPr>
                <w:bCs/>
                <w:szCs w:val="21"/>
              </w:rPr>
            </w:pPr>
            <w:r>
              <w:rPr>
                <w:rFonts w:hint="eastAsia"/>
                <w:bCs/>
                <w:szCs w:val="21"/>
              </w:rPr>
              <w:t>序号</w:t>
            </w:r>
          </w:p>
        </w:tc>
        <w:tc>
          <w:tcPr>
            <w:tcW w:w="961" w:type="dxa"/>
            <w:vAlign w:val="center"/>
          </w:tcPr>
          <w:p w14:paraId="04E0D8DB">
            <w:pPr>
              <w:jc w:val="center"/>
              <w:rPr>
                <w:bCs/>
                <w:szCs w:val="21"/>
              </w:rPr>
            </w:pPr>
            <w:r>
              <w:rPr>
                <w:rFonts w:hint="eastAsia"/>
                <w:szCs w:val="21"/>
              </w:rPr>
              <w:t>采购计划编号</w:t>
            </w:r>
          </w:p>
        </w:tc>
        <w:tc>
          <w:tcPr>
            <w:tcW w:w="2600" w:type="dxa"/>
            <w:vAlign w:val="center"/>
          </w:tcPr>
          <w:p w14:paraId="40EBF65E">
            <w:pPr>
              <w:jc w:val="center"/>
              <w:rPr>
                <w:bCs/>
                <w:szCs w:val="21"/>
              </w:rPr>
            </w:pPr>
            <w:r>
              <w:rPr>
                <w:rFonts w:hint="eastAsia"/>
                <w:bCs/>
                <w:szCs w:val="21"/>
              </w:rPr>
              <w:t>货物名称（标的名称）</w:t>
            </w:r>
          </w:p>
        </w:tc>
        <w:tc>
          <w:tcPr>
            <w:tcW w:w="531" w:type="dxa"/>
            <w:vAlign w:val="center"/>
          </w:tcPr>
          <w:p w14:paraId="37573F74">
            <w:pPr>
              <w:jc w:val="center"/>
              <w:rPr>
                <w:bCs/>
                <w:szCs w:val="21"/>
              </w:rPr>
            </w:pPr>
            <w:r>
              <w:rPr>
                <w:rFonts w:hint="eastAsia"/>
                <w:bCs/>
                <w:szCs w:val="21"/>
              </w:rPr>
              <w:t>数量</w:t>
            </w:r>
          </w:p>
        </w:tc>
        <w:tc>
          <w:tcPr>
            <w:tcW w:w="542" w:type="dxa"/>
            <w:vAlign w:val="center"/>
          </w:tcPr>
          <w:p w14:paraId="292A0DAC">
            <w:pPr>
              <w:jc w:val="center"/>
              <w:rPr>
                <w:bCs/>
                <w:szCs w:val="21"/>
              </w:rPr>
            </w:pPr>
            <w:r>
              <w:rPr>
                <w:rFonts w:hint="eastAsia"/>
                <w:bCs/>
                <w:szCs w:val="21"/>
              </w:rPr>
              <w:t>单位</w:t>
            </w:r>
          </w:p>
        </w:tc>
        <w:tc>
          <w:tcPr>
            <w:tcW w:w="1653" w:type="dxa"/>
            <w:vAlign w:val="center"/>
          </w:tcPr>
          <w:p w14:paraId="4D5B52BB">
            <w:pPr>
              <w:jc w:val="center"/>
              <w:rPr>
                <w:b/>
                <w:bCs/>
                <w:color w:val="FF0000"/>
                <w:szCs w:val="21"/>
              </w:rPr>
            </w:pPr>
            <w:r>
              <w:rPr>
                <w:rFonts w:hint="eastAsia"/>
                <w:b/>
                <w:bCs/>
                <w:color w:val="FF0000"/>
                <w:szCs w:val="21"/>
              </w:rPr>
              <w:t>备注</w:t>
            </w:r>
          </w:p>
        </w:tc>
        <w:tc>
          <w:tcPr>
            <w:tcW w:w="1653" w:type="dxa"/>
          </w:tcPr>
          <w:p w14:paraId="4381A234">
            <w:pPr>
              <w:jc w:val="center"/>
              <w:rPr>
                <w:b/>
                <w:bCs/>
                <w:color w:val="FF0000"/>
                <w:szCs w:val="21"/>
              </w:rPr>
            </w:pPr>
            <w:r>
              <w:rPr>
                <w:rFonts w:hint="eastAsia"/>
                <w:b/>
                <w:bCs/>
                <w:color w:val="FF0000"/>
                <w:szCs w:val="21"/>
              </w:rPr>
              <w:t>财政预算限额（元）</w:t>
            </w:r>
          </w:p>
        </w:tc>
      </w:tr>
      <w:tr w14:paraId="34D2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89" w:type="dxa"/>
            <w:vAlign w:val="center"/>
          </w:tcPr>
          <w:p w14:paraId="17EC4061">
            <w:pPr>
              <w:jc w:val="center"/>
              <w:rPr>
                <w:bCs/>
                <w:szCs w:val="21"/>
              </w:rPr>
            </w:pPr>
            <w:r>
              <w:rPr>
                <w:rFonts w:hint="eastAsia"/>
                <w:bCs/>
                <w:szCs w:val="21"/>
              </w:rPr>
              <w:t>1</w:t>
            </w:r>
          </w:p>
        </w:tc>
        <w:tc>
          <w:tcPr>
            <w:tcW w:w="961" w:type="dxa"/>
            <w:vAlign w:val="center"/>
          </w:tcPr>
          <w:p w14:paraId="5D6E97FD">
            <w:pPr>
              <w:jc w:val="center"/>
              <w:rPr>
                <w:bCs/>
                <w:szCs w:val="21"/>
              </w:rPr>
            </w:pPr>
            <w:r>
              <w:rPr>
                <w:rFonts w:hint="eastAsia"/>
                <w:bCs/>
                <w:szCs w:val="21"/>
              </w:rPr>
              <w:t xml:space="preserve">PLAN-2021-440301-0102018021-01171 </w:t>
            </w:r>
          </w:p>
        </w:tc>
        <w:tc>
          <w:tcPr>
            <w:tcW w:w="2600" w:type="dxa"/>
            <w:vAlign w:val="center"/>
          </w:tcPr>
          <w:p w14:paraId="76C99B13">
            <w:pPr>
              <w:jc w:val="center"/>
              <w:rPr>
                <w:bCs/>
                <w:szCs w:val="21"/>
              </w:rPr>
            </w:pPr>
            <w:r>
              <w:rPr>
                <w:rFonts w:hint="eastAsia"/>
                <w:bCs/>
                <w:szCs w:val="21"/>
              </w:rPr>
              <w:t>医用设备提升-流式细胞分析仪一台</w:t>
            </w:r>
          </w:p>
        </w:tc>
        <w:tc>
          <w:tcPr>
            <w:tcW w:w="531" w:type="dxa"/>
            <w:vAlign w:val="center"/>
          </w:tcPr>
          <w:p w14:paraId="2F4F23C3">
            <w:pPr>
              <w:jc w:val="center"/>
              <w:rPr>
                <w:bCs/>
                <w:szCs w:val="21"/>
              </w:rPr>
            </w:pPr>
            <w:r>
              <w:rPr>
                <w:rFonts w:hint="eastAsia"/>
              </w:rPr>
              <w:t>1</w:t>
            </w:r>
          </w:p>
        </w:tc>
        <w:tc>
          <w:tcPr>
            <w:tcW w:w="542" w:type="dxa"/>
            <w:vAlign w:val="center"/>
          </w:tcPr>
          <w:p w14:paraId="0A1BAD0F">
            <w:pPr>
              <w:jc w:val="center"/>
              <w:rPr>
                <w:bCs/>
                <w:szCs w:val="21"/>
              </w:rPr>
            </w:pPr>
            <w:r>
              <w:rPr>
                <w:rFonts w:hint="eastAsia"/>
                <w:bCs/>
                <w:szCs w:val="21"/>
              </w:rPr>
              <w:t>套</w:t>
            </w:r>
          </w:p>
        </w:tc>
        <w:tc>
          <w:tcPr>
            <w:tcW w:w="1653" w:type="dxa"/>
            <w:vAlign w:val="center"/>
          </w:tcPr>
          <w:p w14:paraId="62CADB49">
            <w:pPr>
              <w:jc w:val="center"/>
              <w:rPr>
                <w:b/>
                <w:bCs/>
                <w:color w:val="FF0000"/>
                <w:szCs w:val="21"/>
              </w:rPr>
            </w:pPr>
            <w:r>
              <w:rPr>
                <w:rFonts w:hint="eastAsia"/>
                <w:b/>
                <w:bCs/>
                <w:color w:val="FF0000"/>
                <w:szCs w:val="21"/>
              </w:rPr>
              <w:t>接受进口</w:t>
            </w:r>
          </w:p>
        </w:tc>
        <w:tc>
          <w:tcPr>
            <w:tcW w:w="1653" w:type="dxa"/>
            <w:vAlign w:val="center"/>
          </w:tcPr>
          <w:p w14:paraId="1B4B5A43">
            <w:pPr>
              <w:jc w:val="center"/>
              <w:rPr>
                <w:b/>
                <w:bCs/>
                <w:color w:val="FF0000"/>
                <w:szCs w:val="21"/>
              </w:rPr>
            </w:pPr>
            <w:r>
              <w:rPr>
                <w:rFonts w:hint="eastAsia"/>
                <w:b/>
                <w:bCs/>
                <w:color w:val="FF0000"/>
                <w:szCs w:val="21"/>
              </w:rPr>
              <w:t>1,400,000.00</w:t>
            </w:r>
          </w:p>
        </w:tc>
      </w:tr>
    </w:tbl>
    <w:p w14:paraId="07E798CD">
      <w:pPr>
        <w:ind w:firstLine="422" w:firstLineChars="200"/>
        <w:rPr>
          <w:rFonts w:ascii="宋体" w:hAnsi="宋体"/>
          <w:b/>
          <w:color w:val="FF0000"/>
          <w:szCs w:val="21"/>
        </w:rPr>
      </w:pPr>
      <w:r>
        <w:rPr>
          <w:rFonts w:hint="eastAsia" w:ascii="宋体" w:hAnsi="宋体"/>
          <w:b/>
          <w:color w:val="FF0000"/>
          <w:szCs w:val="21"/>
        </w:rPr>
        <w:t xml:space="preserve">备注：1.备注栏注明“拒绝进口”的产品不接受投标人选用进口产品参与投标；注明“接受进口”的产品允许投标人选用进口产品参与投标，但不排斥国内产品。 </w:t>
      </w:r>
    </w:p>
    <w:p w14:paraId="5ADD9CD4">
      <w:pPr>
        <w:ind w:firstLine="422" w:firstLineChars="200"/>
        <w:rPr>
          <w:rFonts w:ascii="宋体" w:hAnsi="宋体"/>
          <w:b/>
          <w:color w:val="FF0000"/>
          <w:szCs w:val="21"/>
        </w:rPr>
      </w:pPr>
      <w:r>
        <w:rPr>
          <w:rFonts w:hint="eastAsia" w:ascii="宋体" w:hAnsi="宋体"/>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02D65F3D">
      <w:pPr>
        <w:ind w:firstLine="422" w:firstLineChars="200"/>
        <w:rPr>
          <w:rFonts w:ascii="宋体" w:hAnsi="宋体"/>
          <w:b/>
          <w:color w:val="FF0000"/>
          <w:szCs w:val="21"/>
        </w:rPr>
      </w:pPr>
      <w:r>
        <w:rPr>
          <w:rFonts w:hint="eastAsia" w:ascii="宋体" w:hAnsi="宋体"/>
          <w:b/>
          <w:color w:val="FF0000"/>
          <w:szCs w:val="21"/>
        </w:rPr>
        <w:t>3、单一产品采购，不设置核心产品。</w:t>
      </w:r>
    </w:p>
    <w:bookmarkEnd w:id="37"/>
    <w:p w14:paraId="7510620D">
      <w:pPr>
        <w:rPr>
          <w:rFonts w:ascii="宋体" w:hAnsi="宋体"/>
          <w:b/>
          <w:color w:val="FF0000"/>
          <w:szCs w:val="21"/>
        </w:rPr>
      </w:pPr>
    </w:p>
    <w:p w14:paraId="108E8417">
      <w:pPr>
        <w:pStyle w:val="5"/>
        <w:spacing w:before="120" w:beforeLines="50" w:after="120" w:afterLines="50"/>
        <w:rPr>
          <w:sz w:val="28"/>
          <w:szCs w:val="28"/>
        </w:rPr>
      </w:pPr>
      <w:bookmarkStart w:id="39" w:name="_Toc128884461"/>
      <w:r>
        <w:rPr>
          <w:rFonts w:hint="eastAsia"/>
          <w:sz w:val="28"/>
          <w:szCs w:val="28"/>
        </w:rPr>
        <w:t>三、实质性条款</w:t>
      </w:r>
    </w:p>
    <w:tbl>
      <w:tblPr>
        <w:tblStyle w:val="4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483"/>
      </w:tblGrid>
      <w:tr w14:paraId="03AA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66E1808">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483" w:type="dxa"/>
            <w:vAlign w:val="center"/>
          </w:tcPr>
          <w:p w14:paraId="089CD529">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14:paraId="4672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1E99FE5">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483" w:type="dxa"/>
          </w:tcPr>
          <w:p w14:paraId="6AA7E7BC">
            <w:pPr>
              <w:adjustRightInd w:val="0"/>
              <w:snapToGrid w:val="0"/>
              <w:spacing w:line="360" w:lineRule="auto"/>
              <w:rPr>
                <w:rFonts w:hAnsi="宋体"/>
                <w:kern w:val="0"/>
                <w:szCs w:val="21"/>
              </w:rPr>
            </w:pPr>
            <w:r>
              <w:rPr>
                <w:rFonts w:hint="eastAsia" w:hAnsi="宋体"/>
                <w:kern w:val="0"/>
                <w:szCs w:val="21"/>
              </w:rPr>
              <w:t>投标文件载明的交货期不超过招标文件规定的期限</w:t>
            </w:r>
          </w:p>
        </w:tc>
      </w:tr>
      <w:tr w14:paraId="1C6C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F479A57">
            <w:pPr>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7483" w:type="dxa"/>
          </w:tcPr>
          <w:p w14:paraId="18F8D0BA">
            <w:pPr>
              <w:adjustRightInd w:val="0"/>
              <w:snapToGrid w:val="0"/>
              <w:spacing w:line="360" w:lineRule="auto"/>
              <w:rPr>
                <w:rFonts w:hAnsi="宋体"/>
                <w:kern w:val="0"/>
                <w:szCs w:val="21"/>
              </w:rPr>
            </w:pPr>
            <w:r>
              <w:rPr>
                <w:rFonts w:hint="eastAsia" w:hAnsi="宋体"/>
                <w:kern w:val="0"/>
                <w:szCs w:val="21"/>
              </w:rPr>
              <w:t>投标文件载明的免费保修期不低于招标文件规定的期限</w:t>
            </w:r>
          </w:p>
        </w:tc>
      </w:tr>
      <w:tr w14:paraId="1706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D833E44">
            <w:pPr>
              <w:adjustRightInd w:val="0"/>
              <w:snapToGrid w:val="0"/>
              <w:spacing w:line="360" w:lineRule="auto"/>
              <w:jc w:val="center"/>
              <w:rPr>
                <w:rFonts w:ascii="宋体" w:hAnsi="宋体"/>
                <w:kern w:val="0"/>
                <w:szCs w:val="21"/>
              </w:rPr>
            </w:pPr>
            <w:r>
              <w:rPr>
                <w:rFonts w:hint="eastAsia" w:ascii="宋体" w:hAnsi="宋体"/>
                <w:kern w:val="0"/>
                <w:szCs w:val="21"/>
              </w:rPr>
              <w:t>3</w:t>
            </w:r>
          </w:p>
        </w:tc>
        <w:tc>
          <w:tcPr>
            <w:tcW w:w="7483" w:type="dxa"/>
          </w:tcPr>
          <w:p w14:paraId="2EF8BA0E">
            <w:pPr>
              <w:adjustRightInd w:val="0"/>
              <w:snapToGrid w:val="0"/>
              <w:spacing w:line="360" w:lineRule="auto"/>
              <w:rPr>
                <w:rFonts w:hAnsi="宋体"/>
                <w:kern w:val="0"/>
                <w:szCs w:val="21"/>
              </w:rPr>
            </w:pPr>
            <w:r>
              <w:rPr>
                <w:rFonts w:hint="eastAsia" w:hAnsi="宋体"/>
                <w:kern w:val="0"/>
                <w:szCs w:val="21"/>
              </w:rPr>
              <w:t>具体技术要求、商务需求中带“★”要求</w:t>
            </w:r>
          </w:p>
        </w:tc>
      </w:tr>
    </w:tbl>
    <w:p w14:paraId="6CCDB04E">
      <w:pPr>
        <w:rPr>
          <w:sz w:val="22"/>
        </w:rPr>
      </w:pPr>
      <w:r>
        <w:rPr>
          <w:rFonts w:hint="eastAsia"/>
          <w:sz w:val="22"/>
        </w:rPr>
        <w:t>注：上表所列内容为不可负偏离条款</w:t>
      </w:r>
      <w:bookmarkEnd w:id="39"/>
      <w:r>
        <w:rPr>
          <w:rFonts w:hint="eastAsia"/>
          <w:sz w:val="22"/>
        </w:rPr>
        <w:t>，负偏离将视为未实质性满足招标文件要求作投标无效处理。</w:t>
      </w:r>
    </w:p>
    <w:p w14:paraId="29F1A08A">
      <w:pPr>
        <w:rPr>
          <w:b/>
          <w:szCs w:val="21"/>
        </w:rPr>
      </w:pPr>
    </w:p>
    <w:p w14:paraId="35A89FE1">
      <w:pPr>
        <w:pStyle w:val="5"/>
        <w:spacing w:before="120" w:beforeLines="50" w:after="120" w:afterLines="50"/>
        <w:rPr>
          <w:sz w:val="28"/>
          <w:szCs w:val="28"/>
        </w:rPr>
      </w:pPr>
      <w:r>
        <w:rPr>
          <w:rFonts w:hint="eastAsia"/>
          <w:sz w:val="28"/>
          <w:szCs w:val="28"/>
        </w:rPr>
        <w:t>四、技术要求</w:t>
      </w:r>
    </w:p>
    <w:p w14:paraId="210A5B19">
      <w:pPr>
        <w:ind w:firstLine="422" w:firstLineChars="200"/>
        <w:rPr>
          <w:b/>
        </w:rPr>
      </w:pPr>
      <w:bookmarkStart w:id="40" w:name="_Hlk72585069"/>
      <w:r>
        <w:rPr>
          <w:rFonts w:hint="eastAsia" w:cs="宋体"/>
          <w:b/>
          <w:szCs w:val="21"/>
          <w:lang w:bidi="ar"/>
        </w:rPr>
        <w:t>说明：</w:t>
      </w:r>
      <w:r>
        <w:rPr>
          <w:b/>
          <w:lang w:bidi="ar"/>
        </w:rPr>
        <w:t>1</w:t>
      </w:r>
      <w:r>
        <w:rPr>
          <w:rFonts w:hint="eastAsia" w:cs="宋体"/>
          <w:b/>
          <w:lang w:bidi="ar"/>
        </w:rPr>
        <w:t>、评分时，如对一项招标技术要求（以划分框为准）中的内容存在两处（或以上）负偏离的，在评分时只作一项负偏离扣分。</w:t>
      </w:r>
    </w:p>
    <w:p w14:paraId="25559830">
      <w:pPr>
        <w:ind w:firstLine="422" w:firstLineChars="200"/>
        <w:rPr>
          <w:b/>
          <w:szCs w:val="21"/>
        </w:rPr>
      </w:pPr>
      <w:r>
        <w:rPr>
          <w:b/>
          <w:szCs w:val="21"/>
          <w:lang w:bidi="ar"/>
        </w:rPr>
        <w:t>2</w:t>
      </w:r>
      <w:r>
        <w:rPr>
          <w:rFonts w:hint="eastAsia" w:cs="宋体"/>
          <w:b/>
          <w:szCs w:val="21"/>
          <w:lang w:bidi="ar"/>
        </w:rPr>
        <w:t>、用</w:t>
      </w:r>
      <w:r>
        <w:rPr>
          <w:rFonts w:hint="eastAsia" w:cs="宋体"/>
          <w:b/>
          <w:color w:val="FF0000"/>
          <w:szCs w:val="21"/>
          <w:lang w:bidi="ar"/>
        </w:rPr>
        <w:t>红色加粗字体</w:t>
      </w:r>
      <w:r>
        <w:rPr>
          <w:rFonts w:hint="eastAsia" w:cs="宋体"/>
          <w:b/>
          <w:szCs w:val="21"/>
          <w:lang w:bidi="ar"/>
        </w:rPr>
        <w:t>标注的招标技术要求需提供证明材料，共</w:t>
      </w:r>
      <w:r>
        <w:rPr>
          <w:b/>
          <w:color w:val="FF0000"/>
          <w:szCs w:val="21"/>
          <w:u w:val="single"/>
          <w:lang w:bidi="ar"/>
        </w:rPr>
        <w:t xml:space="preserve">  5  </w:t>
      </w:r>
      <w:r>
        <w:rPr>
          <w:rFonts w:hint="eastAsia" w:cs="宋体"/>
          <w:b/>
          <w:szCs w:val="21"/>
          <w:lang w:bidi="ar"/>
        </w:rPr>
        <w:t>项，其余为未要求提供证明材料的条款，无需提供相关证明材料。</w:t>
      </w:r>
    </w:p>
    <w:p w14:paraId="5FBC3590">
      <w:pPr>
        <w:ind w:firstLine="422" w:firstLineChars="200"/>
        <w:rPr>
          <w:szCs w:val="21"/>
        </w:rPr>
      </w:pPr>
      <w:r>
        <w:rPr>
          <w:b/>
          <w:lang w:bidi="ar"/>
        </w:rPr>
        <w:t>3</w:t>
      </w:r>
      <w:r>
        <w:rPr>
          <w:rFonts w:hint="eastAsia" w:cs="宋体"/>
          <w:b/>
          <w:lang w:bidi="ar"/>
        </w:rPr>
        <w:t>、</w:t>
      </w:r>
      <w:r>
        <w:rPr>
          <w:rFonts w:hint="eastAsia" w:ascii="宋体" w:hAnsi="宋体" w:cs="宋体"/>
          <w:b/>
          <w:lang w:bidi="ar"/>
        </w:rPr>
        <w:t>带</w:t>
      </w:r>
      <w:r>
        <w:rPr>
          <w:rFonts w:hint="eastAsia" w:cs="宋体"/>
          <w:b/>
          <w:lang w:bidi="ar"/>
        </w:rPr>
        <w:t>“</w:t>
      </w:r>
      <w:r>
        <w:rPr>
          <w:rFonts w:hint="eastAsia" w:ascii="宋体" w:hAnsi="宋体" w:cs="宋体"/>
          <w:b/>
          <w:lang w:bidi="ar"/>
        </w:rPr>
        <w:t>★</w:t>
      </w:r>
      <w:r>
        <w:rPr>
          <w:rFonts w:hint="eastAsia" w:cs="宋体"/>
          <w:b/>
          <w:lang w:bidi="ar"/>
        </w:rPr>
        <w:t>”指标项为实质性条款，如出现负偏离，将被视为未实质性满足招标文件要求作投标无效处理；带“</w:t>
      </w:r>
      <w:r>
        <w:rPr>
          <w:lang w:bidi="ar"/>
        </w:rPr>
        <w:t>▲</w:t>
      </w:r>
      <w:r>
        <w:rPr>
          <w:rFonts w:hint="eastAsia" w:cs="宋体"/>
          <w:b/>
          <w:lang w:bidi="ar"/>
        </w:rPr>
        <w:t>”指标项为重要参数条款，负偏离时依相关评分准则内容作重点扣分处理。</w:t>
      </w:r>
    </w:p>
    <w:p w14:paraId="525FC421">
      <w:pPr>
        <w:ind w:firstLine="422" w:firstLineChars="200"/>
        <w:rPr>
          <w:b/>
          <w:color w:val="FF0000"/>
        </w:rPr>
      </w:pPr>
      <w:r>
        <w:rPr>
          <w:b/>
          <w:color w:val="FF0000"/>
          <w:lang w:bidi="ar"/>
        </w:rPr>
        <w:t>4</w:t>
      </w:r>
      <w:r>
        <w:rPr>
          <w:rFonts w:hint="eastAsia" w:cs="宋体"/>
          <w:b/>
          <w:color w:val="FF0000"/>
          <w:lang w:bidi="ar"/>
        </w:rPr>
        <w:t>、涉及区间的参数，投标时需用区间进行响应。除特别注明以外，产品参数区间与招标要求不一致的均视为负偏离。例：区间要求为</w:t>
      </w:r>
      <w:r>
        <w:rPr>
          <w:b/>
          <w:color w:val="FF0000"/>
          <w:lang w:bidi="ar"/>
        </w:rPr>
        <w:t>0-20ML,</w:t>
      </w:r>
      <w:r>
        <w:rPr>
          <w:rFonts w:hint="eastAsia" w:cs="宋体"/>
          <w:b/>
          <w:color w:val="FF0000"/>
          <w:lang w:bidi="ar"/>
        </w:rPr>
        <w:t>只要响应的不是“</w:t>
      </w:r>
      <w:r>
        <w:rPr>
          <w:b/>
          <w:color w:val="FF0000"/>
          <w:lang w:bidi="ar"/>
        </w:rPr>
        <w:t>0-20ML</w:t>
      </w:r>
      <w:r>
        <w:rPr>
          <w:rFonts w:hint="eastAsia" w:cs="宋体"/>
          <w:b/>
          <w:color w:val="FF0000"/>
          <w:lang w:bidi="ar"/>
        </w:rPr>
        <w:t>”，如投标文件响应为</w:t>
      </w:r>
      <w:r>
        <w:rPr>
          <w:b/>
          <w:color w:val="FF0000"/>
          <w:lang w:bidi="ar"/>
        </w:rPr>
        <w:t xml:space="preserve"> 0-15ML </w:t>
      </w:r>
      <w:r>
        <w:rPr>
          <w:rFonts w:hint="eastAsia" w:cs="宋体"/>
          <w:b/>
          <w:color w:val="FF0000"/>
          <w:lang w:bidi="ar"/>
        </w:rPr>
        <w:t>、</w:t>
      </w:r>
      <w:r>
        <w:rPr>
          <w:b/>
          <w:color w:val="FF0000"/>
          <w:lang w:bidi="ar"/>
        </w:rPr>
        <w:t xml:space="preserve">0-21ML </w:t>
      </w:r>
      <w:r>
        <w:rPr>
          <w:rFonts w:hint="eastAsia" w:cs="宋体"/>
          <w:b/>
          <w:color w:val="FF0000"/>
          <w:lang w:bidi="ar"/>
        </w:rPr>
        <w:t>、</w:t>
      </w:r>
      <w:r>
        <w:rPr>
          <w:b/>
          <w:color w:val="FF0000"/>
          <w:lang w:bidi="ar"/>
        </w:rPr>
        <w:t xml:space="preserve">1-12ML </w:t>
      </w:r>
      <w:r>
        <w:rPr>
          <w:rFonts w:hint="eastAsia" w:cs="宋体"/>
          <w:b/>
          <w:color w:val="FF0000"/>
          <w:lang w:bidi="ar"/>
        </w:rPr>
        <w:t>、</w:t>
      </w:r>
      <w:r>
        <w:rPr>
          <w:b/>
          <w:color w:val="FF0000"/>
          <w:lang w:bidi="ar"/>
        </w:rPr>
        <w:t xml:space="preserve"> 9-20ML </w:t>
      </w:r>
      <w:r>
        <w:rPr>
          <w:rFonts w:hint="eastAsia" w:cs="宋体"/>
          <w:b/>
          <w:color w:val="FF0000"/>
          <w:lang w:bidi="ar"/>
        </w:rPr>
        <w:t>、</w:t>
      </w:r>
      <w:r>
        <w:rPr>
          <w:b/>
          <w:color w:val="FF0000"/>
          <w:lang w:bidi="ar"/>
        </w:rPr>
        <w:t xml:space="preserve">6-21ML </w:t>
      </w:r>
      <w:r>
        <w:rPr>
          <w:rFonts w:hint="eastAsia" w:cs="宋体"/>
          <w:b/>
          <w:color w:val="FF0000"/>
          <w:lang w:bidi="ar"/>
        </w:rPr>
        <w:t>、</w:t>
      </w:r>
      <w:r>
        <w:rPr>
          <w:b/>
          <w:color w:val="FF0000"/>
          <w:lang w:bidi="ar"/>
        </w:rPr>
        <w:t>9ML</w:t>
      </w:r>
      <w:r>
        <w:rPr>
          <w:rFonts w:hint="eastAsia" w:cs="宋体"/>
          <w:b/>
          <w:color w:val="FF0000"/>
          <w:lang w:bidi="ar"/>
        </w:rPr>
        <w:t>等情形均视为负偏离。</w:t>
      </w:r>
    </w:p>
    <w:p w14:paraId="3EF418A1">
      <w:pPr>
        <w:ind w:firstLine="422" w:firstLineChars="200"/>
        <w:rPr>
          <w:b/>
          <w:color w:val="FF0000"/>
        </w:rPr>
      </w:pPr>
      <w:r>
        <w:rPr>
          <w:b/>
          <w:color w:val="FF0000"/>
          <w:lang w:bidi="ar"/>
        </w:rPr>
        <w:t>5</w:t>
      </w:r>
      <w:r>
        <w:rPr>
          <w:rFonts w:hint="eastAsia" w:cs="宋体"/>
          <w:b/>
          <w:color w:val="FF0000"/>
          <w:lang w:bidi="ar"/>
        </w:rPr>
        <w:t>、招标技术要求出现“不少于”“不低于”“不大于”“不超过”“至少”“至多”要求的，均包含本数，“大于”“小于”“低于”“超过”不含本数。</w:t>
      </w:r>
    </w:p>
    <w:p w14:paraId="3561AEE2">
      <w:pPr>
        <w:ind w:firstLine="422" w:firstLineChars="200"/>
        <w:rPr>
          <w:b/>
          <w:szCs w:val="21"/>
        </w:rPr>
      </w:pPr>
    </w:p>
    <w:bookmarkEnd w:id="40"/>
    <w:tbl>
      <w:tblPr>
        <w:tblStyle w:val="43"/>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35"/>
        <w:gridCol w:w="6723"/>
      </w:tblGrid>
      <w:tr w14:paraId="2772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F7ED822">
            <w:pPr>
              <w:jc w:val="center"/>
              <w:rPr>
                <w:szCs w:val="21"/>
              </w:rPr>
            </w:pPr>
            <w:r>
              <w:rPr>
                <w:rFonts w:hint="eastAsia" w:cs="宋体"/>
                <w:szCs w:val="21"/>
                <w:lang w:bidi="ar"/>
              </w:rPr>
              <w:t>序号</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40368DDB">
            <w:pPr>
              <w:widowControl/>
              <w:jc w:val="center"/>
              <w:rPr>
                <w:szCs w:val="21"/>
              </w:rPr>
            </w:pPr>
            <w:r>
              <w:rPr>
                <w:rFonts w:hint="eastAsia" w:cs="宋体"/>
                <w:szCs w:val="21"/>
                <w:lang w:bidi="ar"/>
              </w:rPr>
              <w:t>货物名称</w:t>
            </w:r>
          </w:p>
        </w:tc>
        <w:tc>
          <w:tcPr>
            <w:tcW w:w="6723" w:type="dxa"/>
            <w:tcBorders>
              <w:top w:val="single" w:color="auto" w:sz="4" w:space="0"/>
              <w:left w:val="single" w:color="auto" w:sz="4" w:space="0"/>
              <w:bottom w:val="single" w:color="auto" w:sz="4" w:space="0"/>
              <w:right w:val="single" w:color="auto" w:sz="4" w:space="0"/>
            </w:tcBorders>
            <w:shd w:val="clear" w:color="auto" w:fill="auto"/>
            <w:vAlign w:val="center"/>
          </w:tcPr>
          <w:p w14:paraId="07ECEDFE">
            <w:pPr>
              <w:jc w:val="center"/>
              <w:rPr>
                <w:szCs w:val="21"/>
              </w:rPr>
            </w:pPr>
            <w:r>
              <w:rPr>
                <w:rFonts w:hint="eastAsia" w:cs="宋体"/>
                <w:szCs w:val="21"/>
                <w:lang w:bidi="ar"/>
              </w:rPr>
              <w:t>招标技术要求</w:t>
            </w:r>
          </w:p>
        </w:tc>
      </w:tr>
      <w:tr w14:paraId="01DB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C220F6">
            <w:pPr>
              <w:jc w:val="center"/>
              <w:rPr>
                <w:bCs/>
                <w:szCs w:val="21"/>
              </w:rPr>
            </w:pPr>
            <w:r>
              <w:rPr>
                <w:bCs/>
                <w:szCs w:val="21"/>
                <w:lang w:bidi="ar"/>
              </w:rPr>
              <w:t>1</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777B8C">
            <w:pPr>
              <w:jc w:val="center"/>
              <w:rPr>
                <w:bCs/>
                <w:szCs w:val="21"/>
              </w:rPr>
            </w:pPr>
            <w:r>
              <w:rPr>
                <w:rFonts w:hint="eastAsia" w:cs="宋体"/>
                <w:bCs/>
                <w:szCs w:val="21"/>
                <w:lang w:bidi="ar"/>
              </w:rPr>
              <w:t>医用设备提升</w:t>
            </w:r>
            <w:r>
              <w:rPr>
                <w:bCs/>
                <w:szCs w:val="21"/>
                <w:lang w:bidi="ar"/>
              </w:rPr>
              <w:t>-</w:t>
            </w:r>
            <w:r>
              <w:rPr>
                <w:rFonts w:hint="eastAsia" w:cs="宋体"/>
                <w:bCs/>
                <w:szCs w:val="21"/>
                <w:lang w:bidi="ar"/>
              </w:rPr>
              <w:t>流式细胞分析仪一台</w:t>
            </w:r>
          </w:p>
        </w:tc>
        <w:tc>
          <w:tcPr>
            <w:tcW w:w="6723" w:type="dxa"/>
            <w:tcBorders>
              <w:top w:val="single" w:color="auto" w:sz="4" w:space="0"/>
              <w:left w:val="single" w:color="auto" w:sz="4" w:space="0"/>
              <w:bottom w:val="single" w:color="auto" w:sz="4" w:space="0"/>
              <w:right w:val="single" w:color="auto" w:sz="4" w:space="0"/>
            </w:tcBorders>
            <w:shd w:val="clear" w:color="auto" w:fill="auto"/>
          </w:tcPr>
          <w:p w14:paraId="08CB7F35">
            <w:pPr>
              <w:rPr>
                <w:rFonts w:ascii="宋体" w:hAnsi="宋体" w:cs="宋体"/>
                <w:sz w:val="24"/>
              </w:rPr>
            </w:pPr>
            <w:r>
              <w:rPr>
                <w:rFonts w:hint="eastAsia" w:ascii="宋体" w:hAnsi="宋体" w:cs="宋体"/>
                <w:sz w:val="24"/>
                <w:lang w:bidi="ar"/>
              </w:rPr>
              <w:t>1.技术要求</w:t>
            </w:r>
          </w:p>
        </w:tc>
      </w:tr>
      <w:tr w14:paraId="78A1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E649FA">
            <w:pPr>
              <w:rPr>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B0D9EF">
            <w:pPr>
              <w:rPr>
                <w:sz w:val="20"/>
                <w:szCs w:val="20"/>
              </w:rPr>
            </w:pPr>
          </w:p>
        </w:tc>
        <w:tc>
          <w:tcPr>
            <w:tcW w:w="6723" w:type="dxa"/>
            <w:tcBorders>
              <w:top w:val="single" w:color="auto" w:sz="4" w:space="0"/>
              <w:left w:val="single" w:color="auto" w:sz="4" w:space="0"/>
              <w:bottom w:val="single" w:color="auto" w:sz="4" w:space="0"/>
              <w:right w:val="single" w:color="auto" w:sz="4" w:space="0"/>
            </w:tcBorders>
            <w:shd w:val="clear" w:color="auto" w:fill="auto"/>
          </w:tcPr>
          <w:p w14:paraId="3AA575B3">
            <w:pPr>
              <w:rPr>
                <w:b/>
                <w:color w:val="FF0000"/>
                <w:szCs w:val="21"/>
              </w:rPr>
            </w:pPr>
            <w:r>
              <w:rPr>
                <w:rFonts w:hint="eastAsia" w:ascii="宋体" w:hAnsi="宋体" w:cs="宋体"/>
                <w:b/>
                <w:color w:val="FF0000"/>
                <w:sz w:val="24"/>
                <w:lang w:bidi="ar"/>
              </w:rPr>
              <w:t xml:space="preserve">▲1.1激光配置:配置4根或以上激光器，必配激光波长：405nm、488nm、638nm、561nm，其中405nm激光功率≥80mW、488nm激光功率≥50mW、638nm激光功率≥50mW、561nm激光器≥30mW </w:t>
            </w:r>
            <w:r>
              <w:rPr>
                <w:rFonts w:hint="eastAsia" w:ascii="宋体" w:hAnsi="宋体" w:cs="宋体"/>
                <w:b/>
                <w:color w:val="FF0000"/>
                <w:szCs w:val="21"/>
                <w:lang w:bidi="ar"/>
              </w:rPr>
              <w:t>（要求提供产品彩页关键信息或产品制造商官网关键信息截图或实物图片（三者之一即可））</w:t>
            </w:r>
          </w:p>
        </w:tc>
      </w:tr>
      <w:tr w14:paraId="04BF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4747E4">
            <w:pPr>
              <w:rPr>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9DDEF4">
            <w:pPr>
              <w:rPr>
                <w:sz w:val="20"/>
                <w:szCs w:val="20"/>
              </w:rPr>
            </w:pPr>
          </w:p>
        </w:tc>
        <w:tc>
          <w:tcPr>
            <w:tcW w:w="6723" w:type="dxa"/>
            <w:tcBorders>
              <w:top w:val="single" w:color="auto" w:sz="4" w:space="0"/>
              <w:left w:val="single" w:color="auto" w:sz="4" w:space="0"/>
              <w:bottom w:val="single" w:color="auto" w:sz="4" w:space="0"/>
              <w:right w:val="single" w:color="auto" w:sz="4" w:space="0"/>
            </w:tcBorders>
            <w:shd w:val="clear" w:color="auto" w:fill="auto"/>
          </w:tcPr>
          <w:p w14:paraId="607F0A69">
            <w:pPr>
              <w:rPr>
                <w:rFonts w:ascii="宋体" w:hAnsi="宋体" w:cs="宋体"/>
                <w:sz w:val="24"/>
              </w:rPr>
            </w:pPr>
            <w:r>
              <w:rPr>
                <w:rFonts w:hint="eastAsia" w:ascii="宋体" w:hAnsi="宋体" w:cs="宋体"/>
                <w:sz w:val="24"/>
                <w:lang w:bidi="ar"/>
              </w:rPr>
              <w:t>1.2荧光通道：具备FS、SS及13个或13个以上荧光检测器</w:t>
            </w:r>
          </w:p>
        </w:tc>
      </w:tr>
      <w:tr w14:paraId="0957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40CB4E">
            <w:pPr>
              <w:rPr>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C44594">
            <w:pPr>
              <w:rPr>
                <w:sz w:val="20"/>
                <w:szCs w:val="20"/>
              </w:rPr>
            </w:pPr>
          </w:p>
        </w:tc>
        <w:tc>
          <w:tcPr>
            <w:tcW w:w="6723" w:type="dxa"/>
            <w:tcBorders>
              <w:top w:val="single" w:color="auto" w:sz="4" w:space="0"/>
              <w:left w:val="single" w:color="auto" w:sz="4" w:space="0"/>
              <w:bottom w:val="single" w:color="auto" w:sz="4" w:space="0"/>
              <w:right w:val="single" w:color="auto" w:sz="4" w:space="0"/>
            </w:tcBorders>
            <w:shd w:val="clear" w:color="auto" w:fill="auto"/>
          </w:tcPr>
          <w:p w14:paraId="43AE1B3A">
            <w:pPr>
              <w:rPr>
                <w:bCs/>
                <w:szCs w:val="21"/>
              </w:rPr>
            </w:pPr>
            <w:r>
              <w:rPr>
                <w:rFonts w:hint="eastAsia" w:ascii="宋体" w:hAnsi="宋体" w:cs="宋体"/>
                <w:sz w:val="24"/>
                <w:lang w:bidi="ar"/>
              </w:rPr>
              <w:t>1.3激光光路固化，无需人工调试校正光路，多波长激光可选，各荧光通道对应单独的检测器，无共用通道</w:t>
            </w:r>
          </w:p>
        </w:tc>
      </w:tr>
      <w:tr w14:paraId="59F2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F5C7BE">
            <w:pPr>
              <w:rPr>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FCC5BA">
            <w:pPr>
              <w:rPr>
                <w:sz w:val="20"/>
                <w:szCs w:val="20"/>
              </w:rPr>
            </w:pPr>
          </w:p>
        </w:tc>
        <w:tc>
          <w:tcPr>
            <w:tcW w:w="6723" w:type="dxa"/>
            <w:tcBorders>
              <w:top w:val="single" w:color="auto" w:sz="4" w:space="0"/>
              <w:left w:val="single" w:color="auto" w:sz="4" w:space="0"/>
              <w:bottom w:val="single" w:color="auto" w:sz="4" w:space="0"/>
              <w:right w:val="single" w:color="auto" w:sz="4" w:space="0"/>
            </w:tcBorders>
            <w:shd w:val="clear" w:color="auto" w:fill="auto"/>
          </w:tcPr>
          <w:p w14:paraId="3E3A343B">
            <w:pPr>
              <w:rPr>
                <w:bCs/>
                <w:szCs w:val="21"/>
              </w:rPr>
            </w:pPr>
            <w:r>
              <w:rPr>
                <w:rFonts w:hint="eastAsia" w:ascii="宋体" w:hAnsi="宋体" w:cs="宋体"/>
                <w:sz w:val="24"/>
                <w:lang w:bidi="ar"/>
              </w:rPr>
              <w:t>1.4不少于13种组合光学滤光片，滤光片无需固定位置，可自由插拔式更换，无需专业工程师校准光路，用户可根据应用需要随时更换</w:t>
            </w:r>
          </w:p>
        </w:tc>
      </w:tr>
      <w:tr w14:paraId="4E18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750EAE">
            <w:pPr>
              <w:rPr>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C0FBA3">
            <w:pPr>
              <w:rPr>
                <w:sz w:val="20"/>
                <w:szCs w:val="20"/>
              </w:rPr>
            </w:pPr>
          </w:p>
        </w:tc>
        <w:tc>
          <w:tcPr>
            <w:tcW w:w="6723" w:type="dxa"/>
            <w:tcBorders>
              <w:top w:val="single" w:color="auto" w:sz="4" w:space="0"/>
              <w:left w:val="single" w:color="auto" w:sz="4" w:space="0"/>
              <w:bottom w:val="single" w:color="auto" w:sz="4" w:space="0"/>
              <w:right w:val="single" w:color="auto" w:sz="4" w:space="0"/>
            </w:tcBorders>
            <w:shd w:val="clear" w:color="auto" w:fill="auto"/>
          </w:tcPr>
          <w:p w14:paraId="11824833">
            <w:pPr>
              <w:rPr>
                <w:bCs/>
                <w:szCs w:val="21"/>
              </w:rPr>
            </w:pPr>
            <w:r>
              <w:rPr>
                <w:rFonts w:hint="eastAsia" w:ascii="宋体" w:hAnsi="宋体" w:cs="宋体"/>
                <w:sz w:val="24"/>
                <w:lang w:bidi="ar"/>
              </w:rPr>
              <w:t>1.5分析速度：≥30,000个细胞/秒</w:t>
            </w:r>
          </w:p>
        </w:tc>
      </w:tr>
      <w:tr w14:paraId="18E1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886EC8">
            <w:pPr>
              <w:rPr>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0EBDC8">
            <w:pPr>
              <w:rPr>
                <w:sz w:val="20"/>
                <w:szCs w:val="20"/>
              </w:rPr>
            </w:pPr>
          </w:p>
        </w:tc>
        <w:tc>
          <w:tcPr>
            <w:tcW w:w="6723" w:type="dxa"/>
            <w:tcBorders>
              <w:top w:val="single" w:color="auto" w:sz="4" w:space="0"/>
              <w:left w:val="single" w:color="auto" w:sz="4" w:space="0"/>
              <w:bottom w:val="single" w:color="auto" w:sz="4" w:space="0"/>
              <w:right w:val="single" w:color="auto" w:sz="4" w:space="0"/>
            </w:tcBorders>
            <w:shd w:val="clear" w:color="auto" w:fill="auto"/>
          </w:tcPr>
          <w:p w14:paraId="2993744E">
            <w:pPr>
              <w:rPr>
                <w:b/>
                <w:szCs w:val="21"/>
              </w:rPr>
            </w:pPr>
            <w:r>
              <w:rPr>
                <w:rFonts w:hint="eastAsia" w:ascii="宋体" w:hAnsi="宋体" w:cs="宋体"/>
                <w:b/>
                <w:color w:val="FF0000"/>
                <w:sz w:val="24"/>
                <w:lang w:bidi="ar"/>
              </w:rPr>
              <w:t>▲1.6荧光检测灵敏度：FITC：≤30MESF、PE：≤10MESF</w:t>
            </w:r>
            <w:r>
              <w:rPr>
                <w:rFonts w:hint="eastAsia" w:ascii="宋体" w:hAnsi="宋体" w:cs="宋体"/>
                <w:b/>
                <w:color w:val="FF0000"/>
                <w:szCs w:val="21"/>
                <w:lang w:bidi="ar"/>
              </w:rPr>
              <w:t>（要求提供产品彩页关键信息或产品制造商官网关键信息截图或实物图片（三者之一即可））</w:t>
            </w:r>
          </w:p>
        </w:tc>
      </w:tr>
      <w:tr w14:paraId="328F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269116">
            <w:pPr>
              <w:rPr>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98C99D">
            <w:pPr>
              <w:rPr>
                <w:sz w:val="20"/>
                <w:szCs w:val="20"/>
              </w:rPr>
            </w:pPr>
          </w:p>
        </w:tc>
        <w:tc>
          <w:tcPr>
            <w:tcW w:w="6723" w:type="dxa"/>
            <w:tcBorders>
              <w:top w:val="single" w:color="auto" w:sz="4" w:space="0"/>
              <w:left w:val="single" w:color="auto" w:sz="4" w:space="0"/>
              <w:bottom w:val="single" w:color="auto" w:sz="4" w:space="0"/>
              <w:right w:val="single" w:color="auto" w:sz="4" w:space="0"/>
            </w:tcBorders>
            <w:shd w:val="clear" w:color="auto" w:fill="auto"/>
          </w:tcPr>
          <w:p w14:paraId="037B76F6">
            <w:pPr>
              <w:rPr>
                <w:b/>
                <w:color w:val="FF0000"/>
                <w:szCs w:val="21"/>
              </w:rPr>
            </w:pPr>
            <w:r>
              <w:rPr>
                <w:rFonts w:hint="eastAsia" w:ascii="宋体" w:hAnsi="宋体" w:cs="宋体"/>
                <w:b/>
                <w:color w:val="FF0000"/>
                <w:sz w:val="24"/>
                <w:lang w:bidi="ar"/>
              </w:rPr>
              <w:t>▲1.7可任选488nm或405nm作为侧向散射光光源，405nm激光侧向散射光分辨率 (VSSC)：&lt;80 nm</w:t>
            </w:r>
            <w:r>
              <w:rPr>
                <w:rFonts w:hint="eastAsia" w:ascii="宋体" w:hAnsi="宋体" w:cs="宋体"/>
                <w:b/>
                <w:color w:val="FF0000"/>
                <w:szCs w:val="21"/>
                <w:lang w:bidi="ar"/>
              </w:rPr>
              <w:t>（要求提供产品彩页关键信息或产品制造商官网关键信息截图或实物图片（三者之一即可））</w:t>
            </w:r>
          </w:p>
        </w:tc>
      </w:tr>
      <w:tr w14:paraId="4EBD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C438D2">
            <w:pPr>
              <w:rPr>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C4A735">
            <w:pPr>
              <w:rPr>
                <w:sz w:val="20"/>
                <w:szCs w:val="20"/>
              </w:rPr>
            </w:pPr>
          </w:p>
        </w:tc>
        <w:tc>
          <w:tcPr>
            <w:tcW w:w="6723" w:type="dxa"/>
            <w:tcBorders>
              <w:top w:val="single" w:color="auto" w:sz="4" w:space="0"/>
              <w:left w:val="single" w:color="auto" w:sz="4" w:space="0"/>
              <w:bottom w:val="single" w:color="auto" w:sz="4" w:space="0"/>
              <w:right w:val="single" w:color="auto" w:sz="4" w:space="0"/>
            </w:tcBorders>
            <w:shd w:val="clear" w:color="auto" w:fill="auto"/>
          </w:tcPr>
          <w:p w14:paraId="314F6AB4">
            <w:pPr>
              <w:rPr>
                <w:rFonts w:ascii="宋体" w:hAnsi="宋体" w:cs="宋体"/>
                <w:sz w:val="24"/>
              </w:rPr>
            </w:pPr>
            <w:r>
              <w:rPr>
                <w:rFonts w:hint="eastAsia" w:ascii="宋体" w:hAnsi="宋体" w:cs="宋体"/>
                <w:sz w:val="24"/>
                <w:lang w:bidi="ar"/>
              </w:rPr>
              <w:t>1.8电压可调(非不能调节电压的免调电压设计)，具有手动调节和自动调节功能，补偿可随电压的调整自动调整</w:t>
            </w:r>
          </w:p>
        </w:tc>
      </w:tr>
      <w:tr w14:paraId="3E3E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811E56">
            <w:pPr>
              <w:rPr>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75AB3F">
            <w:pPr>
              <w:rPr>
                <w:sz w:val="20"/>
                <w:szCs w:val="20"/>
              </w:rPr>
            </w:pPr>
          </w:p>
        </w:tc>
        <w:tc>
          <w:tcPr>
            <w:tcW w:w="6723" w:type="dxa"/>
            <w:tcBorders>
              <w:top w:val="single" w:color="auto" w:sz="4" w:space="0"/>
              <w:left w:val="single" w:color="auto" w:sz="4" w:space="0"/>
              <w:bottom w:val="single" w:color="auto" w:sz="4" w:space="0"/>
              <w:right w:val="single" w:color="auto" w:sz="4" w:space="0"/>
            </w:tcBorders>
            <w:shd w:val="clear" w:color="auto" w:fill="auto"/>
          </w:tcPr>
          <w:p w14:paraId="7A378033">
            <w:pPr>
              <w:rPr>
                <w:rFonts w:ascii="宋体" w:hAnsi="宋体" w:cs="宋体"/>
                <w:sz w:val="24"/>
              </w:rPr>
            </w:pPr>
            <w:r>
              <w:rPr>
                <w:rFonts w:hint="eastAsia" w:ascii="宋体" w:hAnsi="宋体" w:cs="宋体"/>
                <w:sz w:val="24"/>
                <w:lang w:bidi="ar"/>
              </w:rPr>
              <w:t>1.9可通过样本体积测定实现无微球绝对计数</w:t>
            </w:r>
          </w:p>
        </w:tc>
      </w:tr>
      <w:tr w14:paraId="292E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AEF942">
            <w:pPr>
              <w:rPr>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9D58CE">
            <w:pPr>
              <w:rPr>
                <w:sz w:val="20"/>
                <w:szCs w:val="20"/>
              </w:rPr>
            </w:pPr>
          </w:p>
        </w:tc>
        <w:tc>
          <w:tcPr>
            <w:tcW w:w="6723" w:type="dxa"/>
            <w:tcBorders>
              <w:top w:val="single" w:color="auto" w:sz="4" w:space="0"/>
              <w:left w:val="single" w:color="auto" w:sz="4" w:space="0"/>
              <w:bottom w:val="single" w:color="auto" w:sz="4" w:space="0"/>
              <w:right w:val="single" w:color="auto" w:sz="4" w:space="0"/>
            </w:tcBorders>
            <w:shd w:val="clear" w:color="auto" w:fill="auto"/>
          </w:tcPr>
          <w:p w14:paraId="5864AC2E">
            <w:pPr>
              <w:rPr>
                <w:rFonts w:ascii="宋体" w:hAnsi="宋体" w:cs="宋体"/>
                <w:sz w:val="24"/>
              </w:rPr>
            </w:pPr>
            <w:r>
              <w:rPr>
                <w:rFonts w:hint="eastAsia" w:ascii="宋体" w:hAnsi="宋体" w:cs="宋体"/>
                <w:sz w:val="24"/>
                <w:lang w:bidi="ar"/>
              </w:rPr>
              <w:t>1.10可检测所有通道的脉冲面积、高度参数及选定通道的宽度参数</w:t>
            </w:r>
          </w:p>
        </w:tc>
      </w:tr>
      <w:tr w14:paraId="2EF0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E52C43">
            <w:pPr>
              <w:rPr>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E00AD0">
            <w:pPr>
              <w:rPr>
                <w:sz w:val="20"/>
                <w:szCs w:val="20"/>
              </w:rPr>
            </w:pPr>
          </w:p>
        </w:tc>
        <w:tc>
          <w:tcPr>
            <w:tcW w:w="6723" w:type="dxa"/>
            <w:tcBorders>
              <w:top w:val="single" w:color="auto" w:sz="4" w:space="0"/>
              <w:left w:val="single" w:color="auto" w:sz="4" w:space="0"/>
              <w:bottom w:val="single" w:color="auto" w:sz="4" w:space="0"/>
              <w:right w:val="single" w:color="auto" w:sz="4" w:space="0"/>
            </w:tcBorders>
            <w:shd w:val="clear" w:color="auto" w:fill="auto"/>
          </w:tcPr>
          <w:p w14:paraId="640BACCB">
            <w:pPr>
              <w:rPr>
                <w:rFonts w:ascii="宋体" w:hAnsi="宋体" w:cs="宋体"/>
                <w:sz w:val="24"/>
              </w:rPr>
            </w:pPr>
            <w:r>
              <w:rPr>
                <w:rFonts w:hint="eastAsia" w:ascii="宋体" w:hAnsi="宋体" w:cs="宋体"/>
                <w:sz w:val="24"/>
                <w:lang w:bidi="ar"/>
              </w:rPr>
              <w:t>1.11信号动态线性范围：≥7个对数阈</w:t>
            </w:r>
          </w:p>
        </w:tc>
      </w:tr>
      <w:tr w14:paraId="56DA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38CFDF">
            <w:pPr>
              <w:rPr>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8B8737">
            <w:pPr>
              <w:rPr>
                <w:sz w:val="20"/>
                <w:szCs w:val="20"/>
              </w:rPr>
            </w:pPr>
          </w:p>
        </w:tc>
        <w:tc>
          <w:tcPr>
            <w:tcW w:w="6723" w:type="dxa"/>
            <w:tcBorders>
              <w:top w:val="single" w:color="auto" w:sz="4" w:space="0"/>
              <w:left w:val="single" w:color="auto" w:sz="4" w:space="0"/>
              <w:bottom w:val="single" w:color="auto" w:sz="4" w:space="0"/>
              <w:right w:val="single" w:color="auto" w:sz="4" w:space="0"/>
            </w:tcBorders>
            <w:shd w:val="clear" w:color="auto" w:fill="auto"/>
          </w:tcPr>
          <w:p w14:paraId="23CEFD5B">
            <w:pPr>
              <w:rPr>
                <w:rFonts w:ascii="宋体" w:hAnsi="宋体" w:cs="宋体"/>
                <w:sz w:val="24"/>
              </w:rPr>
            </w:pPr>
            <w:r>
              <w:rPr>
                <w:rFonts w:hint="eastAsia" w:ascii="宋体" w:hAnsi="宋体" w:cs="宋体"/>
                <w:b/>
                <w:color w:val="FF0000"/>
                <w:sz w:val="24"/>
                <w:lang w:bidi="ar"/>
              </w:rPr>
              <w:t>▲1.12荧光补偿：全矩阵荧光补偿，可脱机补偿，离线分析，具有补偿库功能，每次实验重复做单染实验</w:t>
            </w:r>
            <w:r>
              <w:rPr>
                <w:rFonts w:hint="eastAsia" w:ascii="宋体" w:hAnsi="宋体" w:cs="宋体"/>
                <w:b/>
                <w:color w:val="FF0000"/>
                <w:szCs w:val="21"/>
                <w:lang w:bidi="ar"/>
              </w:rPr>
              <w:t>（要求提供产品彩页关键信息或产品制造商官网关键信息截图或实物图片（三者之一即可））</w:t>
            </w:r>
          </w:p>
        </w:tc>
      </w:tr>
      <w:tr w14:paraId="36B2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531C6E">
            <w:pPr>
              <w:rPr>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765451">
            <w:pPr>
              <w:rPr>
                <w:sz w:val="20"/>
                <w:szCs w:val="20"/>
              </w:rPr>
            </w:pPr>
          </w:p>
        </w:tc>
        <w:tc>
          <w:tcPr>
            <w:tcW w:w="6723" w:type="dxa"/>
            <w:tcBorders>
              <w:top w:val="single" w:color="auto" w:sz="4" w:space="0"/>
              <w:left w:val="single" w:color="auto" w:sz="4" w:space="0"/>
              <w:bottom w:val="single" w:color="auto" w:sz="4" w:space="0"/>
              <w:right w:val="single" w:color="auto" w:sz="4" w:space="0"/>
            </w:tcBorders>
            <w:shd w:val="clear" w:color="auto" w:fill="auto"/>
          </w:tcPr>
          <w:p w14:paraId="348D95A5">
            <w:pPr>
              <w:rPr>
                <w:rFonts w:ascii="宋体" w:hAnsi="宋体" w:cs="宋体"/>
                <w:sz w:val="24"/>
              </w:rPr>
            </w:pPr>
            <w:r>
              <w:rPr>
                <w:rFonts w:hint="eastAsia" w:ascii="宋体" w:hAnsi="宋体" w:cs="宋体"/>
                <w:sz w:val="24"/>
                <w:lang w:bidi="ar"/>
              </w:rPr>
              <w:t>1.13配置软件，使用Window 7或以上操作系统</w:t>
            </w:r>
          </w:p>
        </w:tc>
      </w:tr>
      <w:tr w14:paraId="02CA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EDA166">
            <w:pPr>
              <w:rPr>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5582F9">
            <w:pPr>
              <w:rPr>
                <w:sz w:val="20"/>
                <w:szCs w:val="20"/>
              </w:rPr>
            </w:pPr>
          </w:p>
        </w:tc>
        <w:tc>
          <w:tcPr>
            <w:tcW w:w="6723" w:type="dxa"/>
            <w:tcBorders>
              <w:top w:val="single" w:color="auto" w:sz="4" w:space="0"/>
              <w:left w:val="single" w:color="auto" w:sz="4" w:space="0"/>
              <w:bottom w:val="single" w:color="auto" w:sz="4" w:space="0"/>
              <w:right w:val="single" w:color="auto" w:sz="4" w:space="0"/>
            </w:tcBorders>
            <w:shd w:val="clear" w:color="auto" w:fill="auto"/>
          </w:tcPr>
          <w:p w14:paraId="2F8E57C9">
            <w:pPr>
              <w:rPr>
                <w:rFonts w:ascii="宋体" w:hAnsi="宋体" w:cs="宋体"/>
                <w:b/>
                <w:sz w:val="24"/>
              </w:rPr>
            </w:pPr>
            <w:r>
              <w:rPr>
                <w:rFonts w:hint="eastAsia" w:ascii="宋体" w:hAnsi="宋体" w:cs="宋体"/>
                <w:b/>
                <w:color w:val="FF0000"/>
                <w:sz w:val="24"/>
                <w:lang w:bidi="ar"/>
              </w:rPr>
              <w:t>▲1.14最大样本流速&gt;130ul/min;上样过程中可随时调节上样速度</w:t>
            </w:r>
            <w:r>
              <w:rPr>
                <w:rFonts w:hint="eastAsia" w:ascii="宋体" w:hAnsi="宋体" w:cs="宋体"/>
                <w:b/>
                <w:color w:val="FF0000"/>
                <w:szCs w:val="21"/>
                <w:lang w:bidi="ar"/>
              </w:rPr>
              <w:t>（要求提供产品彩页关键信息或产品制造商官网关键信息截图或实物图片（三者之一即可））</w:t>
            </w:r>
          </w:p>
        </w:tc>
      </w:tr>
      <w:tr w14:paraId="291D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E4CD1A">
            <w:pPr>
              <w:rPr>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9D3BA8">
            <w:pPr>
              <w:rPr>
                <w:sz w:val="20"/>
                <w:szCs w:val="20"/>
              </w:rPr>
            </w:pPr>
          </w:p>
        </w:tc>
        <w:tc>
          <w:tcPr>
            <w:tcW w:w="6723" w:type="dxa"/>
            <w:tcBorders>
              <w:top w:val="single" w:color="auto" w:sz="4" w:space="0"/>
              <w:left w:val="single" w:color="auto" w:sz="4" w:space="0"/>
              <w:bottom w:val="single" w:color="auto" w:sz="4" w:space="0"/>
              <w:right w:val="single" w:color="auto" w:sz="4" w:space="0"/>
            </w:tcBorders>
            <w:shd w:val="clear" w:color="auto" w:fill="auto"/>
          </w:tcPr>
          <w:p w14:paraId="2F068B60">
            <w:pPr>
              <w:rPr>
                <w:rFonts w:ascii="宋体" w:hAnsi="宋体" w:cs="宋体"/>
                <w:sz w:val="24"/>
              </w:rPr>
            </w:pPr>
            <w:r>
              <w:rPr>
                <w:rFonts w:hint="eastAsia" w:ascii="宋体" w:hAnsi="宋体" w:cs="宋体"/>
                <w:sz w:val="24"/>
                <w:lang w:bidi="ar"/>
              </w:rPr>
              <w:t>1.15采样体积精度：≤1uL</w:t>
            </w:r>
          </w:p>
        </w:tc>
      </w:tr>
      <w:tr w14:paraId="0C20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3E7295">
            <w:pPr>
              <w:rPr>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BEAB27">
            <w:pPr>
              <w:rPr>
                <w:sz w:val="20"/>
                <w:szCs w:val="20"/>
              </w:rPr>
            </w:pPr>
          </w:p>
        </w:tc>
        <w:tc>
          <w:tcPr>
            <w:tcW w:w="6723" w:type="dxa"/>
            <w:tcBorders>
              <w:top w:val="single" w:color="auto" w:sz="4" w:space="0"/>
              <w:left w:val="single" w:color="auto" w:sz="4" w:space="0"/>
              <w:bottom w:val="single" w:color="auto" w:sz="4" w:space="0"/>
              <w:right w:val="single" w:color="auto" w:sz="4" w:space="0"/>
            </w:tcBorders>
            <w:shd w:val="clear" w:color="auto" w:fill="auto"/>
          </w:tcPr>
          <w:p w14:paraId="1FB8B5BC">
            <w:pPr>
              <w:rPr>
                <w:rFonts w:ascii="宋体" w:hAnsi="宋体" w:cs="宋体"/>
                <w:sz w:val="24"/>
              </w:rPr>
            </w:pPr>
            <w:r>
              <w:rPr>
                <w:rFonts w:hint="eastAsia" w:ascii="宋体" w:hAnsi="宋体" w:cs="宋体"/>
                <w:sz w:val="24"/>
                <w:lang w:bidi="ar"/>
              </w:rPr>
              <w:t>1.16最小上样体积：≤10uL,单次上样无最大进样体积限制,可实现连续上样</w:t>
            </w:r>
          </w:p>
        </w:tc>
      </w:tr>
      <w:tr w14:paraId="14E7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9E913E">
            <w:pPr>
              <w:rPr>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36D6D6">
            <w:pPr>
              <w:rPr>
                <w:sz w:val="20"/>
                <w:szCs w:val="20"/>
              </w:rPr>
            </w:pPr>
          </w:p>
        </w:tc>
        <w:tc>
          <w:tcPr>
            <w:tcW w:w="6723" w:type="dxa"/>
            <w:tcBorders>
              <w:top w:val="single" w:color="auto" w:sz="4" w:space="0"/>
              <w:left w:val="single" w:color="auto" w:sz="4" w:space="0"/>
              <w:bottom w:val="single" w:color="auto" w:sz="4" w:space="0"/>
              <w:right w:val="single" w:color="auto" w:sz="4" w:space="0"/>
            </w:tcBorders>
            <w:shd w:val="clear" w:color="auto" w:fill="auto"/>
          </w:tcPr>
          <w:p w14:paraId="46DC8504">
            <w:pPr>
              <w:rPr>
                <w:rFonts w:ascii="宋体" w:hAnsi="宋体" w:cs="宋体"/>
                <w:sz w:val="24"/>
              </w:rPr>
            </w:pPr>
            <w:r>
              <w:rPr>
                <w:rFonts w:hint="eastAsia" w:ascii="宋体" w:hAnsi="宋体" w:cs="宋体"/>
                <w:sz w:val="24"/>
                <w:lang w:bidi="ar"/>
              </w:rPr>
              <w:t>▲1.17配置流式操作软件支持中英文语言，无密码狗限制可随意安装,软件免费升级</w:t>
            </w:r>
          </w:p>
        </w:tc>
      </w:tr>
      <w:tr w14:paraId="756A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6" w:hRule="atLeast"/>
          <w:jc w:val="center"/>
        </w:trPr>
        <w:tc>
          <w:tcPr>
            <w:tcW w:w="6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39D939">
            <w:pPr>
              <w:rPr>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4F1090">
            <w:pPr>
              <w:rPr>
                <w:sz w:val="20"/>
                <w:szCs w:val="20"/>
              </w:rPr>
            </w:pPr>
          </w:p>
        </w:tc>
        <w:tc>
          <w:tcPr>
            <w:tcW w:w="6723" w:type="dxa"/>
            <w:tcBorders>
              <w:top w:val="single" w:color="auto" w:sz="4" w:space="0"/>
              <w:left w:val="single" w:color="auto" w:sz="4" w:space="0"/>
              <w:bottom w:val="single" w:color="auto" w:sz="4" w:space="0"/>
              <w:right w:val="single" w:color="auto" w:sz="4" w:space="0"/>
            </w:tcBorders>
            <w:shd w:val="clear" w:color="auto" w:fill="auto"/>
          </w:tcPr>
          <w:p w14:paraId="153B2847">
            <w:pPr>
              <w:rPr>
                <w:rFonts w:ascii="宋体" w:hAnsi="宋体" w:cs="宋体"/>
                <w:sz w:val="24"/>
              </w:rPr>
            </w:pPr>
            <w:r>
              <w:rPr>
                <w:rFonts w:hint="eastAsia" w:cs="宋体"/>
                <w:lang w:bidi="ar"/>
              </w:rPr>
              <w:t>★</w:t>
            </w:r>
            <w:r>
              <w:rPr>
                <w:rFonts w:hint="eastAsia" w:ascii="宋体" w:hAnsi="宋体" w:cs="宋体"/>
                <w:sz w:val="24"/>
                <w:lang w:bidi="ar"/>
              </w:rPr>
              <w:t>2．配置清单：</w:t>
            </w:r>
          </w:p>
          <w:p w14:paraId="1984D59B">
            <w:pPr>
              <w:rPr>
                <w:rFonts w:ascii="宋体" w:hAnsi="宋体" w:cs="宋体"/>
                <w:sz w:val="24"/>
              </w:rPr>
            </w:pPr>
            <w:r>
              <w:rPr>
                <w:rFonts w:hint="eastAsia" w:ascii="宋体" w:hAnsi="宋体" w:cs="宋体"/>
                <w:sz w:val="24"/>
                <w:lang w:bidi="ar"/>
              </w:rPr>
              <w:t>1.1系统主机（1套）：</w:t>
            </w:r>
          </w:p>
          <w:p w14:paraId="18035C6D">
            <w:pPr>
              <w:rPr>
                <w:rFonts w:ascii="宋体" w:hAnsi="宋体" w:cs="宋体"/>
                <w:sz w:val="24"/>
              </w:rPr>
            </w:pPr>
            <w:r>
              <w:rPr>
                <w:rFonts w:hint="eastAsia" w:ascii="宋体" w:hAnsi="宋体" w:cs="宋体"/>
                <w:sz w:val="24"/>
                <w:lang w:bidi="ar"/>
              </w:rPr>
              <w:t>—激发光源：488nm 、638nm、405nm、561nm</w:t>
            </w:r>
          </w:p>
          <w:p w14:paraId="53FD6F27">
            <w:pPr>
              <w:rPr>
                <w:rFonts w:ascii="宋体" w:hAnsi="宋体" w:cs="宋体"/>
                <w:sz w:val="24"/>
              </w:rPr>
            </w:pPr>
            <w:r>
              <w:rPr>
                <w:rFonts w:hint="eastAsia" w:ascii="宋体" w:hAnsi="宋体" w:cs="宋体"/>
                <w:sz w:val="24"/>
                <w:lang w:bidi="ar"/>
              </w:rPr>
              <w:t>—光学参数：前向（FS）、侧向（SS）及13个荧光检测器</w:t>
            </w:r>
          </w:p>
          <w:p w14:paraId="3C9E15CB">
            <w:pPr>
              <w:rPr>
                <w:rFonts w:ascii="宋体" w:hAnsi="宋体" w:cs="宋体"/>
                <w:sz w:val="24"/>
              </w:rPr>
            </w:pPr>
            <w:r>
              <w:rPr>
                <w:rFonts w:hint="eastAsia" w:ascii="宋体" w:hAnsi="宋体" w:cs="宋体"/>
                <w:sz w:val="24"/>
                <w:lang w:bidi="ar"/>
              </w:rPr>
              <w:t>—石英流动室：420 x 180 um</w:t>
            </w:r>
          </w:p>
          <w:p w14:paraId="17B6D26F">
            <w:pPr>
              <w:rPr>
                <w:rFonts w:ascii="宋体" w:hAnsi="宋体" w:cs="宋体"/>
                <w:sz w:val="24"/>
              </w:rPr>
            </w:pPr>
            <w:r>
              <w:rPr>
                <w:rFonts w:hint="eastAsia" w:ascii="宋体" w:hAnsi="宋体" w:cs="宋体"/>
                <w:sz w:val="24"/>
                <w:lang w:bidi="ar"/>
              </w:rPr>
              <w:t>—标准光学滤片组合</w:t>
            </w:r>
          </w:p>
          <w:p w14:paraId="5BB39CF4">
            <w:pPr>
              <w:rPr>
                <w:rFonts w:ascii="宋体" w:hAnsi="宋体" w:cs="宋体"/>
                <w:sz w:val="24"/>
              </w:rPr>
            </w:pPr>
            <w:r>
              <w:rPr>
                <w:rFonts w:hint="eastAsia" w:ascii="宋体" w:hAnsi="宋体" w:cs="宋体"/>
                <w:sz w:val="24"/>
                <w:lang w:bidi="ar"/>
              </w:rPr>
              <w:t xml:space="preserve">  Blue laser: 525/40, 690/50 </w:t>
            </w:r>
          </w:p>
          <w:p w14:paraId="14991210">
            <w:pPr>
              <w:rPr>
                <w:rFonts w:ascii="宋体" w:hAnsi="宋体" w:cs="宋体"/>
                <w:sz w:val="24"/>
              </w:rPr>
            </w:pPr>
            <w:r>
              <w:rPr>
                <w:rFonts w:hint="eastAsia" w:ascii="宋体" w:hAnsi="宋体" w:cs="宋体"/>
                <w:sz w:val="24"/>
                <w:lang w:bidi="ar"/>
              </w:rPr>
              <w:t xml:space="preserve">  Red laser: 660/10, 712/25 , 780/60 </w:t>
            </w:r>
          </w:p>
          <w:p w14:paraId="4F56A5FC">
            <w:pPr>
              <w:rPr>
                <w:rFonts w:ascii="宋体" w:hAnsi="宋体" w:cs="宋体"/>
                <w:sz w:val="24"/>
              </w:rPr>
            </w:pPr>
            <w:r>
              <w:rPr>
                <w:rFonts w:hint="eastAsia" w:ascii="宋体" w:hAnsi="宋体" w:cs="宋体"/>
                <w:sz w:val="24"/>
                <w:lang w:bidi="ar"/>
              </w:rPr>
              <w:t xml:space="preserve">  Violet laser : 450/45, 525/40, 610/20, 660/10</w:t>
            </w:r>
          </w:p>
          <w:p w14:paraId="4A2A9AE6">
            <w:pPr>
              <w:rPr>
                <w:rFonts w:ascii="宋体" w:hAnsi="宋体" w:cs="宋体"/>
                <w:sz w:val="24"/>
              </w:rPr>
            </w:pPr>
            <w:r>
              <w:rPr>
                <w:rFonts w:hint="eastAsia" w:ascii="宋体" w:hAnsi="宋体" w:cs="宋体"/>
                <w:sz w:val="24"/>
                <w:lang w:bidi="ar"/>
              </w:rPr>
              <w:t xml:space="preserve">  Yellow laser : 585/42, 610/20, 690/50, 780/60</w:t>
            </w:r>
          </w:p>
          <w:p w14:paraId="5F85480A">
            <w:pPr>
              <w:rPr>
                <w:rFonts w:ascii="宋体" w:hAnsi="宋体" w:cs="宋体"/>
                <w:sz w:val="24"/>
              </w:rPr>
            </w:pPr>
            <w:r>
              <w:rPr>
                <w:rFonts w:hint="eastAsia" w:ascii="宋体" w:hAnsi="宋体" w:cs="宋体"/>
                <w:sz w:val="24"/>
                <w:lang w:bidi="ar"/>
              </w:rPr>
              <w:t>—软件：CytExpert 数据采集及分析软件</w:t>
            </w:r>
          </w:p>
          <w:p w14:paraId="17298359">
            <w:pPr>
              <w:rPr>
                <w:rFonts w:ascii="宋体" w:hAnsi="宋体" w:cs="宋体"/>
                <w:sz w:val="24"/>
              </w:rPr>
            </w:pPr>
            <w:r>
              <w:rPr>
                <w:rFonts w:hint="eastAsia" w:ascii="宋体" w:hAnsi="宋体" w:cs="宋体"/>
                <w:sz w:val="24"/>
                <w:lang w:bidi="ar"/>
              </w:rPr>
              <w:t>—13X13 全矩阵、全自动颜色补偿</w:t>
            </w:r>
          </w:p>
          <w:p w14:paraId="2EA0AD66">
            <w:pPr>
              <w:rPr>
                <w:rFonts w:ascii="宋体" w:hAnsi="宋体" w:cs="宋体"/>
                <w:sz w:val="24"/>
              </w:rPr>
            </w:pPr>
            <w:r>
              <w:rPr>
                <w:rFonts w:hint="eastAsia" w:ascii="宋体" w:hAnsi="宋体" w:cs="宋体"/>
                <w:sz w:val="24"/>
                <w:lang w:bidi="ar"/>
              </w:rPr>
              <w:t>—4L鞘液容器, 4L废液容器，以及容器座</w:t>
            </w:r>
          </w:p>
          <w:p w14:paraId="6528E124">
            <w:pPr>
              <w:rPr>
                <w:rFonts w:ascii="宋体" w:hAnsi="宋体" w:cs="宋体"/>
                <w:sz w:val="24"/>
              </w:rPr>
            </w:pPr>
            <w:r>
              <w:rPr>
                <w:rFonts w:hint="eastAsia" w:ascii="宋体" w:hAnsi="宋体" w:cs="宋体"/>
                <w:sz w:val="24"/>
                <w:lang w:bidi="ar"/>
              </w:rPr>
              <w:t>—密码狗</w:t>
            </w:r>
          </w:p>
          <w:p w14:paraId="6C522008">
            <w:pPr>
              <w:rPr>
                <w:rFonts w:ascii="宋体" w:hAnsi="宋体" w:cs="宋体"/>
                <w:sz w:val="24"/>
              </w:rPr>
            </w:pPr>
            <w:r>
              <w:rPr>
                <w:rFonts w:hint="eastAsia" w:ascii="宋体" w:hAnsi="宋体" w:cs="宋体"/>
                <w:sz w:val="24"/>
                <w:lang w:bidi="ar"/>
              </w:rPr>
              <w:t>—工作站</w:t>
            </w:r>
          </w:p>
          <w:p w14:paraId="25A3B9B6">
            <w:pPr>
              <w:rPr>
                <w:rFonts w:ascii="宋体" w:hAnsi="宋体" w:cs="宋体"/>
                <w:sz w:val="24"/>
              </w:rPr>
            </w:pPr>
            <w:r>
              <w:rPr>
                <w:rFonts w:hint="eastAsia" w:ascii="宋体" w:hAnsi="宋体" w:cs="宋体"/>
                <w:sz w:val="24"/>
                <w:lang w:bidi="ar"/>
              </w:rPr>
              <w:t>—显示器</w:t>
            </w:r>
          </w:p>
          <w:p w14:paraId="151836B0">
            <w:pPr>
              <w:rPr>
                <w:rFonts w:ascii="宋体" w:hAnsi="宋体" w:cs="宋体"/>
                <w:sz w:val="24"/>
              </w:rPr>
            </w:pPr>
            <w:r>
              <w:rPr>
                <w:rFonts w:hint="eastAsia" w:ascii="宋体" w:hAnsi="宋体" w:cs="宋体"/>
                <w:sz w:val="24"/>
                <w:lang w:bidi="ar"/>
              </w:rPr>
              <w:t>1.2质控荧光微球（1个）</w:t>
            </w:r>
          </w:p>
          <w:p w14:paraId="5CF6C0EC">
            <w:pPr>
              <w:rPr>
                <w:rFonts w:ascii="宋体" w:hAnsi="宋体" w:cs="宋体"/>
                <w:sz w:val="24"/>
              </w:rPr>
            </w:pPr>
            <w:r>
              <w:rPr>
                <w:rFonts w:hint="eastAsia" w:ascii="宋体" w:hAnsi="宋体" w:cs="宋体"/>
                <w:sz w:val="24"/>
                <w:lang w:bidi="ar"/>
              </w:rPr>
              <w:t>1.3鞘液（1个）</w:t>
            </w:r>
          </w:p>
          <w:p w14:paraId="0154066A">
            <w:pPr>
              <w:rPr>
                <w:rFonts w:ascii="宋体" w:hAnsi="宋体" w:cs="宋体"/>
                <w:sz w:val="24"/>
              </w:rPr>
            </w:pPr>
            <w:r>
              <w:rPr>
                <w:rFonts w:hint="eastAsia" w:ascii="宋体" w:hAnsi="宋体" w:cs="宋体"/>
                <w:sz w:val="24"/>
                <w:lang w:bidi="ar"/>
              </w:rPr>
              <w:t>1.4清洗液（2个）</w:t>
            </w:r>
          </w:p>
          <w:p w14:paraId="0F86BA79">
            <w:pPr>
              <w:rPr>
                <w:rFonts w:ascii="宋体" w:hAnsi="宋体" w:cs="宋体"/>
                <w:sz w:val="24"/>
              </w:rPr>
            </w:pPr>
            <w:r>
              <w:rPr>
                <w:rFonts w:hint="eastAsia" w:ascii="宋体" w:hAnsi="宋体" w:cs="宋体"/>
                <w:sz w:val="24"/>
                <w:lang w:bidi="ar"/>
              </w:rPr>
              <w:t>1.5客户维护包：泵管+鞘液过滤器（1个）</w:t>
            </w:r>
          </w:p>
          <w:p w14:paraId="3EAC5CA5">
            <w:pPr>
              <w:rPr>
                <w:rFonts w:ascii="宋体" w:hAnsi="宋体" w:cs="宋体"/>
                <w:sz w:val="24"/>
              </w:rPr>
            </w:pPr>
            <w:r>
              <w:rPr>
                <w:rFonts w:hint="eastAsia" w:ascii="宋体" w:hAnsi="宋体" w:cs="宋体"/>
                <w:sz w:val="24"/>
                <w:lang w:bidi="ar"/>
              </w:rPr>
              <w:t>1.6深孔板式上样器+上样模式转换器升级套装（1套）</w:t>
            </w:r>
          </w:p>
        </w:tc>
      </w:tr>
    </w:tbl>
    <w:p w14:paraId="247D61E2">
      <w:pPr>
        <w:rPr>
          <w:b/>
          <w:szCs w:val="21"/>
        </w:rPr>
      </w:pPr>
    </w:p>
    <w:p w14:paraId="7920E9D9">
      <w:pPr>
        <w:pStyle w:val="5"/>
        <w:spacing w:before="120" w:beforeLines="50" w:after="120" w:afterLines="50"/>
        <w:rPr>
          <w:sz w:val="28"/>
          <w:szCs w:val="28"/>
        </w:rPr>
      </w:pPr>
      <w:r>
        <w:rPr>
          <w:rFonts w:hint="eastAsia"/>
          <w:sz w:val="28"/>
          <w:szCs w:val="28"/>
        </w:rPr>
        <w:t>五、商务要求</w:t>
      </w:r>
    </w:p>
    <w:p w14:paraId="7EB8265C">
      <w:pPr>
        <w:ind w:firstLine="422" w:firstLineChars="200"/>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14:paraId="79A4936D">
      <w:pPr>
        <w:numPr>
          <w:ilvl w:val="0"/>
          <w:numId w:val="9"/>
        </w:numPr>
        <w:ind w:firstLine="422" w:firstLineChars="200"/>
        <w:rPr>
          <w:b/>
          <w:szCs w:val="21"/>
        </w:rPr>
      </w:pPr>
      <w:r>
        <w:rPr>
          <w:rFonts w:hint="eastAsia"/>
          <w:b/>
          <w:szCs w:val="21"/>
        </w:rPr>
        <w:t>带“</w:t>
      </w:r>
      <w:r>
        <w:rPr>
          <w:rFonts w:hint="eastAsia" w:ascii="宋体" w:hAnsi="宋体" w:cs="宋体"/>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”指标项为重要参数，负偏离时依相关评分准则内容作重点扣分处理。</w:t>
      </w:r>
    </w:p>
    <w:p w14:paraId="39B8AE1D">
      <w:pPr>
        <w:ind w:firstLine="422" w:firstLineChars="200"/>
        <w:rPr>
          <w:b/>
          <w:szCs w:val="21"/>
        </w:rPr>
      </w:pPr>
      <w:r>
        <w:rPr>
          <w:b/>
          <w:szCs w:val="21"/>
          <w:lang w:bidi="ar"/>
        </w:rPr>
        <w:t>3</w:t>
      </w:r>
      <w:r>
        <w:rPr>
          <w:rFonts w:hint="eastAsia" w:cs="宋体"/>
          <w:b/>
          <w:szCs w:val="21"/>
          <w:lang w:bidi="ar"/>
        </w:rPr>
        <w:t>、未用</w:t>
      </w:r>
      <w:r>
        <w:rPr>
          <w:rFonts w:hint="eastAsia" w:cs="宋体"/>
          <w:b/>
          <w:color w:val="FF0000"/>
          <w:szCs w:val="21"/>
          <w:lang w:bidi="ar"/>
        </w:rPr>
        <w:t>红色字体标红标粗</w:t>
      </w:r>
      <w:r>
        <w:rPr>
          <w:rFonts w:hint="eastAsia" w:cs="宋体"/>
          <w:b/>
          <w:szCs w:val="21"/>
          <w:lang w:bidi="ar"/>
        </w:rPr>
        <w:t>的招标商务需求，不需要提供证明材料。</w:t>
      </w:r>
    </w:p>
    <w:tbl>
      <w:tblPr>
        <w:tblStyle w:val="43"/>
        <w:tblW w:w="8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701"/>
        <w:gridCol w:w="6267"/>
      </w:tblGrid>
      <w:tr w14:paraId="3C6A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CFC6F90">
            <w:pPr>
              <w:jc w:val="center"/>
              <w:rPr>
                <w:b/>
              </w:rPr>
            </w:pPr>
            <w:r>
              <w:rPr>
                <w:rFonts w:hint="eastAsia" w:cs="宋体"/>
                <w:b/>
                <w:lang w:bidi="ar"/>
              </w:rPr>
              <w:t>序号</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B50F021">
            <w:pPr>
              <w:jc w:val="center"/>
              <w:rPr>
                <w:b/>
              </w:rPr>
            </w:pPr>
            <w:r>
              <w:rPr>
                <w:rFonts w:hint="eastAsia" w:cs="宋体"/>
                <w:b/>
                <w:lang w:bidi="ar"/>
              </w:rPr>
              <w:t>商务需求项</w:t>
            </w:r>
          </w:p>
        </w:tc>
        <w:tc>
          <w:tcPr>
            <w:tcW w:w="6267" w:type="dxa"/>
            <w:tcBorders>
              <w:top w:val="single" w:color="auto" w:sz="4" w:space="0"/>
              <w:left w:val="single" w:color="auto" w:sz="4" w:space="0"/>
              <w:bottom w:val="single" w:color="auto" w:sz="4" w:space="0"/>
              <w:right w:val="single" w:color="auto" w:sz="4" w:space="0"/>
            </w:tcBorders>
            <w:shd w:val="clear" w:color="auto" w:fill="auto"/>
            <w:vAlign w:val="center"/>
          </w:tcPr>
          <w:p w14:paraId="6B1915E6">
            <w:pPr>
              <w:jc w:val="center"/>
              <w:rPr>
                <w:b/>
              </w:rPr>
            </w:pPr>
            <w:r>
              <w:rPr>
                <w:rFonts w:hint="eastAsia" w:cs="宋体"/>
                <w:b/>
                <w:lang w:bidi="ar"/>
              </w:rPr>
              <w:t>招标商务要求</w:t>
            </w:r>
          </w:p>
        </w:tc>
      </w:tr>
      <w:tr w14:paraId="5C2A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18" w:type="dxa"/>
            <w:gridSpan w:val="3"/>
            <w:tcBorders>
              <w:top w:val="single" w:color="auto" w:sz="4" w:space="0"/>
              <w:left w:val="single" w:color="auto" w:sz="4" w:space="0"/>
              <w:bottom w:val="single" w:color="auto" w:sz="4" w:space="0"/>
              <w:right w:val="single" w:color="auto" w:sz="4" w:space="0"/>
            </w:tcBorders>
            <w:shd w:val="clear" w:color="auto" w:fill="auto"/>
          </w:tcPr>
          <w:p w14:paraId="4D449C39">
            <w:pPr>
              <w:rPr>
                <w:b/>
              </w:rPr>
            </w:pPr>
            <w:r>
              <w:rPr>
                <w:rFonts w:hint="eastAsia" w:cs="宋体"/>
                <w:b/>
                <w:lang w:bidi="ar"/>
              </w:rPr>
              <w:t>（一）免费保修期内售后服务要求</w:t>
            </w:r>
          </w:p>
        </w:tc>
      </w:tr>
      <w:tr w14:paraId="037D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C3B147">
            <w:pPr>
              <w:jc w:val="center"/>
              <w:rPr>
                <w:bCs/>
              </w:rPr>
            </w:pPr>
            <w:r>
              <w:rPr>
                <w:bCs/>
                <w:lang w:bidi="ar"/>
              </w:rPr>
              <w:t>1</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tcPr>
          <w:p w14:paraId="4F74E348">
            <w:r>
              <w:rPr>
                <w:rFonts w:hint="eastAsia" w:cs="宋体"/>
                <w:lang w:bidi="ar"/>
              </w:rPr>
              <w:t>维修响应及维护服务</w:t>
            </w:r>
          </w:p>
        </w:tc>
        <w:tc>
          <w:tcPr>
            <w:tcW w:w="6267" w:type="dxa"/>
            <w:tcBorders>
              <w:top w:val="single" w:color="auto" w:sz="4" w:space="0"/>
              <w:left w:val="single" w:color="auto" w:sz="4" w:space="0"/>
              <w:bottom w:val="single" w:color="auto" w:sz="4" w:space="0"/>
              <w:right w:val="single" w:color="auto" w:sz="4" w:space="0"/>
            </w:tcBorders>
            <w:shd w:val="clear" w:color="auto" w:fill="auto"/>
          </w:tcPr>
          <w:p w14:paraId="52402FF9">
            <w:pPr>
              <w:rPr>
                <w:bCs/>
              </w:rPr>
            </w:pPr>
            <w:r>
              <w:rPr>
                <w:bCs/>
                <w:lang w:bidi="ar"/>
              </w:rPr>
              <w:t xml:space="preserve">1.1 </w:t>
            </w:r>
            <w:r>
              <w:rPr>
                <w:rFonts w:hint="eastAsia" w:cs="宋体"/>
                <w:bCs/>
                <w:lang w:bidi="ar"/>
              </w:rPr>
              <w:t>各投标人应在投标文件中列明各主机、配件和易耗品的保修期限。</w:t>
            </w:r>
          </w:p>
        </w:tc>
      </w:tr>
      <w:tr w14:paraId="5EB3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5CD379">
            <w:pPr>
              <w:rPr>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tcPr>
          <w:p w14:paraId="5629B35B">
            <w:pPr>
              <w:rPr>
                <w:sz w:val="20"/>
                <w:szCs w:val="20"/>
              </w:rPr>
            </w:pPr>
          </w:p>
        </w:tc>
        <w:tc>
          <w:tcPr>
            <w:tcW w:w="6267" w:type="dxa"/>
            <w:tcBorders>
              <w:top w:val="single" w:color="auto" w:sz="4" w:space="0"/>
              <w:left w:val="single" w:color="auto" w:sz="4" w:space="0"/>
              <w:bottom w:val="single" w:color="auto" w:sz="4" w:space="0"/>
              <w:right w:val="single" w:color="auto" w:sz="4" w:space="0"/>
            </w:tcBorders>
            <w:shd w:val="clear" w:color="auto" w:fill="auto"/>
          </w:tcPr>
          <w:p w14:paraId="18D28134">
            <w:pPr>
              <w:rPr>
                <w:bCs/>
                <w:szCs w:val="21"/>
              </w:rPr>
            </w:pPr>
            <w:r>
              <w:rPr>
                <w:rFonts w:hint="eastAsia" w:cs="宋体"/>
                <w:bCs/>
                <w:szCs w:val="21"/>
                <w:lang w:bidi="ar"/>
              </w:rPr>
              <w:t>★</w:t>
            </w:r>
            <w:r>
              <w:rPr>
                <w:bCs/>
                <w:szCs w:val="21"/>
                <w:lang w:bidi="ar"/>
              </w:rPr>
              <w:t>1.2</w:t>
            </w:r>
            <w:r>
              <w:rPr>
                <w:rFonts w:hint="eastAsia" w:cs="宋体"/>
                <w:bCs/>
                <w:lang w:bidi="ar"/>
              </w:rPr>
              <w:t>承诺提供整机免费保修期不少于</w:t>
            </w:r>
            <w:r>
              <w:rPr>
                <w:bCs/>
                <w:u w:val="single"/>
                <w:lang w:bidi="ar"/>
              </w:rPr>
              <w:t xml:space="preserve"> 2 </w:t>
            </w:r>
            <w:r>
              <w:rPr>
                <w:rFonts w:hint="eastAsia" w:cs="宋体"/>
                <w:bCs/>
                <w:lang w:bidi="ar"/>
              </w:rPr>
              <w:t>年，终身维修，保修期内</w:t>
            </w:r>
            <w:r>
              <w:rPr>
                <w:bCs/>
                <w:lang w:bidi="ar"/>
              </w:rPr>
              <w:t>,</w:t>
            </w:r>
            <w:r>
              <w:rPr>
                <w:rFonts w:hint="eastAsia" w:cs="宋体"/>
                <w:bCs/>
                <w:lang w:bidi="ar"/>
              </w:rPr>
              <w:t>年度定期预防性维护保养次数应不少于</w:t>
            </w:r>
            <w:r>
              <w:rPr>
                <w:bCs/>
                <w:lang w:bidi="ar"/>
              </w:rPr>
              <w:t xml:space="preserve"> 3 </w:t>
            </w:r>
            <w:r>
              <w:rPr>
                <w:rFonts w:hint="eastAsia" w:cs="宋体"/>
                <w:bCs/>
                <w:lang w:bidi="ar"/>
              </w:rPr>
              <w:t>次。保修期内免费更换零配件、免工时费。</w:t>
            </w:r>
            <w:r>
              <w:rPr>
                <w:bCs/>
                <w:lang w:bidi="ar"/>
              </w:rPr>
              <w:t xml:space="preserve"> </w:t>
            </w:r>
          </w:p>
        </w:tc>
      </w:tr>
      <w:tr w14:paraId="4F0F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320666">
            <w:pPr>
              <w:rPr>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tcPr>
          <w:p w14:paraId="512C37CB">
            <w:pPr>
              <w:rPr>
                <w:sz w:val="20"/>
                <w:szCs w:val="20"/>
              </w:rPr>
            </w:pPr>
          </w:p>
        </w:tc>
        <w:tc>
          <w:tcPr>
            <w:tcW w:w="6267" w:type="dxa"/>
            <w:tcBorders>
              <w:top w:val="single" w:color="auto" w:sz="4" w:space="0"/>
              <w:left w:val="single" w:color="auto" w:sz="4" w:space="0"/>
              <w:bottom w:val="single" w:color="auto" w:sz="4" w:space="0"/>
              <w:right w:val="single" w:color="auto" w:sz="4" w:space="0"/>
            </w:tcBorders>
            <w:shd w:val="clear" w:color="auto" w:fill="auto"/>
          </w:tcPr>
          <w:p w14:paraId="28653E30">
            <w:pPr>
              <w:rPr>
                <w:bCs/>
              </w:rPr>
            </w:pPr>
            <w:r>
              <w:rPr>
                <w:bCs/>
                <w:lang w:bidi="ar"/>
              </w:rPr>
              <w:t xml:space="preserve">1.3 </w:t>
            </w:r>
            <w:r>
              <w:rPr>
                <w:rFonts w:hint="eastAsia" w:cs="宋体"/>
                <w:bCs/>
                <w:lang w:bidi="ar"/>
              </w:rPr>
              <w:t>由设备制造商提供售后服务，</w:t>
            </w:r>
            <w:r>
              <w:rPr>
                <w:bCs/>
                <w:u w:val="single"/>
                <w:lang w:bidi="ar"/>
              </w:rPr>
              <w:t xml:space="preserve">4 </w:t>
            </w:r>
            <w:r>
              <w:rPr>
                <w:rFonts w:hint="eastAsia" w:cs="宋体"/>
                <w:bCs/>
                <w:lang w:bidi="ar"/>
              </w:rPr>
              <w:t>小时内响应，</w:t>
            </w:r>
            <w:r>
              <w:rPr>
                <w:bCs/>
                <w:u w:val="single"/>
                <w:lang w:bidi="ar"/>
              </w:rPr>
              <w:t xml:space="preserve">24 </w:t>
            </w:r>
            <w:r>
              <w:rPr>
                <w:rFonts w:hint="eastAsia" w:cs="宋体"/>
                <w:bCs/>
                <w:lang w:bidi="ar"/>
              </w:rPr>
              <w:t>小时维修到位（不可抗力情况除外）</w:t>
            </w:r>
            <w:r>
              <w:rPr>
                <w:bCs/>
                <w:lang w:bidi="ar"/>
              </w:rPr>
              <w:t>,</w:t>
            </w:r>
            <w:r>
              <w:rPr>
                <w:rFonts w:hint="eastAsia" w:cs="宋体"/>
                <w:bCs/>
                <w:lang w:bidi="ar"/>
              </w:rPr>
              <w:t>否则提供备用机</w:t>
            </w:r>
            <w:r>
              <w:rPr>
                <w:bCs/>
                <w:lang w:bidi="ar"/>
              </w:rPr>
              <w:t>,</w:t>
            </w:r>
            <w:r>
              <w:rPr>
                <w:rFonts w:hint="eastAsia" w:cs="宋体"/>
                <w:bCs/>
                <w:lang w:bidi="ar"/>
              </w:rPr>
              <w:t>消耗品和零配件供应及时。</w:t>
            </w:r>
            <w:r>
              <w:rPr>
                <w:bCs/>
                <w:lang w:bidi="ar"/>
              </w:rPr>
              <w:t xml:space="preserve"> </w:t>
            </w:r>
          </w:p>
        </w:tc>
      </w:tr>
      <w:tr w14:paraId="0DB2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1FC426">
            <w:pPr>
              <w:rPr>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tcPr>
          <w:p w14:paraId="14B4A80B">
            <w:pPr>
              <w:rPr>
                <w:sz w:val="20"/>
                <w:szCs w:val="20"/>
              </w:rPr>
            </w:pPr>
          </w:p>
        </w:tc>
        <w:tc>
          <w:tcPr>
            <w:tcW w:w="6267" w:type="dxa"/>
            <w:tcBorders>
              <w:top w:val="single" w:color="auto" w:sz="4" w:space="0"/>
              <w:left w:val="single" w:color="auto" w:sz="4" w:space="0"/>
              <w:bottom w:val="single" w:color="auto" w:sz="4" w:space="0"/>
              <w:right w:val="single" w:color="auto" w:sz="4" w:space="0"/>
            </w:tcBorders>
            <w:shd w:val="clear" w:color="auto" w:fill="auto"/>
          </w:tcPr>
          <w:p w14:paraId="719F7759">
            <w:pPr>
              <w:rPr>
                <w:bCs/>
              </w:rPr>
            </w:pPr>
            <w:r>
              <w:rPr>
                <w:bCs/>
                <w:lang w:bidi="ar"/>
              </w:rPr>
              <w:t>1.4</w:t>
            </w:r>
            <w:r>
              <w:rPr>
                <w:rFonts w:hint="eastAsia" w:ascii="宋体" w:hAnsi="宋体" w:cs="宋体"/>
                <w:color w:val="000000"/>
                <w:kern w:val="0"/>
                <w:szCs w:val="21"/>
                <w:lang w:bidi="ar"/>
              </w:rPr>
              <w:t>投标人负责货物的终身维护</w:t>
            </w:r>
            <w:r>
              <w:rPr>
                <w:rFonts w:hint="eastAsia" w:cs="宋体"/>
                <w:bCs/>
                <w:lang w:bidi="ar"/>
              </w:rPr>
              <w:t>，保证</w:t>
            </w:r>
            <w:r>
              <w:rPr>
                <w:bCs/>
                <w:u w:val="single"/>
                <w:lang w:bidi="ar"/>
              </w:rPr>
              <w:t xml:space="preserve"> 5 </w:t>
            </w:r>
            <w:r>
              <w:rPr>
                <w:rFonts w:hint="eastAsia" w:cs="宋体"/>
                <w:bCs/>
                <w:lang w:bidi="ar"/>
              </w:rPr>
              <w:t>年以上供应维修配件，终身免费提供软件升级服务。在免费保修期后，维修只收取零配件费用，不收取其他任何费用。</w:t>
            </w:r>
          </w:p>
        </w:tc>
      </w:tr>
      <w:tr w14:paraId="2DF8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586321B">
            <w:pPr>
              <w:jc w:val="center"/>
              <w:rPr>
                <w:b/>
              </w:rPr>
            </w:pPr>
            <w:r>
              <w:rPr>
                <w:b/>
                <w:lang w:bidi="ar"/>
              </w:rPr>
              <w:t>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83CE5E9">
            <w:r>
              <w:rPr>
                <w:rFonts w:hint="eastAsia" w:cs="宋体"/>
                <w:szCs w:val="21"/>
                <w:lang w:bidi="ar"/>
              </w:rPr>
              <w:t>质量保证</w:t>
            </w:r>
          </w:p>
        </w:tc>
        <w:tc>
          <w:tcPr>
            <w:tcW w:w="6267" w:type="dxa"/>
            <w:tcBorders>
              <w:top w:val="single" w:color="auto" w:sz="4" w:space="0"/>
              <w:left w:val="single" w:color="auto" w:sz="4" w:space="0"/>
              <w:bottom w:val="single" w:color="auto" w:sz="4" w:space="0"/>
              <w:right w:val="single" w:color="auto" w:sz="4" w:space="0"/>
            </w:tcBorders>
            <w:shd w:val="clear" w:color="auto" w:fill="auto"/>
            <w:vAlign w:val="center"/>
          </w:tcPr>
          <w:p w14:paraId="334D0D03">
            <w:pPr>
              <w:rPr>
                <w:bCs/>
                <w:szCs w:val="21"/>
              </w:rPr>
            </w:pPr>
            <w:r>
              <w:rPr>
                <w:bCs/>
                <w:lang w:bidi="ar"/>
              </w:rPr>
              <w:t>2.1</w:t>
            </w:r>
            <w:r>
              <w:rPr>
                <w:rFonts w:hint="eastAsia" w:cs="宋体"/>
                <w:bCs/>
                <w:lang w:bidi="ar"/>
              </w:rPr>
              <w:t>在保修期内</w:t>
            </w:r>
            <w:r>
              <w:rPr>
                <w:bCs/>
                <w:lang w:bidi="ar"/>
              </w:rPr>
              <w:t xml:space="preserve">, </w:t>
            </w:r>
            <w:r>
              <w:rPr>
                <w:rFonts w:hint="eastAsia" w:cs="宋体"/>
                <w:bCs/>
                <w:lang w:bidi="ar"/>
              </w:rPr>
              <w:t>投标人应确保年开机率在</w:t>
            </w:r>
            <w:r>
              <w:rPr>
                <w:bCs/>
                <w:lang w:bidi="ar"/>
              </w:rPr>
              <w:t>95%</w:t>
            </w:r>
            <w:r>
              <w:rPr>
                <w:rFonts w:hint="eastAsia" w:cs="宋体"/>
                <w:lang w:bidi="ar"/>
              </w:rPr>
              <w:t>（含</w:t>
            </w:r>
            <w:r>
              <w:rPr>
                <w:lang w:bidi="ar"/>
              </w:rPr>
              <w:t>95%</w:t>
            </w:r>
            <w:r>
              <w:rPr>
                <w:rFonts w:hint="eastAsia" w:cs="宋体"/>
                <w:lang w:bidi="ar"/>
              </w:rPr>
              <w:t>）</w:t>
            </w:r>
            <w:r>
              <w:rPr>
                <w:rFonts w:hint="eastAsia" w:cs="宋体"/>
                <w:bCs/>
                <w:lang w:bidi="ar"/>
              </w:rPr>
              <w:t>以上</w:t>
            </w:r>
            <w:r>
              <w:rPr>
                <w:bCs/>
                <w:lang w:bidi="ar"/>
              </w:rPr>
              <w:t xml:space="preserve">, </w:t>
            </w:r>
            <w:r>
              <w:rPr>
                <w:rFonts w:hint="eastAsia" w:cs="宋体"/>
                <w:bCs/>
                <w:lang w:bidi="ar"/>
              </w:rPr>
              <w:t>若不能达到此开机率，将作以下处理：</w:t>
            </w:r>
            <w:r>
              <w:rPr>
                <w:bCs/>
                <w:lang w:bidi="ar"/>
              </w:rPr>
              <w:t xml:space="preserve">a. </w:t>
            </w:r>
            <w:r>
              <w:rPr>
                <w:rFonts w:hint="eastAsia" w:cs="宋体"/>
                <w:bCs/>
                <w:lang w:bidi="ar"/>
              </w:rPr>
              <w:t>年开机率在</w:t>
            </w:r>
            <w:r>
              <w:rPr>
                <w:bCs/>
                <w:lang w:bidi="ar"/>
              </w:rPr>
              <w:t>90</w:t>
            </w:r>
            <w:r>
              <w:rPr>
                <w:rFonts w:hint="eastAsia" w:cs="宋体"/>
                <w:lang w:bidi="ar"/>
              </w:rPr>
              <w:t>（含</w:t>
            </w:r>
            <w:r>
              <w:rPr>
                <w:lang w:bidi="ar"/>
              </w:rPr>
              <w:t>90%</w:t>
            </w:r>
            <w:r>
              <w:rPr>
                <w:rFonts w:hint="eastAsia" w:cs="宋体"/>
                <w:lang w:bidi="ar"/>
              </w:rPr>
              <w:t>）</w:t>
            </w:r>
            <w:r>
              <w:rPr>
                <w:bCs/>
                <w:lang w:bidi="ar"/>
              </w:rPr>
              <w:t>-95%</w:t>
            </w:r>
            <w:r>
              <w:rPr>
                <w:rFonts w:hint="eastAsia" w:cs="宋体"/>
                <w:bCs/>
                <w:lang w:bidi="ar"/>
              </w:rPr>
              <w:t>之间按一赔</w:t>
            </w:r>
            <w:r>
              <w:rPr>
                <w:bCs/>
                <w:u w:val="single"/>
                <w:lang w:bidi="ar"/>
              </w:rPr>
              <w:t xml:space="preserve">2  </w:t>
            </w:r>
            <w:r>
              <w:rPr>
                <w:rFonts w:hint="eastAsia" w:cs="宋体"/>
                <w:bCs/>
                <w:lang w:bidi="ar"/>
              </w:rPr>
              <w:t>延长保修期；</w:t>
            </w:r>
            <w:r>
              <w:rPr>
                <w:bCs/>
                <w:lang w:bidi="ar"/>
              </w:rPr>
              <w:t xml:space="preserve">b. </w:t>
            </w:r>
            <w:r>
              <w:rPr>
                <w:rFonts w:hint="eastAsia" w:cs="宋体"/>
                <w:bCs/>
                <w:lang w:bidi="ar"/>
              </w:rPr>
              <w:t>年开机率在</w:t>
            </w:r>
            <w:r>
              <w:rPr>
                <w:bCs/>
                <w:lang w:bidi="ar"/>
              </w:rPr>
              <w:t>85</w:t>
            </w:r>
            <w:r>
              <w:rPr>
                <w:rFonts w:hint="eastAsia" w:cs="宋体"/>
                <w:lang w:bidi="ar"/>
              </w:rPr>
              <w:t>（含</w:t>
            </w:r>
            <w:r>
              <w:rPr>
                <w:lang w:bidi="ar"/>
              </w:rPr>
              <w:t>85%</w:t>
            </w:r>
            <w:r>
              <w:rPr>
                <w:rFonts w:hint="eastAsia" w:cs="宋体"/>
                <w:lang w:bidi="ar"/>
              </w:rPr>
              <w:t>）</w:t>
            </w:r>
            <w:r>
              <w:rPr>
                <w:bCs/>
                <w:lang w:bidi="ar"/>
              </w:rPr>
              <w:t>-90%</w:t>
            </w:r>
            <w:r>
              <w:rPr>
                <w:rFonts w:hint="eastAsia" w:cs="宋体"/>
                <w:bCs/>
                <w:lang w:bidi="ar"/>
              </w:rPr>
              <w:t>之间按一赔</w:t>
            </w:r>
            <w:r>
              <w:rPr>
                <w:bCs/>
                <w:u w:val="single"/>
                <w:lang w:bidi="ar"/>
              </w:rPr>
              <w:t xml:space="preserve"> 3</w:t>
            </w:r>
            <w:r>
              <w:rPr>
                <w:rFonts w:hint="eastAsia" w:cs="宋体"/>
                <w:bCs/>
                <w:lang w:bidi="ar"/>
              </w:rPr>
              <w:t>延长保修期；</w:t>
            </w:r>
            <w:r>
              <w:rPr>
                <w:bCs/>
                <w:lang w:bidi="ar"/>
              </w:rPr>
              <w:t xml:space="preserve">c. </w:t>
            </w:r>
            <w:r>
              <w:rPr>
                <w:rFonts w:hint="eastAsia" w:cs="宋体"/>
                <w:bCs/>
                <w:lang w:bidi="ar"/>
              </w:rPr>
              <w:t>年开机率低于</w:t>
            </w:r>
            <w:r>
              <w:rPr>
                <w:bCs/>
                <w:lang w:bidi="ar"/>
              </w:rPr>
              <w:t>85%</w:t>
            </w:r>
            <w:r>
              <w:rPr>
                <w:rFonts w:hint="eastAsia" w:cs="宋体"/>
                <w:bCs/>
                <w:lang w:bidi="ar"/>
              </w:rPr>
              <w:t>，投标人必须无条件更换新机，并重新计算保修期，以及赔偿用户的直接经济损失和间接经济损失。注：年开机率</w:t>
            </w:r>
            <w:r>
              <w:rPr>
                <w:bCs/>
                <w:lang w:bidi="ar"/>
              </w:rPr>
              <w:t>=</w:t>
            </w:r>
            <w:r>
              <w:rPr>
                <w:rFonts w:hint="eastAsia" w:cs="宋体"/>
                <w:bCs/>
                <w:lang w:bidi="ar"/>
              </w:rPr>
              <w:t>（</w:t>
            </w:r>
            <w:r>
              <w:rPr>
                <w:bCs/>
                <w:lang w:bidi="ar"/>
              </w:rPr>
              <w:t>365-</w:t>
            </w:r>
            <w:r>
              <w:rPr>
                <w:rFonts w:hint="eastAsia" w:cs="宋体"/>
                <w:bCs/>
                <w:lang w:bidi="ar"/>
              </w:rPr>
              <w:t>停机天数）</w:t>
            </w:r>
            <w:r>
              <w:rPr>
                <w:bCs/>
                <w:lang w:bidi="ar"/>
              </w:rPr>
              <w:t>/365</w:t>
            </w:r>
            <w:r>
              <w:rPr>
                <w:rFonts w:hint="eastAsia" w:cs="宋体"/>
                <w:bCs/>
                <w:lang w:bidi="ar"/>
              </w:rPr>
              <w:t>）</w:t>
            </w:r>
          </w:p>
        </w:tc>
      </w:tr>
      <w:tr w14:paraId="0398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45FB8E7">
            <w:pPr>
              <w:jc w:val="center"/>
              <w:rPr>
                <w:bCs/>
              </w:rPr>
            </w:pPr>
            <w:r>
              <w:rPr>
                <w:bCs/>
                <w:lang w:bidi="ar"/>
              </w:rPr>
              <w:t>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74546B1">
            <w:pPr>
              <w:rPr>
                <w:b/>
              </w:rPr>
            </w:pPr>
            <w:r>
              <w:rPr>
                <w:rFonts w:hint="eastAsia" w:cs="宋体"/>
                <w:lang w:bidi="ar"/>
              </w:rPr>
              <w:t>其他</w:t>
            </w:r>
          </w:p>
        </w:tc>
        <w:tc>
          <w:tcPr>
            <w:tcW w:w="6267" w:type="dxa"/>
            <w:tcBorders>
              <w:top w:val="single" w:color="auto" w:sz="4" w:space="0"/>
              <w:left w:val="single" w:color="auto" w:sz="4" w:space="0"/>
              <w:bottom w:val="single" w:color="auto" w:sz="4" w:space="0"/>
              <w:right w:val="single" w:color="auto" w:sz="4" w:space="0"/>
            </w:tcBorders>
            <w:shd w:val="clear" w:color="auto" w:fill="auto"/>
            <w:vAlign w:val="center"/>
          </w:tcPr>
          <w:p w14:paraId="27B5C6CC">
            <w:pPr>
              <w:rPr>
                <w:b/>
              </w:rPr>
            </w:pPr>
            <w:r>
              <w:rPr>
                <w:rFonts w:hint="eastAsia" w:cs="宋体"/>
                <w:bCs/>
                <w:szCs w:val="21"/>
                <w:lang w:bidi="ar"/>
              </w:rPr>
              <w:t>投标人应按其投标文件中的承诺，进行其他售后服务工作。</w:t>
            </w:r>
          </w:p>
        </w:tc>
      </w:tr>
      <w:tr w14:paraId="7A3B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18" w:type="dxa"/>
            <w:gridSpan w:val="3"/>
            <w:tcBorders>
              <w:top w:val="single" w:color="auto" w:sz="4" w:space="0"/>
              <w:left w:val="single" w:color="auto" w:sz="4" w:space="0"/>
              <w:bottom w:val="single" w:color="auto" w:sz="4" w:space="0"/>
              <w:right w:val="single" w:color="auto" w:sz="4" w:space="0"/>
            </w:tcBorders>
            <w:shd w:val="clear" w:color="auto" w:fill="auto"/>
          </w:tcPr>
          <w:p w14:paraId="06AB71DC">
            <w:pPr>
              <w:rPr>
                <w:b/>
              </w:rPr>
            </w:pPr>
            <w:r>
              <w:rPr>
                <w:rFonts w:hint="eastAsia" w:cs="宋体"/>
                <w:b/>
                <w:lang w:bidi="ar"/>
              </w:rPr>
              <w:t>（二）免费保修期外售后服务要求</w:t>
            </w:r>
          </w:p>
        </w:tc>
      </w:tr>
      <w:tr w14:paraId="3EBD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9FA3ED">
            <w:pPr>
              <w:jc w:val="center"/>
              <w:rPr>
                <w:bCs/>
              </w:rPr>
            </w:pPr>
            <w:r>
              <w:rPr>
                <w:bCs/>
                <w:lang w:bidi="ar"/>
              </w:rPr>
              <w:t>1</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609F94">
            <w:pPr>
              <w:jc w:val="center"/>
              <w:rPr>
                <w:b/>
              </w:rPr>
            </w:pPr>
            <w:r>
              <w:rPr>
                <w:rFonts w:hint="eastAsia" w:ascii="宋体" w:hAnsi="宋体" w:cs="宋体"/>
                <w:b/>
                <w:kern w:val="0"/>
                <w:szCs w:val="21"/>
                <w:lang w:bidi="ar"/>
              </w:rPr>
              <w:t>维修零配件、消耗品和延续保修合同的报价</w:t>
            </w:r>
          </w:p>
        </w:tc>
        <w:tc>
          <w:tcPr>
            <w:tcW w:w="6267" w:type="dxa"/>
            <w:tcBorders>
              <w:top w:val="single" w:color="auto" w:sz="4" w:space="0"/>
              <w:left w:val="single" w:color="auto" w:sz="4" w:space="0"/>
              <w:bottom w:val="single" w:color="auto" w:sz="4" w:space="0"/>
              <w:right w:val="single" w:color="auto" w:sz="4" w:space="0"/>
            </w:tcBorders>
            <w:shd w:val="clear" w:color="auto" w:fill="auto"/>
          </w:tcPr>
          <w:p w14:paraId="6ED6BA7E">
            <w:pPr>
              <w:spacing w:line="300" w:lineRule="exact"/>
              <w:rPr>
                <w:b/>
              </w:rPr>
            </w:pPr>
            <w:r>
              <w:rPr>
                <w:rFonts w:hint="eastAsia" w:ascii="宋体" w:hAnsi="宋体" w:cs="宋体"/>
                <w:kern w:val="0"/>
                <w:szCs w:val="21"/>
                <w:lang w:bidi="ar"/>
              </w:rPr>
              <w:t>1.1由设备制造商提供售后服务，</w:t>
            </w:r>
            <w:r>
              <w:rPr>
                <w:rFonts w:hint="eastAsia" w:ascii="宋体" w:hAnsi="宋体" w:cs="宋体"/>
                <w:bCs/>
                <w:kern w:val="0"/>
                <w:szCs w:val="21"/>
                <w:u w:val="single"/>
                <w:lang w:bidi="ar"/>
              </w:rPr>
              <w:t xml:space="preserve"> 4 </w:t>
            </w:r>
            <w:r>
              <w:rPr>
                <w:rFonts w:hint="eastAsia" w:ascii="宋体" w:hAnsi="宋体" w:cs="宋体"/>
                <w:kern w:val="0"/>
                <w:szCs w:val="21"/>
                <w:lang w:bidi="ar"/>
              </w:rPr>
              <w:t>小时内响应，</w:t>
            </w:r>
            <w:r>
              <w:rPr>
                <w:rFonts w:hint="eastAsia" w:ascii="宋体" w:hAnsi="宋体" w:cs="宋体"/>
                <w:bCs/>
                <w:kern w:val="0"/>
                <w:szCs w:val="21"/>
                <w:u w:val="single"/>
                <w:lang w:bidi="ar"/>
              </w:rPr>
              <w:t xml:space="preserve">  24  </w:t>
            </w:r>
            <w:r>
              <w:rPr>
                <w:rFonts w:hint="eastAsia" w:ascii="宋体" w:hAnsi="宋体" w:cs="宋体"/>
                <w:kern w:val="0"/>
                <w:szCs w:val="21"/>
                <w:lang w:bidi="ar"/>
              </w:rPr>
              <w:t>小时维修到位（不可抗力情况除外）。消耗品和零配件供应及时，特殊情况下可提供备用机。</w:t>
            </w:r>
          </w:p>
        </w:tc>
      </w:tr>
      <w:tr w14:paraId="7CC3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902129">
            <w:pPr>
              <w:rPr>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54CCE7">
            <w:pPr>
              <w:rPr>
                <w:sz w:val="20"/>
                <w:szCs w:val="20"/>
              </w:rPr>
            </w:pPr>
          </w:p>
        </w:tc>
        <w:tc>
          <w:tcPr>
            <w:tcW w:w="6267" w:type="dxa"/>
            <w:tcBorders>
              <w:top w:val="single" w:color="auto" w:sz="4" w:space="0"/>
              <w:left w:val="single" w:color="auto" w:sz="4" w:space="0"/>
              <w:bottom w:val="single" w:color="auto" w:sz="4" w:space="0"/>
              <w:right w:val="single" w:color="auto" w:sz="4" w:space="0"/>
            </w:tcBorders>
            <w:shd w:val="clear" w:color="auto" w:fill="auto"/>
          </w:tcPr>
          <w:p w14:paraId="0F459DCD">
            <w:pPr>
              <w:spacing w:line="300" w:lineRule="exact"/>
              <w:rPr>
                <w:b/>
              </w:rPr>
            </w:pPr>
            <w:r>
              <w:rPr>
                <w:rFonts w:hint="eastAsia" w:ascii="宋体" w:hAnsi="宋体" w:cs="宋体"/>
                <w:kern w:val="0"/>
                <w:szCs w:val="21"/>
                <w:lang w:bidi="ar"/>
              </w:rPr>
              <w:t>1.2保修期满后，投标人应以优惠价供应维修零配件、消耗品和延续保修合同。价格最高的前5项零配件、消耗品和延续保修合同的报价明细应当填写于《零配件、消耗品和延续保修合同报价明清单》中。</w:t>
            </w:r>
          </w:p>
        </w:tc>
      </w:tr>
      <w:tr w14:paraId="1CF4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25378A">
            <w:pPr>
              <w:rPr>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D0A9A3">
            <w:pPr>
              <w:rPr>
                <w:sz w:val="20"/>
                <w:szCs w:val="20"/>
              </w:rPr>
            </w:pPr>
          </w:p>
        </w:tc>
        <w:tc>
          <w:tcPr>
            <w:tcW w:w="6267" w:type="dxa"/>
            <w:tcBorders>
              <w:top w:val="single" w:color="auto" w:sz="4" w:space="0"/>
              <w:left w:val="single" w:color="auto" w:sz="4" w:space="0"/>
              <w:bottom w:val="single" w:color="auto" w:sz="4" w:space="0"/>
              <w:right w:val="single" w:color="auto" w:sz="4" w:space="0"/>
            </w:tcBorders>
            <w:shd w:val="clear" w:color="auto" w:fill="auto"/>
          </w:tcPr>
          <w:p w14:paraId="18089979">
            <w:pPr>
              <w:spacing w:line="300" w:lineRule="exact"/>
              <w:rPr>
                <w:b/>
              </w:rPr>
            </w:pPr>
            <w:r>
              <w:rPr>
                <w:rFonts w:hint="eastAsia" w:ascii="宋体" w:hAnsi="宋体" w:cs="宋体"/>
                <w:kern w:val="0"/>
                <w:szCs w:val="21"/>
                <w:lang w:bidi="ar"/>
              </w:rPr>
              <w:t>1.3采购人可与投标人就优惠价进行谈判，但优惠价不得高于投标人在投标文件的《零配件、消耗品和延续保修合同报价明清单》中承诺的维修零配件、消耗品和延续保修合同的报价。</w:t>
            </w:r>
          </w:p>
        </w:tc>
      </w:tr>
      <w:tr w14:paraId="5830B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E564FB">
            <w:pPr>
              <w:rPr>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5FD596">
            <w:pPr>
              <w:rPr>
                <w:sz w:val="20"/>
                <w:szCs w:val="20"/>
              </w:rPr>
            </w:pPr>
          </w:p>
        </w:tc>
        <w:tc>
          <w:tcPr>
            <w:tcW w:w="6267" w:type="dxa"/>
            <w:tcBorders>
              <w:top w:val="single" w:color="auto" w:sz="4" w:space="0"/>
              <w:left w:val="single" w:color="auto" w:sz="4" w:space="0"/>
              <w:bottom w:val="single" w:color="auto" w:sz="4" w:space="0"/>
              <w:right w:val="single" w:color="auto" w:sz="4" w:space="0"/>
            </w:tcBorders>
            <w:shd w:val="clear" w:color="auto" w:fill="auto"/>
          </w:tcPr>
          <w:p w14:paraId="2991C49E">
            <w:pPr>
              <w:rPr>
                <w:b/>
              </w:rPr>
            </w:pPr>
            <w:r>
              <w:rPr>
                <w:rFonts w:hint="eastAsia" w:ascii="宋体" w:hAnsi="宋体" w:cs="宋体"/>
                <w:kern w:val="0"/>
                <w:szCs w:val="21"/>
                <w:lang w:bidi="ar"/>
              </w:rPr>
              <w:t>1.4设备制造商维修的货物经采购人验收合格，且设备制造商提供维修专用发票后，采购人支付维修费用。</w:t>
            </w:r>
          </w:p>
        </w:tc>
      </w:tr>
      <w:tr w14:paraId="60AE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A30F4E">
            <w:pPr>
              <w:rPr>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8F17A1">
            <w:pPr>
              <w:rPr>
                <w:sz w:val="20"/>
                <w:szCs w:val="20"/>
              </w:rPr>
            </w:pPr>
          </w:p>
        </w:tc>
        <w:tc>
          <w:tcPr>
            <w:tcW w:w="6267" w:type="dxa"/>
            <w:tcBorders>
              <w:top w:val="single" w:color="auto" w:sz="4" w:space="0"/>
              <w:left w:val="single" w:color="auto" w:sz="4" w:space="0"/>
              <w:bottom w:val="single" w:color="auto" w:sz="4" w:space="0"/>
              <w:right w:val="single" w:color="auto" w:sz="4" w:space="0"/>
            </w:tcBorders>
            <w:shd w:val="clear" w:color="auto" w:fill="auto"/>
          </w:tcPr>
          <w:p w14:paraId="458A2B5E">
            <w:pPr>
              <w:rPr>
                <w:b/>
              </w:rPr>
            </w:pPr>
            <w:r>
              <w:rPr>
                <w:rFonts w:hint="eastAsia" w:ascii="宋体" w:hAnsi="宋体" w:cs="宋体"/>
                <w:kern w:val="0"/>
                <w:szCs w:val="21"/>
                <w:lang w:bidi="ar"/>
              </w:rPr>
              <w:t>1.5投标人及设备制造商不得以任何理由不按时进行维修，不得要求采购人购买所谓“保修服务”（即：不论设备有无故障先买保修服务），不得在设备中嵌设任何不利于采购人使用与维修设备的障碍。</w:t>
            </w:r>
          </w:p>
        </w:tc>
      </w:tr>
      <w:tr w14:paraId="51D7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18" w:type="dxa"/>
            <w:gridSpan w:val="3"/>
            <w:tcBorders>
              <w:top w:val="single" w:color="auto" w:sz="4" w:space="0"/>
              <w:left w:val="single" w:color="auto" w:sz="4" w:space="0"/>
              <w:bottom w:val="single" w:color="auto" w:sz="4" w:space="0"/>
              <w:right w:val="single" w:color="auto" w:sz="4" w:space="0"/>
            </w:tcBorders>
            <w:shd w:val="clear" w:color="auto" w:fill="auto"/>
          </w:tcPr>
          <w:p w14:paraId="2414ED0F">
            <w:pPr>
              <w:rPr>
                <w:b/>
              </w:rPr>
            </w:pPr>
            <w:r>
              <w:rPr>
                <w:rFonts w:hint="eastAsia" w:cs="宋体"/>
                <w:b/>
                <w:lang w:bidi="ar"/>
              </w:rPr>
              <w:t>（三）其他商务要求</w:t>
            </w:r>
          </w:p>
        </w:tc>
      </w:tr>
      <w:tr w14:paraId="2A53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41A5A3">
            <w:pPr>
              <w:jc w:val="center"/>
              <w:rPr>
                <w:bCs/>
              </w:rPr>
            </w:pPr>
            <w:r>
              <w:rPr>
                <w:bCs/>
                <w:lang w:bidi="ar"/>
              </w:rPr>
              <w:t>1</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7C482A">
            <w:r>
              <w:rPr>
                <w:rFonts w:hint="eastAsia" w:cs="宋体"/>
                <w:lang w:bidi="ar"/>
              </w:rPr>
              <w:t>关于交货</w:t>
            </w:r>
          </w:p>
        </w:tc>
        <w:tc>
          <w:tcPr>
            <w:tcW w:w="6267" w:type="dxa"/>
            <w:tcBorders>
              <w:top w:val="single" w:color="auto" w:sz="4" w:space="0"/>
              <w:left w:val="single" w:color="auto" w:sz="4" w:space="0"/>
              <w:bottom w:val="single" w:color="auto" w:sz="4" w:space="0"/>
              <w:right w:val="single" w:color="auto" w:sz="4" w:space="0"/>
            </w:tcBorders>
            <w:shd w:val="clear" w:color="auto" w:fill="auto"/>
          </w:tcPr>
          <w:p w14:paraId="62E946F3">
            <w:pPr>
              <w:rPr>
                <w:bCs/>
                <w:szCs w:val="21"/>
              </w:rPr>
            </w:pPr>
            <w:r>
              <w:rPr>
                <w:bCs/>
                <w:szCs w:val="21"/>
                <w:lang w:bidi="ar"/>
              </w:rPr>
              <w:t>1.1</w:t>
            </w:r>
            <w:r>
              <w:rPr>
                <w:rFonts w:hint="eastAsia" w:cs="宋体"/>
                <w:bCs/>
                <w:szCs w:val="21"/>
                <w:lang w:bidi="ar"/>
              </w:rPr>
              <w:t>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14:paraId="5339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069F77">
            <w:pPr>
              <w:rPr>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209476">
            <w:pPr>
              <w:rPr>
                <w:sz w:val="20"/>
                <w:szCs w:val="20"/>
              </w:rPr>
            </w:pPr>
          </w:p>
        </w:tc>
        <w:tc>
          <w:tcPr>
            <w:tcW w:w="6267" w:type="dxa"/>
            <w:tcBorders>
              <w:top w:val="single" w:color="auto" w:sz="4" w:space="0"/>
              <w:left w:val="single" w:color="auto" w:sz="4" w:space="0"/>
              <w:bottom w:val="single" w:color="auto" w:sz="4" w:space="0"/>
              <w:right w:val="single" w:color="auto" w:sz="4" w:space="0"/>
            </w:tcBorders>
            <w:shd w:val="clear" w:color="auto" w:fill="auto"/>
          </w:tcPr>
          <w:p w14:paraId="26EC5301">
            <w:pPr>
              <w:rPr>
                <w:bCs/>
                <w:szCs w:val="21"/>
              </w:rPr>
            </w:pPr>
            <w:r>
              <w:rPr>
                <w:bCs/>
                <w:szCs w:val="21"/>
                <w:lang w:bidi="ar"/>
              </w:rPr>
              <w:t>1.2</w:t>
            </w:r>
            <w:r>
              <w:rPr>
                <w:rFonts w:hint="eastAsia" w:ascii="宋体" w:hAnsi="宋体" w:cs="宋体"/>
                <w:spacing w:val="-3"/>
                <w:szCs w:val="21"/>
                <w:lang w:bidi="ar"/>
              </w:rPr>
              <w:t>提供的货物应当为全新、经检验合格的产品。产品如需要计量检定的应提供相关计量检定部门出具的合法检定报告。其中，进口设备必须具有</w:t>
            </w:r>
            <w:r>
              <w:rPr>
                <w:rFonts w:hint="eastAsia" w:ascii="宋体" w:hAnsi="宋体" w:cs="宋体"/>
                <w:kern w:val="0"/>
                <w:szCs w:val="21"/>
                <w:lang w:bidi="ar"/>
              </w:rPr>
              <w:t>报关证明</w:t>
            </w:r>
            <w:r>
              <w:rPr>
                <w:rFonts w:hint="eastAsia" w:ascii="宋体" w:hAnsi="宋体" w:cs="宋体"/>
                <w:spacing w:val="-3"/>
                <w:szCs w:val="21"/>
                <w:lang w:bidi="ar"/>
              </w:rPr>
              <w:t>文件、</w:t>
            </w:r>
            <w:r>
              <w:rPr>
                <w:rFonts w:hint="eastAsia" w:ascii="宋体" w:hAnsi="宋体" w:cs="宋体"/>
                <w:kern w:val="0"/>
                <w:szCs w:val="21"/>
                <w:lang w:bidi="ar"/>
              </w:rPr>
              <w:t>原产地证明和</w:t>
            </w:r>
            <w:r>
              <w:rPr>
                <w:rFonts w:hint="eastAsia" w:ascii="宋体" w:hAnsi="宋体" w:cs="宋体"/>
                <w:spacing w:val="-3"/>
                <w:szCs w:val="21"/>
                <w:lang w:bidi="ar"/>
              </w:rPr>
              <w:t>商检合格证明文件。</w:t>
            </w:r>
          </w:p>
        </w:tc>
      </w:tr>
      <w:tr w14:paraId="4807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2426CD">
            <w:pPr>
              <w:rPr>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F1742A">
            <w:pPr>
              <w:rPr>
                <w:sz w:val="20"/>
                <w:szCs w:val="20"/>
              </w:rPr>
            </w:pPr>
          </w:p>
        </w:tc>
        <w:tc>
          <w:tcPr>
            <w:tcW w:w="6267" w:type="dxa"/>
            <w:tcBorders>
              <w:top w:val="single" w:color="auto" w:sz="4" w:space="0"/>
              <w:left w:val="single" w:color="auto" w:sz="4" w:space="0"/>
              <w:bottom w:val="single" w:color="auto" w:sz="4" w:space="0"/>
              <w:right w:val="single" w:color="auto" w:sz="4" w:space="0"/>
            </w:tcBorders>
            <w:shd w:val="clear" w:color="auto" w:fill="auto"/>
          </w:tcPr>
          <w:p w14:paraId="10026C77">
            <w:pPr>
              <w:rPr>
                <w:bCs/>
                <w:szCs w:val="21"/>
              </w:rPr>
            </w:pPr>
            <w:r>
              <w:rPr>
                <w:rFonts w:hint="eastAsia" w:cs="宋体"/>
                <w:bCs/>
                <w:szCs w:val="21"/>
                <w:lang w:bidi="ar"/>
              </w:rPr>
              <w:t>★</w:t>
            </w:r>
            <w:r>
              <w:rPr>
                <w:bCs/>
                <w:szCs w:val="21"/>
                <w:lang w:bidi="ar"/>
              </w:rPr>
              <w:t>1.3</w:t>
            </w:r>
            <w:r>
              <w:rPr>
                <w:rFonts w:hint="eastAsia" w:cs="宋体"/>
                <w:bCs/>
                <w:szCs w:val="21"/>
                <w:lang w:bidi="ar"/>
              </w:rPr>
              <w:t>签订合同后</w:t>
            </w:r>
            <w:r>
              <w:rPr>
                <w:bCs/>
                <w:szCs w:val="21"/>
                <w:u w:val="single"/>
                <w:lang w:bidi="ar"/>
              </w:rPr>
              <w:t xml:space="preserve"> 45  </w:t>
            </w:r>
            <w:r>
              <w:rPr>
                <w:rFonts w:hint="eastAsia" w:cs="宋体"/>
                <w:bCs/>
                <w:szCs w:val="21"/>
                <w:lang w:bidi="ar"/>
              </w:rPr>
              <w:t>天（日历日）内交货。交货地址：</w:t>
            </w:r>
            <w:r>
              <w:rPr>
                <w:rFonts w:hint="eastAsia" w:cs="宋体"/>
                <w:lang w:bidi="ar"/>
              </w:rPr>
              <w:t>深圳市眼科医院</w:t>
            </w:r>
          </w:p>
        </w:tc>
      </w:tr>
      <w:tr w14:paraId="6855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1482C4">
            <w:pPr>
              <w:jc w:val="center"/>
              <w:rPr>
                <w:bCs/>
              </w:rPr>
            </w:pPr>
            <w:r>
              <w:rPr>
                <w:bCs/>
                <w:lang w:bidi="ar"/>
              </w:rPr>
              <w:t>2</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E97AAF">
            <w:r>
              <w:rPr>
                <w:rFonts w:hint="eastAsia" w:cs="宋体"/>
                <w:lang w:bidi="ar"/>
              </w:rPr>
              <w:t>运输、安装调试及验收</w:t>
            </w:r>
          </w:p>
        </w:tc>
        <w:tc>
          <w:tcPr>
            <w:tcW w:w="6267" w:type="dxa"/>
            <w:tcBorders>
              <w:top w:val="single" w:color="auto" w:sz="4" w:space="0"/>
              <w:left w:val="single" w:color="auto" w:sz="4" w:space="0"/>
              <w:bottom w:val="single" w:color="auto" w:sz="4" w:space="0"/>
              <w:right w:val="single" w:color="auto" w:sz="4" w:space="0"/>
            </w:tcBorders>
            <w:shd w:val="clear" w:color="auto" w:fill="auto"/>
          </w:tcPr>
          <w:p w14:paraId="6114718D">
            <w:pPr>
              <w:spacing w:line="340" w:lineRule="exact"/>
              <w:rPr>
                <w:bCs/>
                <w:szCs w:val="21"/>
              </w:rPr>
            </w:pPr>
            <w:r>
              <w:rPr>
                <w:bCs/>
                <w:szCs w:val="21"/>
                <w:lang w:bidi="ar"/>
              </w:rPr>
              <w:t>2.1</w:t>
            </w:r>
            <w:r>
              <w:rPr>
                <w:rFonts w:hint="eastAsia" w:cs="宋体"/>
                <w:bCs/>
                <w:szCs w:val="21"/>
                <w:lang w:bidi="ar"/>
              </w:rPr>
              <w:t>投标人负责将货物安全无损运抵采购人指定地点</w:t>
            </w:r>
            <w:r>
              <w:rPr>
                <w:bCs/>
                <w:szCs w:val="21"/>
                <w:lang w:bidi="ar"/>
              </w:rPr>
              <w:t>,</w:t>
            </w:r>
            <w:r>
              <w:rPr>
                <w:rFonts w:hint="eastAsia" w:cs="宋体"/>
                <w:bCs/>
                <w:szCs w:val="21"/>
                <w:lang w:bidi="ar"/>
              </w:rPr>
              <w:t>并承担设备的包装、运输、保险、装卸、安装调试、培训、商检及计量检测、关税、增值税和进口代理等费用。</w:t>
            </w:r>
          </w:p>
        </w:tc>
      </w:tr>
      <w:tr w14:paraId="607A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5C7164">
            <w:pPr>
              <w:rPr>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76C785">
            <w:pPr>
              <w:rPr>
                <w:sz w:val="20"/>
                <w:szCs w:val="20"/>
              </w:rPr>
            </w:pPr>
          </w:p>
        </w:tc>
        <w:tc>
          <w:tcPr>
            <w:tcW w:w="6267" w:type="dxa"/>
            <w:tcBorders>
              <w:top w:val="single" w:color="auto" w:sz="4" w:space="0"/>
              <w:left w:val="single" w:color="auto" w:sz="4" w:space="0"/>
              <w:bottom w:val="single" w:color="auto" w:sz="4" w:space="0"/>
              <w:right w:val="single" w:color="auto" w:sz="4" w:space="0"/>
            </w:tcBorders>
            <w:shd w:val="clear" w:color="auto" w:fill="auto"/>
          </w:tcPr>
          <w:p w14:paraId="1AD10A04">
            <w:pPr>
              <w:spacing w:line="340" w:lineRule="exact"/>
              <w:rPr>
                <w:bCs/>
                <w:szCs w:val="21"/>
              </w:rPr>
            </w:pPr>
            <w:r>
              <w:rPr>
                <w:bCs/>
                <w:szCs w:val="21"/>
                <w:lang w:bidi="ar"/>
              </w:rPr>
              <w:t>2.2</w:t>
            </w:r>
            <w:r>
              <w:rPr>
                <w:rFonts w:hint="eastAsia" w:cs="宋体"/>
                <w:bCs/>
                <w:szCs w:val="21"/>
                <w:lang w:bidi="ar"/>
              </w:rPr>
              <w:t>由采购人按合同和招标、投标文件约定的要求和标准及中华人民共和国现行的验收规范和评定标准进行交货验收。</w:t>
            </w:r>
          </w:p>
        </w:tc>
      </w:tr>
      <w:tr w14:paraId="6770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6AA89F">
            <w:pPr>
              <w:rPr>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D3A2A5">
            <w:pPr>
              <w:rPr>
                <w:sz w:val="20"/>
                <w:szCs w:val="20"/>
              </w:rPr>
            </w:pPr>
          </w:p>
        </w:tc>
        <w:tc>
          <w:tcPr>
            <w:tcW w:w="6267" w:type="dxa"/>
            <w:tcBorders>
              <w:top w:val="single" w:color="auto" w:sz="4" w:space="0"/>
              <w:left w:val="single" w:color="auto" w:sz="4" w:space="0"/>
              <w:bottom w:val="single" w:color="auto" w:sz="4" w:space="0"/>
              <w:right w:val="single" w:color="auto" w:sz="4" w:space="0"/>
            </w:tcBorders>
            <w:shd w:val="clear" w:color="auto" w:fill="auto"/>
          </w:tcPr>
          <w:p w14:paraId="34136756">
            <w:pPr>
              <w:spacing w:line="340" w:lineRule="exact"/>
              <w:rPr>
                <w:bCs/>
                <w:szCs w:val="21"/>
              </w:rPr>
            </w:pPr>
            <w:r>
              <w:rPr>
                <w:bCs/>
                <w:szCs w:val="21"/>
                <w:lang w:bidi="ar"/>
              </w:rPr>
              <w:t xml:space="preserve">2.3 </w:t>
            </w:r>
            <w:r>
              <w:rPr>
                <w:rFonts w:hint="eastAsia" w:cs="宋体"/>
                <w:bCs/>
                <w:szCs w:val="21"/>
                <w:lang w:bidi="ar"/>
              </w:rPr>
              <w:t>投标人货物经过双方检验认可后，签署验收报告，产品保修期自验收合格之日起算，由投标人提供产品保修文件。</w:t>
            </w:r>
          </w:p>
        </w:tc>
      </w:tr>
      <w:tr w14:paraId="1DBA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B2D44F">
            <w:pPr>
              <w:rPr>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87AF11">
            <w:pPr>
              <w:rPr>
                <w:sz w:val="20"/>
                <w:szCs w:val="20"/>
              </w:rPr>
            </w:pPr>
          </w:p>
        </w:tc>
        <w:tc>
          <w:tcPr>
            <w:tcW w:w="6267" w:type="dxa"/>
            <w:tcBorders>
              <w:top w:val="single" w:color="auto" w:sz="4" w:space="0"/>
              <w:left w:val="single" w:color="auto" w:sz="4" w:space="0"/>
              <w:bottom w:val="single" w:color="auto" w:sz="4" w:space="0"/>
              <w:right w:val="single" w:color="auto" w:sz="4" w:space="0"/>
            </w:tcBorders>
            <w:shd w:val="clear" w:color="auto" w:fill="auto"/>
          </w:tcPr>
          <w:p w14:paraId="18540D40">
            <w:pPr>
              <w:spacing w:line="340" w:lineRule="exact"/>
              <w:rPr>
                <w:bCs/>
                <w:szCs w:val="21"/>
              </w:rPr>
            </w:pPr>
            <w:r>
              <w:rPr>
                <w:bCs/>
                <w:szCs w:val="21"/>
                <w:lang w:bidi="ar"/>
              </w:rPr>
              <w:t>2.4</w:t>
            </w:r>
            <w:r>
              <w:rPr>
                <w:rFonts w:hint="eastAsia" w:cs="宋体"/>
                <w:bCs/>
                <w:szCs w:val="21"/>
                <w:lang w:bidi="ar"/>
              </w:rPr>
              <w:t>当满足以下条件时，采购人才向中标人签发货物验收报告：</w:t>
            </w:r>
          </w:p>
          <w:p w14:paraId="6B8CFD34">
            <w:pPr>
              <w:rPr>
                <w:bCs/>
                <w:szCs w:val="21"/>
              </w:rPr>
            </w:pPr>
            <w:r>
              <w:rPr>
                <w:rFonts w:hint="eastAsia" w:cs="宋体"/>
                <w:bCs/>
                <w:szCs w:val="21"/>
                <w:lang w:bidi="ar"/>
              </w:rPr>
              <w:t>（</w:t>
            </w:r>
            <w:r>
              <w:rPr>
                <w:bCs/>
                <w:szCs w:val="21"/>
                <w:lang w:bidi="ar"/>
              </w:rPr>
              <w:t>1</w:t>
            </w:r>
            <w:r>
              <w:rPr>
                <w:rFonts w:hint="eastAsia" w:cs="宋体"/>
                <w:bCs/>
                <w:szCs w:val="21"/>
                <w:lang w:bidi="ar"/>
              </w:rPr>
              <w:t>）设备全新</w:t>
            </w:r>
            <w:r>
              <w:rPr>
                <w:bCs/>
                <w:szCs w:val="21"/>
                <w:lang w:bidi="ar"/>
              </w:rPr>
              <w:t>,</w:t>
            </w:r>
            <w:r>
              <w:rPr>
                <w:rFonts w:hint="eastAsia" w:cs="宋体"/>
                <w:bCs/>
                <w:szCs w:val="21"/>
                <w:lang w:bidi="ar"/>
              </w:rPr>
              <w:t>外观无伤痕变形或明显修饰痕迹。</w:t>
            </w:r>
          </w:p>
          <w:p w14:paraId="1ADAB37F">
            <w:pPr>
              <w:rPr>
                <w:bCs/>
                <w:szCs w:val="21"/>
              </w:rPr>
            </w:pPr>
            <w:r>
              <w:rPr>
                <w:rFonts w:hint="eastAsia" w:cs="宋体"/>
                <w:bCs/>
                <w:szCs w:val="21"/>
                <w:lang w:bidi="ar"/>
              </w:rPr>
              <w:t>（</w:t>
            </w:r>
            <w:r>
              <w:rPr>
                <w:bCs/>
                <w:szCs w:val="21"/>
                <w:lang w:bidi="ar"/>
              </w:rPr>
              <w:t>2</w:t>
            </w:r>
            <w:r>
              <w:rPr>
                <w:rFonts w:hint="eastAsia" w:cs="宋体"/>
                <w:bCs/>
                <w:szCs w:val="21"/>
                <w:lang w:bidi="ar"/>
              </w:rPr>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5324CF80">
            <w:pPr>
              <w:rPr>
                <w:bCs/>
                <w:szCs w:val="21"/>
              </w:rPr>
            </w:pPr>
            <w:r>
              <w:rPr>
                <w:rFonts w:hint="eastAsia" w:cs="宋体"/>
                <w:bCs/>
                <w:szCs w:val="21"/>
                <w:lang w:bidi="ar"/>
              </w:rPr>
              <w:t>（</w:t>
            </w:r>
            <w:r>
              <w:rPr>
                <w:bCs/>
                <w:szCs w:val="21"/>
                <w:lang w:bidi="ar"/>
              </w:rPr>
              <w:t>3</w:t>
            </w:r>
            <w:r>
              <w:rPr>
                <w:rFonts w:hint="eastAsia" w:cs="宋体"/>
                <w:bCs/>
                <w:szCs w:val="21"/>
                <w:lang w:bidi="ar"/>
              </w:rPr>
              <w:t>）技术文件资料、备件等已按规定数量移交完毕。</w:t>
            </w:r>
          </w:p>
          <w:p w14:paraId="46393C77">
            <w:pPr>
              <w:rPr>
                <w:bCs/>
                <w:szCs w:val="21"/>
              </w:rPr>
            </w:pPr>
            <w:r>
              <w:rPr>
                <w:rFonts w:hint="eastAsia" w:cs="宋体"/>
                <w:bCs/>
                <w:szCs w:val="21"/>
                <w:lang w:bidi="ar"/>
              </w:rPr>
              <w:t>（</w:t>
            </w:r>
            <w:r>
              <w:rPr>
                <w:bCs/>
                <w:szCs w:val="21"/>
                <w:lang w:bidi="ar"/>
              </w:rPr>
              <w:t>4</w:t>
            </w:r>
            <w:r>
              <w:rPr>
                <w:rFonts w:hint="eastAsia" w:cs="宋体"/>
                <w:bCs/>
                <w:szCs w:val="21"/>
                <w:lang w:bidi="ar"/>
              </w:rPr>
              <w:t>）按照招标书要求及投标文件提供的技术要求验收必须合格。</w:t>
            </w:r>
          </w:p>
          <w:p w14:paraId="1CD16857">
            <w:pPr>
              <w:spacing w:line="340" w:lineRule="exact"/>
              <w:rPr>
                <w:bCs/>
                <w:szCs w:val="21"/>
              </w:rPr>
            </w:pPr>
            <w:r>
              <w:rPr>
                <w:rFonts w:hint="eastAsia" w:cs="宋体"/>
                <w:bCs/>
                <w:szCs w:val="21"/>
                <w:lang w:bidi="ar"/>
              </w:rPr>
              <w:t>（</w:t>
            </w:r>
            <w:r>
              <w:rPr>
                <w:bCs/>
                <w:szCs w:val="21"/>
                <w:lang w:bidi="ar"/>
              </w:rPr>
              <w:t>5</w:t>
            </w:r>
            <w:r>
              <w:rPr>
                <w:rFonts w:hint="eastAsia" w:cs="宋体"/>
                <w:bCs/>
                <w:szCs w:val="21"/>
                <w:lang w:bidi="ar"/>
              </w:rPr>
              <w:t>）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14:paraId="289C938B">
            <w:pPr>
              <w:spacing w:line="340" w:lineRule="exact"/>
              <w:rPr>
                <w:bCs/>
                <w:szCs w:val="21"/>
              </w:rPr>
            </w:pPr>
            <w:r>
              <w:rPr>
                <w:rFonts w:hint="eastAsia" w:cs="宋体"/>
                <w:bCs/>
                <w:szCs w:val="21"/>
                <w:lang w:bidi="ar"/>
              </w:rPr>
              <w:t>（</w:t>
            </w:r>
            <w:r>
              <w:rPr>
                <w:bCs/>
                <w:szCs w:val="21"/>
                <w:lang w:bidi="ar"/>
              </w:rPr>
              <w:t>6</w:t>
            </w:r>
            <w:r>
              <w:rPr>
                <w:rFonts w:hint="eastAsia" w:cs="宋体"/>
                <w:bCs/>
                <w:szCs w:val="21"/>
                <w:lang w:bidi="ar"/>
              </w:rPr>
              <w:t>）货物具备产品合格证。</w:t>
            </w:r>
          </w:p>
          <w:p w14:paraId="19D50F58">
            <w:pPr>
              <w:spacing w:line="340" w:lineRule="exact"/>
              <w:rPr>
                <w:bCs/>
                <w:szCs w:val="21"/>
              </w:rPr>
            </w:pPr>
            <w:r>
              <w:rPr>
                <w:rFonts w:hint="eastAsia" w:cs="宋体"/>
                <w:bCs/>
                <w:szCs w:val="21"/>
                <w:lang w:bidi="ar"/>
              </w:rPr>
              <w:t>（</w:t>
            </w:r>
            <w:r>
              <w:rPr>
                <w:bCs/>
                <w:szCs w:val="21"/>
                <w:lang w:bidi="ar"/>
              </w:rPr>
              <w:t>7</w:t>
            </w:r>
            <w:r>
              <w:rPr>
                <w:rFonts w:hint="eastAsia" w:cs="宋体"/>
                <w:bCs/>
                <w:szCs w:val="21"/>
                <w:lang w:bidi="ar"/>
              </w:rPr>
              <w:t>）在货物安装调试合格后，所有技术指标达到技术规范书要求，经验收合格后，双方共同签署验收报告。</w:t>
            </w:r>
          </w:p>
        </w:tc>
      </w:tr>
      <w:tr w14:paraId="79CA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0BB426">
            <w:pPr>
              <w:jc w:val="center"/>
              <w:rPr>
                <w:bCs/>
              </w:rPr>
            </w:pPr>
            <w:r>
              <w:rPr>
                <w:bCs/>
                <w:lang w:bidi="ar"/>
              </w:rPr>
              <w:t>3</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0AC60E">
            <w:pPr>
              <w:jc w:val="center"/>
            </w:pPr>
            <w:r>
              <w:rPr>
                <w:rFonts w:hint="eastAsia" w:cs="宋体"/>
                <w:lang w:bidi="ar"/>
              </w:rPr>
              <w:t>关于违约</w:t>
            </w:r>
          </w:p>
        </w:tc>
        <w:tc>
          <w:tcPr>
            <w:tcW w:w="6267" w:type="dxa"/>
            <w:tcBorders>
              <w:top w:val="single" w:color="auto" w:sz="4" w:space="0"/>
              <w:left w:val="single" w:color="auto" w:sz="4" w:space="0"/>
              <w:bottom w:val="single" w:color="auto" w:sz="4" w:space="0"/>
              <w:right w:val="single" w:color="auto" w:sz="4" w:space="0"/>
            </w:tcBorders>
            <w:shd w:val="clear" w:color="auto" w:fill="auto"/>
          </w:tcPr>
          <w:p w14:paraId="465D0664">
            <w:pPr>
              <w:rPr>
                <w:b/>
              </w:rPr>
            </w:pPr>
            <w:r>
              <w:rPr>
                <w:b/>
                <w:lang w:bidi="ar"/>
              </w:rPr>
              <w:t>3.1</w:t>
            </w:r>
            <w:r>
              <w:rPr>
                <w:rFonts w:hint="eastAsia" w:ascii="宋体" w:hAnsi="宋体" w:cs="宋体"/>
                <w:bCs/>
                <w:kern w:val="0"/>
                <w:szCs w:val="21"/>
                <w:lang w:bidi="ar"/>
              </w:rPr>
              <w:t>如投标人未按照投标文件中承诺的时间交货或提供服务，投标人应承担延期交货和延期服务的违约责任，并赔偿采购人因此造成的实际经济损失。实际经济损失超出履约保证金额，采购人有权终止合同。</w:t>
            </w:r>
          </w:p>
        </w:tc>
      </w:tr>
      <w:tr w14:paraId="1AA0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29F149">
            <w:pPr>
              <w:rPr>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1A6DB0">
            <w:pPr>
              <w:rPr>
                <w:sz w:val="20"/>
                <w:szCs w:val="20"/>
              </w:rPr>
            </w:pPr>
          </w:p>
        </w:tc>
        <w:tc>
          <w:tcPr>
            <w:tcW w:w="6267" w:type="dxa"/>
            <w:tcBorders>
              <w:top w:val="single" w:color="auto" w:sz="4" w:space="0"/>
              <w:left w:val="single" w:color="auto" w:sz="4" w:space="0"/>
              <w:bottom w:val="single" w:color="auto" w:sz="4" w:space="0"/>
              <w:right w:val="single" w:color="auto" w:sz="4" w:space="0"/>
            </w:tcBorders>
            <w:shd w:val="clear" w:color="auto" w:fill="auto"/>
          </w:tcPr>
          <w:p w14:paraId="2EEECFA2">
            <w:pPr>
              <w:rPr>
                <w:b/>
                <w:color w:val="FF0000"/>
              </w:rPr>
            </w:pPr>
            <w:r>
              <w:rPr>
                <w:b/>
                <w:lang w:bidi="ar"/>
              </w:rPr>
              <w:t>3.2</w:t>
            </w:r>
            <w:r>
              <w:rPr>
                <w:rFonts w:hint="eastAsia" w:ascii="宋体" w:hAnsi="宋体" w:cs="宋体"/>
                <w:bCs/>
                <w:kern w:val="0"/>
                <w:szCs w:val="21"/>
                <w:lang w:bidi="ar"/>
              </w:rPr>
              <w:t>投标人所交设备的品种、型号、规格、质量、功能、技术参数等方面不能实质性满足招标文件要约的，采购人有权拒绝收货，投标人向采购人偿付项目采购金额千分之</w:t>
            </w:r>
            <w:r>
              <w:rPr>
                <w:rFonts w:hint="eastAsia" w:ascii="宋体" w:hAnsi="宋体" w:cs="宋体"/>
                <w:bCs/>
                <w:kern w:val="0"/>
                <w:szCs w:val="21"/>
                <w:u w:val="single"/>
                <w:lang w:bidi="ar"/>
              </w:rPr>
              <w:t xml:space="preserve">  十  </w:t>
            </w:r>
            <w:r>
              <w:rPr>
                <w:rFonts w:hint="eastAsia" w:ascii="宋体" w:hAnsi="宋体" w:cs="宋体"/>
                <w:bCs/>
                <w:kern w:val="0"/>
                <w:szCs w:val="21"/>
                <w:lang w:bidi="ar"/>
              </w:rPr>
              <w:t>的违约金；造成严重后果的，根据《深圳经济特区政府采购条例》第五十七条第（二）款规定，由主管部门对中标人进行处罚。</w:t>
            </w:r>
          </w:p>
        </w:tc>
      </w:tr>
      <w:tr w14:paraId="1CBA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E096B7">
            <w:pPr>
              <w:rPr>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02A8F8">
            <w:pPr>
              <w:rPr>
                <w:sz w:val="20"/>
                <w:szCs w:val="20"/>
              </w:rPr>
            </w:pPr>
          </w:p>
        </w:tc>
        <w:tc>
          <w:tcPr>
            <w:tcW w:w="6267" w:type="dxa"/>
            <w:tcBorders>
              <w:top w:val="single" w:color="auto" w:sz="4" w:space="0"/>
              <w:left w:val="single" w:color="auto" w:sz="4" w:space="0"/>
              <w:bottom w:val="single" w:color="auto" w:sz="4" w:space="0"/>
              <w:right w:val="single" w:color="auto" w:sz="4" w:space="0"/>
            </w:tcBorders>
            <w:shd w:val="clear" w:color="auto" w:fill="auto"/>
          </w:tcPr>
          <w:p w14:paraId="56191EAA">
            <w:pPr>
              <w:rPr>
                <w:bCs/>
              </w:rPr>
            </w:pPr>
            <w:r>
              <w:rPr>
                <w:bCs/>
                <w:lang w:bidi="ar"/>
              </w:rPr>
              <w:t>3.3</w:t>
            </w:r>
            <w:r>
              <w:rPr>
                <w:rFonts w:hint="eastAsia" w:ascii="宋体" w:hAnsi="宋体" w:cs="宋体"/>
                <w:bCs/>
                <w:kern w:val="0"/>
                <w:szCs w:val="21"/>
                <w:lang w:bidi="ar"/>
              </w:rPr>
              <w:t>投标人不能交付设备的，投标人向采购人偿付项目采购金额千分之</w:t>
            </w:r>
            <w:r>
              <w:rPr>
                <w:rFonts w:hint="eastAsia" w:ascii="宋体" w:hAnsi="宋体" w:cs="宋体"/>
                <w:bCs/>
                <w:kern w:val="0"/>
                <w:szCs w:val="21"/>
                <w:u w:val="single"/>
                <w:lang w:bidi="ar"/>
              </w:rPr>
              <w:t xml:space="preserve">  十  </w:t>
            </w:r>
            <w:r>
              <w:rPr>
                <w:rFonts w:hint="eastAsia" w:ascii="宋体" w:hAnsi="宋体" w:cs="宋体"/>
                <w:bCs/>
                <w:kern w:val="0"/>
                <w:szCs w:val="21"/>
                <w:lang w:bidi="ar"/>
              </w:rPr>
              <w:t>的违约金；造成严重后果的，根据《深圳经济特区政府采购条例》第五十七条第（二）款规定，由主管部门对中标人进行处罚。</w:t>
            </w:r>
          </w:p>
        </w:tc>
      </w:tr>
      <w:tr w14:paraId="769E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62C731">
            <w:pPr>
              <w:rPr>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081F5">
            <w:pPr>
              <w:rPr>
                <w:sz w:val="20"/>
                <w:szCs w:val="20"/>
              </w:rPr>
            </w:pPr>
          </w:p>
        </w:tc>
        <w:tc>
          <w:tcPr>
            <w:tcW w:w="6267" w:type="dxa"/>
            <w:tcBorders>
              <w:top w:val="single" w:color="auto" w:sz="4" w:space="0"/>
              <w:left w:val="single" w:color="auto" w:sz="4" w:space="0"/>
              <w:bottom w:val="single" w:color="auto" w:sz="4" w:space="0"/>
              <w:right w:val="single" w:color="auto" w:sz="4" w:space="0"/>
            </w:tcBorders>
            <w:shd w:val="clear" w:color="auto" w:fill="auto"/>
          </w:tcPr>
          <w:p w14:paraId="55068811">
            <w:pPr>
              <w:rPr>
                <w:bCs/>
              </w:rPr>
            </w:pPr>
            <w:r>
              <w:rPr>
                <w:bCs/>
                <w:lang w:bidi="ar"/>
              </w:rPr>
              <w:t>3.4</w:t>
            </w:r>
            <w:r>
              <w:rPr>
                <w:rFonts w:hint="eastAsia" w:ascii="宋体" w:hAnsi="宋体" w:cs="宋体"/>
                <w:bCs/>
                <w:kern w:val="0"/>
                <w:szCs w:val="21"/>
                <w:lang w:bidi="ar"/>
              </w:rPr>
              <w:t>投标人逾期未交设备的，投标人向采购人每日偿付设备款千分之</w:t>
            </w:r>
            <w:r>
              <w:rPr>
                <w:rFonts w:hint="eastAsia" w:ascii="宋体" w:hAnsi="宋体" w:cs="宋体"/>
                <w:bCs/>
                <w:kern w:val="0"/>
                <w:szCs w:val="21"/>
                <w:u w:val="single"/>
                <w:lang w:bidi="ar"/>
              </w:rPr>
              <w:t xml:space="preserve"> 十  </w:t>
            </w:r>
            <w:r>
              <w:rPr>
                <w:rFonts w:hint="eastAsia" w:ascii="宋体" w:hAnsi="宋体" w:cs="宋体"/>
                <w:bCs/>
                <w:kern w:val="0"/>
                <w:szCs w:val="21"/>
                <w:lang w:bidi="ar"/>
              </w:rPr>
              <w:t>的违约金。</w:t>
            </w:r>
          </w:p>
        </w:tc>
      </w:tr>
      <w:tr w14:paraId="37E0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660933">
            <w:pPr>
              <w:rPr>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7BC7DD">
            <w:pPr>
              <w:rPr>
                <w:sz w:val="20"/>
                <w:szCs w:val="20"/>
              </w:rPr>
            </w:pPr>
          </w:p>
        </w:tc>
        <w:tc>
          <w:tcPr>
            <w:tcW w:w="6267" w:type="dxa"/>
            <w:tcBorders>
              <w:top w:val="single" w:color="auto" w:sz="4" w:space="0"/>
              <w:left w:val="single" w:color="auto" w:sz="4" w:space="0"/>
              <w:bottom w:val="single" w:color="auto" w:sz="4" w:space="0"/>
              <w:right w:val="single" w:color="auto" w:sz="4" w:space="0"/>
            </w:tcBorders>
            <w:shd w:val="clear" w:color="auto" w:fill="auto"/>
          </w:tcPr>
          <w:p w14:paraId="17AF3710">
            <w:pPr>
              <w:rPr>
                <w:rFonts w:ascii="宋体" w:hAnsi="宋体" w:cs="宋体"/>
                <w:bCs/>
                <w:kern w:val="0"/>
                <w:szCs w:val="21"/>
              </w:rPr>
            </w:pPr>
            <w:r>
              <w:rPr>
                <w:rFonts w:hint="eastAsia" w:ascii="宋体" w:hAnsi="宋体" w:cs="宋体"/>
                <w:bCs/>
                <w:kern w:val="0"/>
                <w:szCs w:val="21"/>
                <w:lang w:bidi="ar"/>
              </w:rPr>
              <w:t>3.5违约金先从由投标人履约保证金中扣除，若有不足部分则由中标人补齐。</w:t>
            </w:r>
          </w:p>
        </w:tc>
      </w:tr>
      <w:tr w14:paraId="3758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96489A">
            <w:pPr>
              <w:rPr>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6C1A94">
            <w:pPr>
              <w:rPr>
                <w:sz w:val="20"/>
                <w:szCs w:val="20"/>
              </w:rPr>
            </w:pPr>
          </w:p>
        </w:tc>
        <w:tc>
          <w:tcPr>
            <w:tcW w:w="6267" w:type="dxa"/>
            <w:tcBorders>
              <w:top w:val="single" w:color="auto" w:sz="4" w:space="0"/>
              <w:left w:val="single" w:color="auto" w:sz="4" w:space="0"/>
              <w:bottom w:val="single" w:color="auto" w:sz="4" w:space="0"/>
              <w:right w:val="single" w:color="auto" w:sz="4" w:space="0"/>
            </w:tcBorders>
            <w:shd w:val="clear" w:color="auto" w:fill="auto"/>
          </w:tcPr>
          <w:p w14:paraId="4344896A">
            <w:pPr>
              <w:rPr>
                <w:bCs/>
              </w:rPr>
            </w:pPr>
            <w:r>
              <w:rPr>
                <w:bCs/>
                <w:lang w:bidi="ar"/>
              </w:rPr>
              <w:t>3.6</w:t>
            </w:r>
            <w:r>
              <w:rPr>
                <w:rFonts w:hint="eastAsia" w:cs="宋体"/>
                <w:bCs/>
                <w:lang w:bidi="ar"/>
              </w:rPr>
              <w:t>中标人逾期交货的，将被没收履约保证金并按主管部门相关规定处理。</w:t>
            </w:r>
          </w:p>
        </w:tc>
      </w:tr>
      <w:tr w14:paraId="28F3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137D3E">
            <w:pPr>
              <w:rPr>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B8A231">
            <w:pPr>
              <w:rPr>
                <w:sz w:val="20"/>
                <w:szCs w:val="20"/>
              </w:rPr>
            </w:pPr>
          </w:p>
        </w:tc>
        <w:tc>
          <w:tcPr>
            <w:tcW w:w="6267" w:type="dxa"/>
            <w:tcBorders>
              <w:top w:val="single" w:color="auto" w:sz="4" w:space="0"/>
              <w:left w:val="single" w:color="auto" w:sz="4" w:space="0"/>
              <w:bottom w:val="single" w:color="auto" w:sz="4" w:space="0"/>
              <w:right w:val="single" w:color="auto" w:sz="4" w:space="0"/>
            </w:tcBorders>
            <w:shd w:val="clear" w:color="auto" w:fill="auto"/>
          </w:tcPr>
          <w:p w14:paraId="1E331682">
            <w:pPr>
              <w:rPr>
                <w:bCs/>
              </w:rPr>
            </w:pPr>
            <w:r>
              <w:rPr>
                <w:bCs/>
                <w:lang w:bidi="ar"/>
              </w:rPr>
              <w:t>3.7</w:t>
            </w:r>
            <w:r>
              <w:rPr>
                <w:rFonts w:hint="eastAsia" w:cs="宋体"/>
                <w:bCs/>
                <w:lang w:bidi="ar"/>
              </w:rPr>
              <w:t>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14:paraId="5E8E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4BEBECA">
            <w:pPr>
              <w:jc w:val="center"/>
              <w:rPr>
                <w:bCs/>
              </w:rPr>
            </w:pPr>
            <w:r>
              <w:rPr>
                <w:bCs/>
                <w:lang w:bidi="ar"/>
              </w:rPr>
              <w:t>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4AA0334">
            <w:pPr>
              <w:jc w:val="center"/>
            </w:pPr>
            <w:r>
              <w:rPr>
                <w:rFonts w:hint="eastAsia" w:cs="宋体"/>
                <w:lang w:bidi="ar"/>
              </w:rPr>
              <w:t>关于付款</w:t>
            </w:r>
          </w:p>
        </w:tc>
        <w:tc>
          <w:tcPr>
            <w:tcW w:w="6267" w:type="dxa"/>
            <w:tcBorders>
              <w:top w:val="single" w:color="auto" w:sz="4" w:space="0"/>
              <w:left w:val="single" w:color="auto" w:sz="4" w:space="0"/>
              <w:bottom w:val="single" w:color="auto" w:sz="4" w:space="0"/>
              <w:right w:val="single" w:color="auto" w:sz="4" w:space="0"/>
            </w:tcBorders>
            <w:shd w:val="clear" w:color="auto" w:fill="auto"/>
          </w:tcPr>
          <w:p w14:paraId="3949C818">
            <w:pPr>
              <w:rPr>
                <w:b/>
              </w:rPr>
            </w:pPr>
            <w:r>
              <w:rPr>
                <w:rFonts w:hint="eastAsia" w:cs="宋体"/>
                <w:bCs/>
                <w:szCs w:val="21"/>
                <w:lang w:bidi="ar"/>
              </w:rPr>
              <w:t>合同签订后，在设备安装完成经采购人验收合格后，中标人提供全额合法有效发票后，采购人在</w:t>
            </w:r>
            <w:r>
              <w:rPr>
                <w:bCs/>
                <w:szCs w:val="21"/>
                <w:u w:val="single"/>
                <w:lang w:bidi="ar"/>
              </w:rPr>
              <w:t>30</w:t>
            </w:r>
            <w:r>
              <w:rPr>
                <w:rFonts w:hint="eastAsia" w:cs="宋体"/>
                <w:bCs/>
                <w:szCs w:val="21"/>
                <w:lang w:bidi="ar"/>
              </w:rPr>
              <w:t>工作日内付中标人全额货款，采购人因财政审批导致迟延付款的，不视为甲方违约，中标人仍应按照本合同约定履行义务。</w:t>
            </w:r>
          </w:p>
        </w:tc>
      </w:tr>
      <w:tr w14:paraId="4A7F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B3941A9">
            <w:pPr>
              <w:jc w:val="center"/>
              <w:rPr>
                <w:bCs/>
              </w:rPr>
            </w:pPr>
            <w:r>
              <w:rPr>
                <w:bCs/>
                <w:lang w:bidi="ar"/>
              </w:rPr>
              <w:t>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E98AFB6">
            <w:pPr>
              <w:jc w:val="center"/>
            </w:pPr>
            <w:r>
              <w:rPr>
                <w:rFonts w:hint="eastAsia" w:cs="宋体"/>
                <w:lang w:bidi="ar"/>
              </w:rPr>
              <w:t>报价要求</w:t>
            </w:r>
          </w:p>
        </w:tc>
        <w:tc>
          <w:tcPr>
            <w:tcW w:w="6267" w:type="dxa"/>
            <w:tcBorders>
              <w:top w:val="single" w:color="auto" w:sz="4" w:space="0"/>
              <w:left w:val="single" w:color="auto" w:sz="4" w:space="0"/>
              <w:bottom w:val="single" w:color="auto" w:sz="4" w:space="0"/>
              <w:right w:val="single" w:color="auto" w:sz="4" w:space="0"/>
            </w:tcBorders>
            <w:shd w:val="clear" w:color="auto" w:fill="auto"/>
          </w:tcPr>
          <w:p w14:paraId="32999F40">
            <w:pPr>
              <w:rPr>
                <w:bCs/>
                <w:szCs w:val="21"/>
              </w:rPr>
            </w:pPr>
            <w:r>
              <w:rPr>
                <w:rFonts w:hint="eastAsia" w:cs="宋体"/>
                <w:bCs/>
                <w:szCs w:val="21"/>
                <w:lang w:bidi="ar"/>
              </w:rPr>
              <w:t>投标总价必须是完成该项目的一切费用总和，包括设备费、运输费、装卸费、保险费、技术培训费、设备安装费、调试费、售后服务费、国家规定的各项税费等全部费用；</w:t>
            </w:r>
            <w:r>
              <w:rPr>
                <w:bCs/>
                <w:szCs w:val="21"/>
                <w:lang w:bidi="ar"/>
              </w:rPr>
              <w:t xml:space="preserve"> </w:t>
            </w:r>
          </w:p>
        </w:tc>
      </w:tr>
      <w:tr w14:paraId="0B89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D1526FF">
            <w:pPr>
              <w:jc w:val="center"/>
              <w:rPr>
                <w:b/>
                <w:color w:val="FF0000"/>
              </w:rPr>
            </w:pPr>
            <w:r>
              <w:rPr>
                <w:b/>
                <w:color w:val="FF0000"/>
                <w:lang w:bidi="ar"/>
              </w:rPr>
              <w:t>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F85BD0E">
            <w:pPr>
              <w:jc w:val="center"/>
              <w:rPr>
                <w:b/>
                <w:color w:val="FF0000"/>
              </w:rPr>
            </w:pPr>
            <w:r>
              <w:rPr>
                <w:rFonts w:hint="eastAsia" w:cs="宋体"/>
                <w:b/>
                <w:color w:val="FF0000"/>
                <w:lang w:bidi="ar"/>
              </w:rPr>
              <w:t>项目（产品）要求</w:t>
            </w:r>
          </w:p>
        </w:tc>
        <w:tc>
          <w:tcPr>
            <w:tcW w:w="6267" w:type="dxa"/>
            <w:tcBorders>
              <w:top w:val="single" w:color="auto" w:sz="4" w:space="0"/>
              <w:left w:val="single" w:color="auto" w:sz="4" w:space="0"/>
              <w:bottom w:val="single" w:color="auto" w:sz="4" w:space="0"/>
              <w:right w:val="single" w:color="auto" w:sz="4" w:space="0"/>
            </w:tcBorders>
            <w:shd w:val="clear" w:color="auto" w:fill="auto"/>
          </w:tcPr>
          <w:p w14:paraId="48B2B9AC">
            <w:pPr>
              <w:rPr>
                <w:b/>
                <w:color w:val="FF0000"/>
              </w:rPr>
            </w:pPr>
            <w:r>
              <w:rPr>
                <w:rFonts w:hint="eastAsia" w:cs="宋体"/>
                <w:b/>
                <w:color w:val="FF0000"/>
                <w:lang w:bidi="ar"/>
              </w:rPr>
              <w:t>★</w:t>
            </w:r>
            <w:r>
              <w:rPr>
                <w:b/>
                <w:color w:val="FF0000"/>
                <w:lang w:bidi="ar"/>
              </w:rPr>
              <w:t>6.1</w:t>
            </w:r>
            <w:r>
              <w:rPr>
                <w:rFonts w:hint="eastAsia" w:cs="宋体"/>
                <w:b/>
                <w:color w:val="FF0000"/>
                <w:lang w:bidi="ar"/>
              </w:rPr>
              <w:t>若所投产品为进口，则投标人必须提供由设备制造商或授权的中国总代理签署的合法有效的保修、维修承诺函（免费保修期满足招标文件要求）扫描件，原件备查；若所投产品为国产产品，则无需提供。</w:t>
            </w:r>
          </w:p>
        </w:tc>
      </w:tr>
    </w:tbl>
    <w:p w14:paraId="4134298D"/>
    <w:p w14:paraId="092ACFBB">
      <w:pPr>
        <w:pStyle w:val="38"/>
        <w:spacing w:before="60" w:beforeLines="25" w:beforeAutospacing="0" w:after="60" w:afterLines="25" w:afterAutospacing="0"/>
        <w:ind w:firstLine="448" w:firstLineChars="187"/>
        <w:jc w:val="both"/>
        <w:rPr>
          <w:rFonts w:ascii="宋体" w:hAnsi="宋体" w:cs="宋体"/>
          <w:szCs w:val="21"/>
        </w:rPr>
      </w:pPr>
    </w:p>
    <w:p w14:paraId="4A6FF3AD">
      <w:pPr>
        <w:pStyle w:val="7"/>
        <w:spacing w:before="60" w:beforeLines="25" w:after="60" w:afterLines="25"/>
        <w:ind w:firstLine="392" w:firstLineChars="187"/>
        <w:rPr>
          <w:rFonts w:ascii="宋体" w:hAnsi="宋体"/>
          <w:szCs w:val="21"/>
        </w:rPr>
      </w:pPr>
    </w:p>
    <w:p w14:paraId="43E41D46">
      <w:pPr>
        <w:pStyle w:val="5"/>
        <w:spacing w:before="120" w:beforeLines="50" w:after="120" w:afterLines="50"/>
        <w:rPr>
          <w:sz w:val="28"/>
          <w:szCs w:val="28"/>
        </w:rPr>
      </w:pPr>
      <w:r>
        <w:rPr>
          <w:rFonts w:hint="eastAsia"/>
          <w:sz w:val="28"/>
          <w:szCs w:val="28"/>
        </w:rPr>
        <w:t>六、其他重要条款</w:t>
      </w:r>
    </w:p>
    <w:p w14:paraId="2143CFB6">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41844552">
      <w:pPr>
        <w:pStyle w:val="7"/>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0A642A37">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3FB44823">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02403D7C">
      <w:pPr>
        <w:ind w:firstLine="420" w:firstLineChars="200"/>
        <w:rPr>
          <w:bCs/>
          <w:szCs w:val="21"/>
        </w:rPr>
      </w:pPr>
      <w:r>
        <w:rPr>
          <w:bCs/>
          <w:szCs w:val="21"/>
        </w:rPr>
        <w:t>5</w:t>
      </w:r>
      <w:r>
        <w:rPr>
          <w:rFonts w:hint="eastAsia"/>
          <w:bCs/>
          <w:szCs w:val="21"/>
        </w:rPr>
        <w:t>、除政府采购合同继续履行将损害国家利益和社会公共利益外，双方当事人不得擅自变更、中止或者终止合同。</w:t>
      </w:r>
    </w:p>
    <w:p w14:paraId="75837E8F">
      <w:pPr>
        <w:ind w:firstLine="420" w:firstLineChars="200"/>
        <w:rPr>
          <w:bCs/>
          <w:szCs w:val="21"/>
        </w:rPr>
      </w:pPr>
      <w:r>
        <w:rPr>
          <w:bCs/>
          <w:szCs w:val="21"/>
        </w:rPr>
        <w:t>6</w:t>
      </w:r>
      <w:r>
        <w:rPr>
          <w:rFonts w:hint="eastAsia"/>
          <w:bCs/>
          <w:szCs w:val="21"/>
        </w:rPr>
        <w:t>、“信用中国”、“中国政府采购网”、“深圳信用网”以及“深圳市政府采购监管网”为供应商信用信息的查询渠道，相关信息以开标当日的查询结果为准。</w:t>
      </w:r>
    </w:p>
    <w:p w14:paraId="509B1CDA">
      <w:pPr>
        <w:ind w:firstLine="420" w:firstLineChars="200"/>
        <w:rPr>
          <w:bCs/>
          <w:szCs w:val="21"/>
        </w:rPr>
      </w:pPr>
    </w:p>
    <w:p w14:paraId="69AEAD23">
      <w:pPr>
        <w:ind w:firstLine="420" w:firstLineChars="200"/>
        <w:rPr>
          <w:rFonts w:ascii="宋体" w:hAnsi="宋体"/>
        </w:rPr>
      </w:pPr>
    </w:p>
    <w:p w14:paraId="6D34FEAA">
      <w:pPr>
        <w:pStyle w:val="5"/>
        <w:rPr>
          <w:kern w:val="2"/>
        </w:rPr>
      </w:pPr>
      <w:r>
        <w:rPr>
          <w:rFonts w:hint="eastAsia"/>
          <w:kern w:val="2"/>
        </w:rPr>
        <w:t>第四章 投标文件组成要求及格式</w:t>
      </w:r>
    </w:p>
    <w:p w14:paraId="251AAFA1">
      <w:pPr>
        <w:rPr>
          <w:rStyle w:val="58"/>
          <w:sz w:val="24"/>
        </w:rPr>
      </w:pPr>
      <w:r>
        <w:rPr>
          <w:rStyle w:val="58"/>
          <w:rFonts w:hint="eastAsia"/>
          <w:sz w:val="24"/>
        </w:rPr>
        <w:t>特别提醒：</w:t>
      </w:r>
    </w:p>
    <w:p w14:paraId="0BD06E4F">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562496BA">
      <w:pPr>
        <w:rPr>
          <w:rFonts w:ascii="仿宋_GB2312" w:eastAsia="仿宋_GB2312"/>
          <w:sz w:val="24"/>
        </w:rPr>
      </w:pPr>
      <w:r>
        <w:rPr>
          <w:rFonts w:hint="eastAsia" w:ascii="仿宋_GB2312" w:eastAsia="仿宋_GB2312"/>
          <w:sz w:val="24"/>
        </w:rPr>
        <w:t xml:space="preserve">    投标文件正文（信息公开部分）必须编制于“投标书目录”部分，投标文件附件（非信息公开部分）必须编制于“投标书附件”部分，如下图所示。</w:t>
      </w:r>
    </w:p>
    <w:p w14:paraId="54B74917">
      <w:pPr>
        <w:widowControl/>
        <w:jc w:val="left"/>
        <w:rPr>
          <w:rFonts w:ascii="宋体" w:hAnsi="宋体" w:cs="宋体"/>
          <w:kern w:val="0"/>
          <w:sz w:val="24"/>
        </w:rPr>
      </w:pPr>
      <w:r>
        <w:rPr>
          <w:rFonts w:ascii="宋体" w:hAnsi="宋体" w:cs="宋体"/>
          <w:kern w:val="0"/>
          <w:sz w:val="24"/>
        </w:rPr>
        <w:drawing>
          <wp:inline distT="0" distB="0" distL="0" distR="0">
            <wp:extent cx="4933950" cy="5172075"/>
            <wp:effectExtent l="19050" t="0" r="0" b="0"/>
            <wp:docPr id="11" name="图片 11" descr="C:\Users\Administrator\Documents\Tencent Files\9571728\Image\C2C\F9)3IDR8GS@SBU}%$MKJ1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ocuments\Tencent Files\9571728\Image\C2C\F9)3IDR8GS@SBU}%$MKJ18W.jpg"/>
                    <pic:cNvPicPr>
                      <a:picLocks noChangeAspect="1" noChangeArrowheads="1"/>
                    </pic:cNvPicPr>
                  </pic:nvPicPr>
                  <pic:blipFill>
                    <a:blip r:embed="rId7" cstate="print"/>
                    <a:srcRect/>
                    <a:stretch>
                      <a:fillRect/>
                    </a:stretch>
                  </pic:blipFill>
                  <pic:spPr>
                    <a:xfrm>
                      <a:off x="0" y="0"/>
                      <a:ext cx="4933950" cy="5172075"/>
                    </a:xfrm>
                    <a:prstGeom prst="rect">
                      <a:avLst/>
                    </a:prstGeom>
                    <a:noFill/>
                    <a:ln w="9525">
                      <a:noFill/>
                      <a:miter lim="800000"/>
                      <a:headEnd/>
                      <a:tailEnd/>
                    </a:ln>
                  </pic:spPr>
                </pic:pic>
              </a:graphicData>
            </a:graphic>
          </wp:inline>
        </w:drawing>
      </w:r>
    </w:p>
    <w:p w14:paraId="167BEA4C">
      <w:pPr>
        <w:rPr>
          <w:rFonts w:ascii="仿宋_GB2312" w:eastAsia="仿宋_GB2312"/>
          <w:sz w:val="24"/>
        </w:rPr>
      </w:pPr>
    </w:p>
    <w:p w14:paraId="2AD83183">
      <w:pPr>
        <w:jc w:val="center"/>
        <w:rPr>
          <w:rFonts w:ascii="仿宋_GB2312" w:eastAsia="仿宋_GB2312"/>
          <w:sz w:val="24"/>
        </w:rPr>
      </w:pPr>
    </w:p>
    <w:p w14:paraId="42F04881">
      <w:pPr>
        <w:ind w:firstLine="480" w:firstLineChars="200"/>
        <w:rPr>
          <w:rFonts w:ascii="仿宋_GB2312" w:eastAsia="仿宋_GB2312"/>
          <w:sz w:val="24"/>
        </w:rPr>
      </w:pPr>
      <w:bookmarkStart w:id="41" w:name="_Hlk72257167"/>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bookmarkEnd w:id="41"/>
    <w:p w14:paraId="171A5582">
      <w:pPr>
        <w:ind w:firstLine="420" w:firstLineChars="200"/>
        <w:rPr>
          <w:rFonts w:ascii="宋体" w:hAnsi="宋体"/>
          <w:szCs w:val="21"/>
        </w:rPr>
      </w:pPr>
    </w:p>
    <w:p w14:paraId="684F0B21">
      <w:pPr>
        <w:ind w:firstLine="480" w:firstLineChars="200"/>
        <w:rPr>
          <w:rFonts w:ascii="仿宋_GB2312" w:eastAsia="仿宋_GB2312"/>
          <w:sz w:val="24"/>
        </w:rPr>
      </w:pPr>
    </w:p>
    <w:p w14:paraId="3B6AE5F4">
      <w:pPr>
        <w:rPr>
          <w:rFonts w:ascii="仿宋_GB2312" w:eastAsia="仿宋_GB2312"/>
          <w:sz w:val="24"/>
        </w:rPr>
      </w:pPr>
    </w:p>
    <w:p w14:paraId="0F0489E0">
      <w:pPr>
        <w:outlineLvl w:val="0"/>
        <w:rPr>
          <w:rStyle w:val="58"/>
          <w:sz w:val="28"/>
          <w:szCs w:val="28"/>
        </w:rPr>
      </w:pPr>
      <w:r>
        <w:rPr>
          <w:rStyle w:val="58"/>
          <w:rFonts w:hint="eastAsia"/>
          <w:sz w:val="28"/>
          <w:szCs w:val="28"/>
        </w:rPr>
        <w:t>投标文件组成：</w:t>
      </w:r>
    </w:p>
    <w:p w14:paraId="3C2A0DBF">
      <w:pPr>
        <w:ind w:firstLine="1200" w:firstLineChars="500"/>
        <w:outlineLvl w:val="0"/>
        <w:rPr>
          <w:rFonts w:ascii="宋体" w:hAnsi="宋体"/>
          <w:sz w:val="24"/>
        </w:rPr>
      </w:pPr>
      <w:bookmarkStart w:id="42" w:name="_Hlk72257253"/>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14:paraId="345E3B25">
      <w:pPr>
        <w:ind w:left="718" w:leftChars="342" w:firstLine="1417" w:firstLineChars="675"/>
        <w:rPr>
          <w:szCs w:val="21"/>
        </w:rPr>
      </w:pPr>
      <w:r>
        <w:rPr>
          <w:rFonts w:hint="eastAsia"/>
          <w:szCs w:val="21"/>
        </w:rPr>
        <w:t>（1）</w:t>
      </w:r>
      <w:bookmarkStart w:id="43" w:name="_Hlk72070784"/>
      <w:r>
        <w:rPr>
          <w:rFonts w:hint="eastAsia"/>
          <w:szCs w:val="21"/>
        </w:rPr>
        <w:t>投标函</w:t>
      </w:r>
      <w:bookmarkEnd w:id="43"/>
    </w:p>
    <w:p w14:paraId="1E0FBD5B">
      <w:pPr>
        <w:ind w:left="718" w:leftChars="342" w:firstLine="1417" w:firstLineChars="675"/>
        <w:rPr>
          <w:szCs w:val="21"/>
        </w:rPr>
      </w:pPr>
      <w:r>
        <w:rPr>
          <w:rFonts w:hint="eastAsia"/>
          <w:szCs w:val="21"/>
        </w:rPr>
        <w:t>（2）</w:t>
      </w:r>
      <w:bookmarkStart w:id="44" w:name="_Hlk72062521"/>
      <w:r>
        <w:rPr>
          <w:rFonts w:hint="eastAsia"/>
          <w:szCs w:val="21"/>
        </w:rPr>
        <w:t>政府采购投标及履约承诺函</w:t>
      </w:r>
      <w:bookmarkEnd w:id="44"/>
    </w:p>
    <w:p w14:paraId="5CE00766">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1988CEDD">
      <w:pPr>
        <w:ind w:left="718" w:leftChars="342" w:firstLine="1417" w:firstLineChars="675"/>
        <w:rPr>
          <w:szCs w:val="21"/>
        </w:rPr>
      </w:pPr>
      <w:bookmarkStart w:id="45" w:name="_Hlk72257201"/>
      <w:r>
        <w:rPr>
          <w:rFonts w:hint="eastAsia"/>
          <w:szCs w:val="21"/>
        </w:rPr>
        <w:t>（</w:t>
      </w:r>
      <w:r>
        <w:rPr>
          <w:szCs w:val="21"/>
        </w:rPr>
        <w:t>4</w:t>
      </w:r>
      <w:r>
        <w:rPr>
          <w:rFonts w:hint="eastAsia"/>
          <w:szCs w:val="21"/>
        </w:rPr>
        <w:t>）项目详细报价</w:t>
      </w:r>
    </w:p>
    <w:bookmarkEnd w:id="45"/>
    <w:p w14:paraId="3074C2F6">
      <w:pPr>
        <w:ind w:firstLine="1200" w:firstLineChars="500"/>
        <w:outlineLvl w:val="0"/>
        <w:rPr>
          <w:rFonts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14:paraId="0A682692">
      <w:pPr>
        <w:ind w:firstLine="2100" w:firstLineChars="1000"/>
        <w:rPr>
          <w:szCs w:val="21"/>
        </w:rPr>
      </w:pPr>
      <w:r>
        <w:rPr>
          <w:rFonts w:hint="eastAsia"/>
          <w:szCs w:val="21"/>
        </w:rPr>
        <w:t>（1）法定代表人（负责人）证明书</w:t>
      </w:r>
    </w:p>
    <w:p w14:paraId="589C624A">
      <w:pPr>
        <w:ind w:left="718" w:leftChars="342" w:firstLine="1417" w:firstLineChars="675"/>
        <w:rPr>
          <w:szCs w:val="21"/>
        </w:rPr>
      </w:pPr>
      <w:r>
        <w:rPr>
          <w:rFonts w:hint="eastAsia"/>
          <w:szCs w:val="21"/>
        </w:rPr>
        <w:t>（2）投标文件签署授权委托书</w:t>
      </w:r>
    </w:p>
    <w:p w14:paraId="02739404">
      <w:pPr>
        <w:ind w:left="718" w:leftChars="342" w:firstLine="1417" w:firstLineChars="675"/>
        <w:rPr>
          <w:szCs w:val="21"/>
        </w:rPr>
      </w:pPr>
      <w:r>
        <w:rPr>
          <w:rFonts w:hint="eastAsia"/>
          <w:szCs w:val="21"/>
        </w:rPr>
        <w:t>（3）实质性条款响应情况表</w:t>
      </w:r>
    </w:p>
    <w:p w14:paraId="27021CD8">
      <w:pPr>
        <w:ind w:left="718" w:leftChars="342" w:firstLine="1417" w:firstLineChars="675"/>
        <w:rPr>
          <w:szCs w:val="21"/>
        </w:rPr>
      </w:pPr>
      <w:r>
        <w:rPr>
          <w:rFonts w:hint="eastAsia"/>
          <w:szCs w:val="21"/>
        </w:rPr>
        <w:t>（</w:t>
      </w:r>
      <w:r>
        <w:rPr>
          <w:szCs w:val="21"/>
        </w:rPr>
        <w:t>4</w:t>
      </w:r>
      <w:r>
        <w:rPr>
          <w:rFonts w:hint="eastAsia"/>
          <w:szCs w:val="21"/>
        </w:rPr>
        <w:t>）技术要求偏离表</w:t>
      </w:r>
    </w:p>
    <w:p w14:paraId="17195793">
      <w:pPr>
        <w:ind w:left="718" w:leftChars="342" w:firstLine="1417" w:firstLineChars="675"/>
        <w:rPr>
          <w:szCs w:val="21"/>
        </w:rPr>
      </w:pPr>
      <w:r>
        <w:rPr>
          <w:rFonts w:hint="eastAsia"/>
          <w:szCs w:val="21"/>
        </w:rPr>
        <w:t>（</w:t>
      </w:r>
      <w:r>
        <w:rPr>
          <w:szCs w:val="21"/>
        </w:rPr>
        <w:t>5</w:t>
      </w:r>
      <w:r>
        <w:rPr>
          <w:rFonts w:hint="eastAsia"/>
          <w:szCs w:val="21"/>
        </w:rPr>
        <w:t>）商务要求偏离表</w:t>
      </w:r>
    </w:p>
    <w:p w14:paraId="4241695C">
      <w:pPr>
        <w:ind w:left="718" w:leftChars="342" w:firstLine="1417" w:firstLineChars="675"/>
        <w:rPr>
          <w:szCs w:val="21"/>
        </w:rPr>
      </w:pPr>
      <w:r>
        <w:rPr>
          <w:rFonts w:hint="eastAsia"/>
          <w:szCs w:val="21"/>
        </w:rPr>
        <w:t>（</w:t>
      </w:r>
      <w:r>
        <w:rPr>
          <w:szCs w:val="21"/>
        </w:rPr>
        <w:t>6</w:t>
      </w:r>
      <w:r>
        <w:rPr>
          <w:rFonts w:hint="eastAsia"/>
          <w:szCs w:val="21"/>
        </w:rPr>
        <w:t>）项目实施方案</w:t>
      </w:r>
    </w:p>
    <w:p w14:paraId="6273C8C9">
      <w:pPr>
        <w:ind w:left="718" w:leftChars="342" w:firstLine="1417" w:firstLineChars="675"/>
        <w:rPr>
          <w:szCs w:val="21"/>
        </w:rPr>
      </w:pPr>
      <w:r>
        <w:rPr>
          <w:rFonts w:hint="eastAsia"/>
          <w:szCs w:val="21"/>
        </w:rPr>
        <w:t>（7）售后服务方案</w:t>
      </w:r>
    </w:p>
    <w:p w14:paraId="0EEAA31C">
      <w:pPr>
        <w:ind w:left="718" w:leftChars="342" w:firstLine="1417" w:firstLineChars="675"/>
        <w:rPr>
          <w:szCs w:val="21"/>
        </w:rPr>
      </w:pPr>
      <w:r>
        <w:rPr>
          <w:rFonts w:hint="eastAsia"/>
          <w:szCs w:val="21"/>
        </w:rPr>
        <w:t>（8）投标人认为需要加以说明的其他内容</w:t>
      </w:r>
      <w:bookmarkEnd w:id="42"/>
    </w:p>
    <w:p w14:paraId="5A8025B6">
      <w:pPr>
        <w:ind w:firstLine="426" w:firstLineChars="202"/>
        <w:rPr>
          <w:rFonts w:ascii="宋体" w:hAnsi="宋体"/>
          <w:b/>
          <w:szCs w:val="21"/>
        </w:rPr>
      </w:pPr>
      <w:bookmarkStart w:id="46" w:name="_Hlk72257771"/>
      <w:r>
        <w:rPr>
          <w:rFonts w:hint="eastAsia" w:ascii="宋体" w:hAnsi="宋体"/>
          <w:b/>
          <w:szCs w:val="21"/>
        </w:rPr>
        <w:t>备注：</w:t>
      </w:r>
    </w:p>
    <w:p w14:paraId="0133AE55">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1.本项目为网上电子投标项目，投标文件不需法人或授权委托人另行签字，无需加盖单位公章，招标文件专用条款另有规定的除外。</w:t>
      </w:r>
    </w:p>
    <w:p w14:paraId="36B3A5FB">
      <w:pPr>
        <w:ind w:firstLine="422" w:firstLineChars="200"/>
        <w:rPr>
          <w:rFonts w:ascii="宋体" w:hAnsi="宋体"/>
          <w:color w:val="FF0000"/>
          <w:sz w:val="24"/>
        </w:rPr>
      </w:pPr>
      <w:bookmarkStart w:id="47" w:name="_Hlk72263559"/>
      <w:r>
        <w:rPr>
          <w:rFonts w:hint="eastAsia" w:ascii="宋体" w:hAnsi="宋体"/>
          <w:b/>
          <w:szCs w:val="21"/>
        </w:rPr>
        <w:t>2.关于填写“开标一览表”的说明：“开标一览表”中除“投标总价”外，其他信息不作评审依据。</w:t>
      </w:r>
      <w:bookmarkEnd w:id="46"/>
      <w:bookmarkEnd w:id="47"/>
    </w:p>
    <w:p w14:paraId="24F36361">
      <w:pPr>
        <w:rPr>
          <w:rFonts w:ascii="宋体" w:hAnsi="宋体"/>
          <w:color w:val="FF0000"/>
          <w:sz w:val="24"/>
        </w:rPr>
      </w:pPr>
    </w:p>
    <w:p w14:paraId="28385356">
      <w:pPr>
        <w:rPr>
          <w:rFonts w:ascii="宋体" w:hAnsi="宋体"/>
          <w:color w:val="FF0000"/>
          <w:sz w:val="24"/>
        </w:rPr>
      </w:pPr>
    </w:p>
    <w:p w14:paraId="13E1CE94">
      <w:pPr>
        <w:outlineLvl w:val="1"/>
        <w:rPr>
          <w:rFonts w:ascii="宋体" w:hAnsi="宋体"/>
          <w:b/>
          <w:color w:val="FF0000"/>
          <w:sz w:val="28"/>
          <w:szCs w:val="28"/>
        </w:rPr>
      </w:pPr>
      <w:r>
        <w:rPr>
          <w:rFonts w:hint="eastAsia" w:ascii="宋体" w:hAnsi="宋体"/>
          <w:b/>
          <w:color w:val="FF0000"/>
          <w:sz w:val="28"/>
          <w:szCs w:val="28"/>
        </w:rPr>
        <w:t>投标文件正文（信息公开部分）</w:t>
      </w:r>
    </w:p>
    <w:p w14:paraId="58BED06B">
      <w:pPr>
        <w:pStyle w:val="3"/>
        <w:jc w:val="center"/>
        <w:rPr>
          <w:rFonts w:ascii="黑体" w:eastAsia="黑体"/>
          <w:b w:val="0"/>
          <w:sz w:val="24"/>
        </w:rPr>
      </w:pPr>
      <w:r>
        <w:rPr>
          <w:rFonts w:hint="eastAsia" w:ascii="黑体" w:eastAsia="黑体"/>
          <w:b w:val="0"/>
          <w:sz w:val="24"/>
        </w:rPr>
        <w:t>一、投标函</w:t>
      </w:r>
    </w:p>
    <w:p w14:paraId="2B4E6BBE">
      <w:pPr>
        <w:spacing w:line="360" w:lineRule="auto"/>
        <w:rPr>
          <w:rFonts w:ascii="宋体" w:hAnsi="宋体"/>
          <w:szCs w:val="21"/>
        </w:rPr>
      </w:pPr>
      <w:bookmarkStart w:id="48" w:name="_Hlk72257506"/>
      <w:r>
        <w:rPr>
          <w:rFonts w:hint="eastAsia" w:ascii="宋体" w:hAnsi="宋体"/>
          <w:szCs w:val="21"/>
        </w:rPr>
        <w:t>致：</w:t>
      </w:r>
      <w:r>
        <w:rPr>
          <w:rFonts w:hint="eastAsia" w:ascii="宋体" w:hAnsi="宋体"/>
          <w:color w:val="FF0000"/>
          <w:szCs w:val="21"/>
          <w:u w:val="single"/>
        </w:rPr>
        <w:t>深圳公共资源交易中心</w:t>
      </w:r>
    </w:p>
    <w:p w14:paraId="7A882DD0">
      <w:pPr>
        <w:ind w:firstLine="420" w:firstLineChars="200"/>
        <w:rPr>
          <w:rFonts w:ascii="宋体" w:hAnsi="宋体"/>
          <w:szCs w:val="21"/>
        </w:rPr>
      </w:pPr>
      <w:bookmarkStart w:id="49" w:name="_Hlk73818812"/>
      <w:r>
        <w:rPr>
          <w:rFonts w:hint="eastAsia"/>
          <w:szCs w:val="21"/>
        </w:rPr>
        <w:t>1、根据已收到贵单位的项目编号为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的</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项目的招标文件，遵照《深圳经济特区政府采购条例》和《深圳网上政府采购管理暂行办法》等有关规定，我单位经研究上述招标文件的专用条款及通用条款后，</w:t>
      </w:r>
      <w:bookmarkStart w:id="50" w:name="_Hlk72263588"/>
      <w:r>
        <w:rPr>
          <w:rFonts w:hint="eastAsia"/>
          <w:szCs w:val="21"/>
        </w:rPr>
        <w:t>愿意按照招标文件要求承包上述项目并修补其任何缺陷。</w:t>
      </w:r>
      <w:bookmarkEnd w:id="50"/>
    </w:p>
    <w:p w14:paraId="555283F1">
      <w:pPr>
        <w:ind w:firstLine="420" w:firstLineChars="200"/>
        <w:rPr>
          <w:rFonts w:ascii="宋体" w:hAnsi="宋体"/>
          <w:szCs w:val="21"/>
        </w:rPr>
      </w:pPr>
      <w:r>
        <w:rPr>
          <w:rFonts w:ascii="宋体" w:hAnsi="宋体"/>
          <w:szCs w:val="21"/>
        </w:rPr>
        <w:t>2</w:t>
      </w:r>
      <w:r>
        <w:rPr>
          <w:rFonts w:hint="eastAsia" w:ascii="宋体" w:hAnsi="宋体"/>
          <w:szCs w:val="21"/>
        </w:rPr>
        <w:t>、</w:t>
      </w:r>
      <w:bookmarkStart w:id="51" w:name="_Hlk73819847"/>
      <w:r>
        <w:rPr>
          <w:rFonts w:hint="eastAsia" w:ascii="宋体" w:hAnsi="宋体"/>
          <w:szCs w:val="21"/>
        </w:rPr>
        <w:t>投标价格见</w:t>
      </w:r>
      <w:r>
        <w:rPr>
          <w:rFonts w:hint="eastAsia"/>
          <w:szCs w:val="21"/>
        </w:rPr>
        <w:t>投标书编制软件中《开标一览表》中填写的投标总价。</w:t>
      </w:r>
      <w:bookmarkEnd w:id="51"/>
    </w:p>
    <w:p w14:paraId="599C864C">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14:paraId="64D8F1F7">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71C78132">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0DB44DA8">
      <w:pPr>
        <w:ind w:firstLine="420" w:firstLineChars="200"/>
        <w:rPr>
          <w:rFonts w:ascii="宋体" w:hAnsi="宋体"/>
          <w:szCs w:val="21"/>
        </w:rPr>
      </w:pPr>
      <w:r>
        <w:rPr>
          <w:rFonts w:hint="eastAsia" w:ascii="宋体" w:hAnsi="宋体"/>
          <w:szCs w:val="21"/>
        </w:rPr>
        <w:t>6、我单位理解贵单位将不受必须接受所收到的最低报价或其它任何投标文件的约束。</w:t>
      </w:r>
      <w:bookmarkEnd w:id="49"/>
    </w:p>
    <w:p w14:paraId="5913EE7C">
      <w:pPr>
        <w:ind w:left="540" w:leftChars="257"/>
        <w:rPr>
          <w:szCs w:val="21"/>
        </w:rPr>
      </w:pPr>
      <w:r>
        <w:rPr>
          <w:rFonts w:hint="eastAsia"/>
          <w:szCs w:val="21"/>
        </w:rPr>
        <w:t>投标人：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单位地址：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 xml:space="preserve">  </w:t>
      </w:r>
    </w:p>
    <w:p w14:paraId="6CB0FDAF">
      <w:pPr>
        <w:ind w:left="540" w:leftChars="257"/>
        <w:rPr>
          <w:szCs w:val="21"/>
          <w:u w:val="single"/>
        </w:rPr>
      </w:pPr>
      <w:r>
        <w:rPr>
          <w:rFonts w:hint="eastAsia"/>
          <w:szCs w:val="21"/>
        </w:rPr>
        <w:t>法定代表人（负责人）或其委托代理人：</w:t>
      </w:r>
      <w:r>
        <w:rPr>
          <w:rFonts w:hint="eastAsia"/>
          <w:szCs w:val="21"/>
        </w:rPr>
        <w:tab/>
      </w:r>
      <w:r>
        <w:rPr>
          <w:rFonts w:hint="eastAsia"/>
          <w:szCs w:val="21"/>
        </w:rPr>
        <w:tab/>
      </w:r>
      <w:r>
        <w:rPr>
          <w:rFonts w:hint="eastAsia"/>
          <w:szCs w:val="21"/>
        </w:rPr>
        <w:tab/>
      </w:r>
      <w:r>
        <w:rPr>
          <w:rFonts w:hint="eastAsia"/>
          <w:szCs w:val="21"/>
        </w:rPr>
        <w:tab/>
      </w:r>
    </w:p>
    <w:p w14:paraId="5D011F54">
      <w:pPr>
        <w:ind w:left="540" w:leftChars="257"/>
        <w:rPr>
          <w:szCs w:val="21"/>
          <w:u w:val="single"/>
        </w:rPr>
      </w:pPr>
      <w:r>
        <w:rPr>
          <w:rFonts w:hint="eastAsia"/>
          <w:szCs w:val="21"/>
        </w:rPr>
        <w:t>邮政编码：</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0F1BC3FE">
      <w:pPr>
        <w:ind w:left="540" w:leftChars="257"/>
        <w:rPr>
          <w:szCs w:val="21"/>
          <w:u w:val="single"/>
        </w:rPr>
      </w:pPr>
      <w:r>
        <w:rPr>
          <w:rFonts w:hint="eastAsia"/>
          <w:szCs w:val="21"/>
        </w:rPr>
        <w:t>传真：</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邮箱：</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373A9F05">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5EF3620C">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3A056164">
      <w:pPr>
        <w:ind w:firstLine="539" w:firstLineChars="257"/>
        <w:rPr>
          <w:sz w:val="24"/>
        </w:rPr>
      </w:pPr>
      <w:r>
        <w:rPr>
          <w:rFonts w:hint="eastAsia" w:ascii="宋体" w:hAnsi="宋体"/>
          <w:szCs w:val="21"/>
        </w:rPr>
        <w:t>日期：</w:t>
      </w:r>
      <w:r>
        <w:rPr>
          <w:rFonts w:hint="eastAsia"/>
          <w:szCs w:val="21"/>
          <w:u w:val="single"/>
        </w:rPr>
        <w:tab/>
      </w:r>
      <w:r>
        <w:rPr>
          <w:rFonts w:hint="eastAsia"/>
          <w:szCs w:val="21"/>
          <w:u w:val="single"/>
        </w:rPr>
        <w:tab/>
      </w:r>
      <w:r>
        <w:rPr>
          <w:rFonts w:hint="eastAsia" w:ascii="宋体" w:hAnsi="宋体"/>
          <w:szCs w:val="21"/>
        </w:rPr>
        <w:t>年</w:t>
      </w:r>
      <w:r>
        <w:rPr>
          <w:rFonts w:hint="eastAsia"/>
          <w:szCs w:val="21"/>
          <w:u w:val="single"/>
        </w:rPr>
        <w:tab/>
      </w:r>
      <w:r>
        <w:rPr>
          <w:rFonts w:hint="eastAsia"/>
          <w:szCs w:val="21"/>
          <w:u w:val="single"/>
        </w:rPr>
        <w:tab/>
      </w:r>
      <w:r>
        <w:rPr>
          <w:rFonts w:hint="eastAsia" w:ascii="宋体" w:hAnsi="宋体"/>
          <w:szCs w:val="21"/>
        </w:rPr>
        <w:t>月</w:t>
      </w:r>
      <w:r>
        <w:rPr>
          <w:rFonts w:hint="eastAsia"/>
          <w:szCs w:val="21"/>
          <w:u w:val="single"/>
        </w:rPr>
        <w:tab/>
      </w:r>
      <w:r>
        <w:rPr>
          <w:rFonts w:hint="eastAsia"/>
          <w:szCs w:val="21"/>
          <w:u w:val="single"/>
        </w:rPr>
        <w:tab/>
      </w:r>
      <w:r>
        <w:rPr>
          <w:rFonts w:hint="eastAsia" w:ascii="宋体" w:hAnsi="宋体"/>
          <w:szCs w:val="21"/>
        </w:rPr>
        <w:t>日</w:t>
      </w:r>
    </w:p>
    <w:p w14:paraId="7B761CE8">
      <w:pPr>
        <w:rPr>
          <w:rFonts w:ascii="黑体" w:hAnsi="宋体" w:eastAsia="黑体"/>
        </w:rPr>
      </w:pPr>
    </w:p>
    <w:bookmarkEnd w:id="48"/>
    <w:p w14:paraId="7D3FD97A">
      <w:pPr>
        <w:pStyle w:val="3"/>
        <w:jc w:val="center"/>
        <w:rPr>
          <w:rFonts w:ascii="黑体" w:eastAsia="黑体"/>
          <w:b w:val="0"/>
          <w:sz w:val="24"/>
        </w:rPr>
      </w:pPr>
      <w:r>
        <w:rPr>
          <w:rFonts w:hint="eastAsia" w:ascii="黑体" w:eastAsia="黑体"/>
          <w:b w:val="0"/>
          <w:sz w:val="24"/>
        </w:rPr>
        <w:t>二、政府采购投标及履约承诺函</w:t>
      </w:r>
    </w:p>
    <w:p w14:paraId="15871E6D">
      <w:pPr>
        <w:rPr>
          <w:rFonts w:ascii="宋体" w:hAnsi="宋体"/>
          <w:color w:val="FF0000"/>
          <w:szCs w:val="21"/>
        </w:rPr>
      </w:pPr>
      <w:bookmarkStart w:id="52" w:name="_Hlk72257530"/>
      <w:r>
        <w:rPr>
          <w:rFonts w:hint="eastAsia" w:ascii="宋体" w:hAnsi="宋体"/>
          <w:color w:val="FF0000"/>
          <w:szCs w:val="21"/>
        </w:rPr>
        <w:t>致：</w:t>
      </w:r>
      <w:r>
        <w:rPr>
          <w:rFonts w:hint="eastAsia" w:ascii="宋体" w:hAnsi="宋体"/>
          <w:color w:val="FF0000"/>
          <w:szCs w:val="21"/>
          <w:u w:val="single"/>
        </w:rPr>
        <w:t>深圳公共资源交易中心</w:t>
      </w:r>
    </w:p>
    <w:p w14:paraId="7BA6EDDF">
      <w:pPr>
        <w:ind w:right="-815" w:firstLine="420" w:firstLineChars="200"/>
        <w:rPr>
          <w:rFonts w:ascii="宋体" w:hAnsi="宋体"/>
          <w:szCs w:val="21"/>
        </w:rPr>
      </w:pPr>
      <w:r>
        <w:rPr>
          <w:rFonts w:hint="eastAsia" w:ascii="宋体" w:hAnsi="宋体"/>
          <w:szCs w:val="21"/>
        </w:rPr>
        <w:t>我单位承诺：</w:t>
      </w:r>
    </w:p>
    <w:p w14:paraId="4E007FA5">
      <w:pPr>
        <w:ind w:firstLine="420" w:firstLineChars="200"/>
        <w:rPr>
          <w:rFonts w:ascii="宋体" w:hAnsi="宋体"/>
          <w:szCs w:val="21"/>
        </w:rPr>
      </w:pPr>
      <w:r>
        <w:rPr>
          <w:rFonts w:hint="eastAsia" w:ascii="宋体" w:hAnsi="宋体"/>
          <w:szCs w:val="21"/>
        </w:rPr>
        <w:t>1.我单位本招标项目所提供的货物或服务未侵犯知识产权。</w:t>
      </w:r>
    </w:p>
    <w:p w14:paraId="042DABB2">
      <w:pPr>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67207B77">
      <w:pPr>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642D8016">
      <w:pPr>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4097AF7F">
      <w:pPr>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16347D5F">
      <w:pPr>
        <w:ind w:firstLine="420" w:firstLineChars="200"/>
        <w:rPr>
          <w:rFonts w:ascii="宋体" w:hAnsi="宋体"/>
          <w:szCs w:val="21"/>
        </w:rPr>
      </w:pPr>
      <w:r>
        <w:rPr>
          <w:rFonts w:hint="eastAsia" w:ascii="宋体" w:hAnsi="宋体"/>
          <w:szCs w:val="21"/>
        </w:rPr>
        <w:t>6.</w:t>
      </w:r>
      <w:bookmarkStart w:id="53" w:name="_Hlk72587269"/>
      <w:bookmarkStart w:id="54"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3"/>
      <w:r>
        <w:rPr>
          <w:rFonts w:hint="eastAsia" w:ascii="宋体" w:hAnsi="宋体"/>
          <w:szCs w:val="21"/>
        </w:rPr>
        <w:t>。</w:t>
      </w:r>
    </w:p>
    <w:bookmarkEnd w:id="54"/>
    <w:p w14:paraId="76BA5E01">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6B54AEA">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407EB44">
      <w:pPr>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D97DFF">
      <w:pPr>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08C387DE">
      <w:pPr>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03FF629">
      <w:pPr>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14:paraId="40D36AAC">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09B011EB">
      <w:pPr>
        <w:spacing w:before="60" w:beforeLines="25" w:after="60" w:afterLines="25"/>
        <w:ind w:firstLine="5460" w:firstLineChars="2600"/>
        <w:rPr>
          <w:rFonts w:ascii="宋体" w:hAnsi="宋体"/>
          <w:szCs w:val="21"/>
        </w:rPr>
      </w:pPr>
    </w:p>
    <w:p w14:paraId="42AC1826">
      <w:pPr>
        <w:spacing w:before="60" w:beforeLines="25" w:after="60" w:afterLines="25"/>
        <w:jc w:val="right"/>
        <w:rPr>
          <w:color w:val="FF0000"/>
        </w:rPr>
      </w:pPr>
      <w:r>
        <w:rPr>
          <w:rFonts w:hint="eastAsia"/>
          <w:color w:val="FF0000"/>
          <w:szCs w:val="21"/>
        </w:rPr>
        <w:t>投标人：</w:t>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p>
    <w:p w14:paraId="5F2730FC">
      <w:pPr>
        <w:ind w:firstLine="645"/>
        <w:rPr>
          <w:rFonts w:ascii="宋体" w:hAnsi="宋体"/>
          <w:color w:val="FF0000"/>
          <w:szCs w:val="21"/>
        </w:rPr>
      </w:pPr>
      <w:r>
        <w:rPr>
          <w:rFonts w:hint="eastAsia" w:ascii="宋体" w:hAnsi="宋体"/>
          <w:color w:val="FF0000"/>
          <w:szCs w:val="21"/>
        </w:rPr>
        <w:t xml:space="preserve">                                           日期：</w:t>
      </w:r>
      <w:r>
        <w:rPr>
          <w:rFonts w:hint="eastAsia"/>
          <w:color w:val="FF0000"/>
          <w:szCs w:val="21"/>
          <w:u w:val="single"/>
        </w:rPr>
        <w:tab/>
      </w:r>
      <w:r>
        <w:rPr>
          <w:rFonts w:hint="eastAsia"/>
          <w:color w:val="FF0000"/>
          <w:szCs w:val="21"/>
          <w:u w:val="single"/>
        </w:rPr>
        <w:tab/>
      </w:r>
      <w:r>
        <w:rPr>
          <w:rFonts w:hint="eastAsia" w:ascii="宋体" w:hAnsi="宋体"/>
          <w:color w:val="FF0000"/>
          <w:szCs w:val="21"/>
        </w:rPr>
        <w:t>年</w:t>
      </w:r>
      <w:r>
        <w:rPr>
          <w:rFonts w:hint="eastAsia"/>
          <w:color w:val="FF0000"/>
          <w:szCs w:val="21"/>
          <w:u w:val="single"/>
        </w:rPr>
        <w:tab/>
      </w:r>
      <w:r>
        <w:rPr>
          <w:rFonts w:hint="eastAsia"/>
          <w:color w:val="FF0000"/>
          <w:szCs w:val="21"/>
          <w:u w:val="single"/>
        </w:rPr>
        <w:tab/>
      </w:r>
      <w:r>
        <w:rPr>
          <w:rFonts w:hint="eastAsia" w:ascii="宋体" w:hAnsi="宋体"/>
          <w:color w:val="FF0000"/>
          <w:szCs w:val="21"/>
        </w:rPr>
        <w:t>月</w:t>
      </w:r>
      <w:r>
        <w:rPr>
          <w:rFonts w:hint="eastAsia"/>
          <w:color w:val="FF0000"/>
          <w:szCs w:val="21"/>
          <w:u w:val="single"/>
        </w:rPr>
        <w:tab/>
      </w:r>
      <w:r>
        <w:rPr>
          <w:rFonts w:hint="eastAsia"/>
          <w:color w:val="FF0000"/>
          <w:szCs w:val="21"/>
          <w:u w:val="single"/>
        </w:rPr>
        <w:tab/>
      </w:r>
      <w:r>
        <w:rPr>
          <w:rFonts w:hint="eastAsia" w:ascii="宋体" w:hAnsi="宋体"/>
          <w:color w:val="FF0000"/>
          <w:szCs w:val="21"/>
        </w:rPr>
        <w:t>日</w:t>
      </w:r>
    </w:p>
    <w:bookmarkEnd w:id="52"/>
    <w:p w14:paraId="7D8F22D0">
      <w:pPr>
        <w:rPr>
          <w:rFonts w:ascii="宋体"/>
          <w:b/>
          <w:szCs w:val="21"/>
        </w:rPr>
      </w:pPr>
    </w:p>
    <w:p w14:paraId="77377BA5">
      <w:pPr>
        <w:ind w:firstLine="482" w:firstLineChars="200"/>
        <w:jc w:val="center"/>
        <w:rPr>
          <w:rFonts w:hAnsi="宋体"/>
          <w:b/>
          <w:bCs/>
          <w:sz w:val="24"/>
        </w:rPr>
      </w:pPr>
    </w:p>
    <w:p w14:paraId="268F7356">
      <w:pPr>
        <w:pStyle w:val="3"/>
        <w:jc w:val="center"/>
        <w:rPr>
          <w:sz w:val="24"/>
        </w:rPr>
      </w:pPr>
      <w:r>
        <w:rPr>
          <w:rFonts w:hint="eastAsia" w:ascii="黑体" w:eastAsia="黑体"/>
          <w:b w:val="0"/>
          <w:sz w:val="24"/>
          <w:szCs w:val="24"/>
        </w:rPr>
        <w:t>三、投标人情况及资格证明文件</w:t>
      </w:r>
    </w:p>
    <w:p w14:paraId="68487099">
      <w:pPr>
        <w:jc w:val="left"/>
        <w:outlineLvl w:val="3"/>
        <w:rPr>
          <w:rFonts w:ascii="黑体" w:hAnsi="宋体" w:eastAsia="黑体"/>
          <w:bCs/>
          <w:kern w:val="0"/>
          <w:sz w:val="24"/>
          <w:szCs w:val="32"/>
        </w:rPr>
      </w:pPr>
      <w:bookmarkStart w:id="55" w:name="_Hlk72257590"/>
      <w:r>
        <w:rPr>
          <w:rFonts w:hint="eastAsia" w:ascii="黑体" w:hAnsi="宋体" w:eastAsia="黑体"/>
          <w:bCs/>
          <w:kern w:val="0"/>
          <w:sz w:val="24"/>
          <w:szCs w:val="32"/>
        </w:rPr>
        <w:t>（一）投标人资格证明文件</w:t>
      </w:r>
    </w:p>
    <w:p w14:paraId="3E148CED">
      <w:pPr>
        <w:spacing w:before="120"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p w14:paraId="356F36CA">
      <w:pPr>
        <w:spacing w:before="120" w:beforeLines="50"/>
        <w:ind w:firstLine="422" w:firstLineChars="200"/>
        <w:rPr>
          <w:b/>
          <w:bCs/>
          <w:color w:val="FF0000"/>
        </w:rPr>
      </w:pPr>
    </w:p>
    <w:p w14:paraId="0695C34B">
      <w:pPr>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3A71DAE7">
      <w:pPr>
        <w:rPr>
          <w:color w:val="FF0000"/>
        </w:rPr>
      </w:pPr>
      <w:r>
        <w:rPr>
          <w:rFonts w:hint="eastAsia"/>
          <w:color w:val="FF0000"/>
        </w:rPr>
        <w:t>填写指引：</w:t>
      </w:r>
    </w:p>
    <w:p w14:paraId="3CE7B4C6">
      <w:pPr>
        <w:rPr>
          <w:color w:val="FF0000"/>
        </w:rPr>
      </w:pPr>
      <w:r>
        <w:rPr>
          <w:rFonts w:hint="eastAsia"/>
          <w:color w:val="FF0000"/>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200ED624">
      <w:pPr>
        <w:rPr>
          <w:color w:val="FF0000"/>
        </w:rPr>
      </w:pPr>
      <w:r>
        <w:rPr>
          <w:rFonts w:hint="eastAsia"/>
          <w:color w:val="FF0000"/>
        </w:rPr>
        <w:t>2、该部分内容填写需要参考的相关文件：(</w:t>
      </w:r>
      <w:r>
        <w:rPr>
          <w:color w:val="FF0000"/>
        </w:rPr>
        <w:t>1</w:t>
      </w:r>
      <w:r>
        <w:rPr>
          <w:rFonts w:hint="eastAsia"/>
          <w:color w:val="FF0000"/>
        </w:rPr>
        <w:t>)财政部《政府采购促进中小企业发展管理办法》（财库〔2020〕46号）；(</w:t>
      </w:r>
      <w:r>
        <w:rPr>
          <w:color w:val="FF0000"/>
        </w:rPr>
        <w:t>2</w:t>
      </w:r>
      <w:r>
        <w:rPr>
          <w:rFonts w:hint="eastAsia"/>
          <w:color w:val="FF0000"/>
        </w:rPr>
        <w:t>)</w:t>
      </w:r>
      <w:bookmarkStart w:id="56" w:name="_Hlk71925120"/>
      <w:r>
        <w:rPr>
          <w:rFonts w:hint="eastAsia"/>
          <w:color w:val="FF0000"/>
        </w:rPr>
        <w:t>《工业和信息化部、国家统计局、国家发展和改革委员会、财政部关于印发中小企业划型标准规定的通知》（工信部联企业〔2011〕300 号</w:t>
      </w:r>
      <w:bookmarkEnd w:id="56"/>
      <w:r>
        <w:rPr>
          <w:rFonts w:hint="eastAsia"/>
          <w:color w:val="FF0000"/>
        </w:rPr>
        <w:t>，以下简称3</w:t>
      </w:r>
      <w:r>
        <w:rPr>
          <w:color w:val="FF0000"/>
        </w:rPr>
        <w:t>00</w:t>
      </w:r>
      <w:r>
        <w:rPr>
          <w:rFonts w:hint="eastAsia"/>
          <w:color w:val="FF0000"/>
        </w:rPr>
        <w:t>号文）。</w:t>
      </w:r>
    </w:p>
    <w:p w14:paraId="7439DE1E">
      <w:pPr>
        <w:rPr>
          <w:color w:val="FF0000"/>
        </w:rPr>
      </w:pPr>
      <w:r>
        <w:rPr>
          <w:rFonts w:hint="eastAsia"/>
          <w:color w:val="FF0000"/>
        </w:rPr>
        <w:t>3、请依照提供的格式和内容填写声明函，不要随意变更格式；声明函不需要盖章或签字；满足多项优惠政策的投标人，不重复享受多项价格扣除政策。</w:t>
      </w:r>
    </w:p>
    <w:p w14:paraId="6B0B2A32">
      <w:pPr>
        <w:rPr>
          <w:color w:val="FF0000"/>
        </w:rPr>
      </w:pPr>
      <w:r>
        <w:rPr>
          <w:rFonts w:hint="eastAsia"/>
          <w:color w:val="FF0000"/>
        </w:rPr>
        <w:t>4、声明函具体填写要求：</w:t>
      </w:r>
    </w:p>
    <w:p w14:paraId="265E9F66">
      <w:pPr>
        <w:rPr>
          <w:color w:val="FF0000"/>
        </w:rPr>
      </w:pPr>
      <w:r>
        <w:rPr>
          <w:rFonts w:hint="eastAsia"/>
          <w:color w:val="FF0000"/>
        </w:rPr>
        <w:t>（1）声明是中小企业须填写《中小企业声明函》的以下内容：</w:t>
      </w:r>
    </w:p>
    <w:p w14:paraId="1715E0CD">
      <w:pPr>
        <w:rPr>
          <w:color w:val="FF0000"/>
        </w:rPr>
      </w:pPr>
      <w:r>
        <w:rPr>
          <w:rFonts w:hint="eastAsia"/>
          <w:color w:val="FF0000"/>
        </w:rPr>
        <w:t>第一处，在“单位名称”下划线处如实填写采购人名称（深圳公共资源交易中心不是本项目的采购人，而是组织实施机构）；</w:t>
      </w:r>
    </w:p>
    <w:p w14:paraId="3D5DDCA8">
      <w:pPr>
        <w:rPr>
          <w:color w:val="FF0000"/>
        </w:rPr>
      </w:pPr>
      <w:r>
        <w:rPr>
          <w:rFonts w:hint="eastAsia"/>
          <w:color w:val="FF0000"/>
        </w:rPr>
        <w:t>第二处，在“项目名称”下划线处如实填写采购项目名称；</w:t>
      </w:r>
    </w:p>
    <w:p w14:paraId="54E6FE1C">
      <w:pPr>
        <w:rPr>
          <w:color w:val="FF0000"/>
        </w:rPr>
      </w:pPr>
      <w:r>
        <w:rPr>
          <w:rFonts w:hint="eastAsia"/>
          <w:color w:val="FF0000"/>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3CAF5349">
      <w:pPr>
        <w:rPr>
          <w:color w:val="FF0000"/>
        </w:rPr>
      </w:pPr>
      <w:r>
        <w:rPr>
          <w:rFonts w:hint="eastAsia"/>
          <w:color w:val="FF0000"/>
        </w:rPr>
        <w:t>第四处，在“招标文件中明确的所属行业”下划线处填写采购标的对应的中小企业划分标准所属行业（所属行业可在招标文件第一册第二章“对通用条款的补充内容及其他关键信息”章节查看）；</w:t>
      </w:r>
    </w:p>
    <w:p w14:paraId="2D1AEC91">
      <w:pPr>
        <w:rPr>
          <w:color w:val="FF0000"/>
        </w:rPr>
      </w:pPr>
      <w:r>
        <w:rPr>
          <w:rFonts w:hint="eastAsia"/>
          <w:color w:val="FF0000"/>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7CF2305E">
      <w:pPr>
        <w:rPr>
          <w:color w:val="FF0000"/>
        </w:rPr>
      </w:pPr>
      <w:r>
        <w:rPr>
          <w:rFonts w:hint="eastAsia"/>
          <w:color w:val="FF0000"/>
        </w:rPr>
        <w:t>（2）声明是残疾人福利性单位须填写《残疾人福利性单位声明函》的相关内容，具体参照以上《中小企业声明函》填写要求执行。</w:t>
      </w:r>
    </w:p>
    <w:p w14:paraId="7236811A">
      <w:pPr>
        <w:rPr>
          <w:color w:val="FF0000"/>
        </w:rPr>
      </w:pPr>
      <w:r>
        <w:rPr>
          <w:rFonts w:hint="eastAsia"/>
          <w:color w:val="FF0000"/>
        </w:rPr>
        <w:t>（3）声明是监狱企业须填写《监狱企业声明函》的三项内容（填写位置的字体已加粗），具体参照以上《中小企业声明函》填写要求执行。</w:t>
      </w:r>
    </w:p>
    <w:p w14:paraId="3003C57F">
      <w:r>
        <w:rPr>
          <w:rFonts w:hint="eastAsia"/>
          <w:color w:val="FF0000"/>
        </w:rPr>
        <w:t>5、声明函的有效性最终由评审委员会判定；如评审委员会判定声明函无效，相关供应商不享受价格扣除（但不作投标无效处理）。</w:t>
      </w:r>
    </w:p>
    <w:p w14:paraId="1BBC6724">
      <w:pPr>
        <w:ind w:firstLine="420" w:firstLineChars="200"/>
      </w:pPr>
    </w:p>
    <w:p w14:paraId="25CD86ED">
      <w:pPr>
        <w:jc w:val="center"/>
        <w:rPr>
          <w:b/>
          <w:sz w:val="24"/>
        </w:rPr>
      </w:pPr>
      <w:r>
        <w:rPr>
          <w:rFonts w:hint="eastAsia"/>
          <w:b/>
          <w:sz w:val="24"/>
        </w:rPr>
        <w:t>1、</w:t>
      </w:r>
      <w:r>
        <w:rPr>
          <w:b/>
          <w:sz w:val="24"/>
        </w:rPr>
        <w:t xml:space="preserve">中小企业声明函（货物） </w:t>
      </w:r>
    </w:p>
    <w:p w14:paraId="58BE0A70">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cstheme="minorBidi"/>
          <w:szCs w:val="21"/>
        </w:rPr>
        <w:t>郑重声明，根据《政府采购促进中小企业发展管理办法》（财库</w:t>
      </w:r>
      <w:r>
        <w:rPr>
          <w:rFonts w:hint="eastAsia" w:ascii="宋体" w:hAnsi="宋体" w:cs="微软雅黑"/>
          <w:szCs w:val="21"/>
        </w:rPr>
        <w:t>﹝</w:t>
      </w:r>
      <w:r>
        <w:rPr>
          <w:rFonts w:ascii="宋体" w:hAnsi="宋体" w:cstheme="minorBidi"/>
          <w:szCs w:val="21"/>
        </w:rPr>
        <w:t>2020</w:t>
      </w:r>
      <w:r>
        <w:rPr>
          <w:rFonts w:hint="eastAsia" w:ascii="宋体" w:hAnsi="宋体" w:cs="微软雅黑"/>
          <w:szCs w:val="21"/>
        </w:rPr>
        <w:t>﹞</w:t>
      </w:r>
      <w:r>
        <w:rPr>
          <w:rFonts w:ascii="宋体" w:hAnsi="宋体" w:cstheme="minorBidi"/>
          <w:szCs w:val="21"/>
        </w:rPr>
        <w:t>46 号）的规定，本</w:t>
      </w:r>
      <w:r>
        <w:rPr>
          <w:rFonts w:hint="eastAsia" w:ascii="宋体" w:hAnsi="宋体" w:cstheme="minorBidi"/>
          <w:szCs w:val="21"/>
        </w:rPr>
        <w:t>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14:paraId="0DA34A73">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14:paraId="4C6BD67F">
      <w:pPr>
        <w:ind w:firstLine="420" w:firstLineChars="200"/>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hint="eastAsia" w:ascii="宋体" w:hAnsi="宋体"/>
          <w:szCs w:val="21"/>
        </w:rPr>
        <w:t>；</w:t>
      </w:r>
    </w:p>
    <w:p w14:paraId="6010B33B">
      <w:pPr>
        <w:ind w:firstLine="420" w:firstLineChars="200"/>
        <w:rPr>
          <w:rFonts w:ascii="宋体" w:hAnsi="宋体"/>
          <w:szCs w:val="21"/>
        </w:rPr>
      </w:pPr>
      <w:r>
        <w:rPr>
          <w:rFonts w:ascii="宋体" w:hAnsi="宋体"/>
          <w:szCs w:val="21"/>
        </w:rPr>
        <w:t xml:space="preserve">…… </w:t>
      </w:r>
    </w:p>
    <w:p w14:paraId="7BB8CA41">
      <w:pPr>
        <w:ind w:firstLine="420" w:firstLineChars="200"/>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14:paraId="7B34080F">
      <w:pPr>
        <w:ind w:firstLine="420" w:firstLineChars="200"/>
      </w:pPr>
      <w:bookmarkStart w:id="57" w:name="_Hlk73562203"/>
      <w:r>
        <w:rPr>
          <w:rFonts w:hint="eastAsia"/>
        </w:rPr>
        <w:t>本</w:t>
      </w:r>
      <w:r>
        <w:t>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rPr>
        <w:t>投标人</w:t>
      </w:r>
      <w:r>
        <w:t>按照本办法规定提供声明函内容不实的，属于提供虚假材料谋取中标，依照</w:t>
      </w:r>
      <w:r>
        <w:rPr>
          <w:rFonts w:hint="eastAsia"/>
        </w:rPr>
        <w:t>《中华人民共和国政府采购法》</w:t>
      </w:r>
      <w:r>
        <w:t>等政府采购有关法律法规规定追究相应责任</w:t>
      </w:r>
      <w:r>
        <w:rPr>
          <w:rFonts w:hint="eastAsia"/>
        </w:rPr>
        <w:t>。</w:t>
      </w:r>
      <w:bookmarkEnd w:id="57"/>
    </w:p>
    <w:p w14:paraId="16262FBF">
      <w:pPr>
        <w:jc w:val="center"/>
        <w:rPr>
          <w:b/>
          <w:sz w:val="24"/>
        </w:rPr>
      </w:pPr>
    </w:p>
    <w:p w14:paraId="52027572">
      <w:pPr>
        <w:jc w:val="center"/>
        <w:rPr>
          <w:b/>
          <w:sz w:val="24"/>
        </w:rPr>
      </w:pPr>
      <w:r>
        <w:rPr>
          <w:rFonts w:hint="eastAsia"/>
          <w:b/>
          <w:sz w:val="24"/>
        </w:rPr>
        <w:t>2、残疾人福利性单位声明函（货物类）</w:t>
      </w:r>
    </w:p>
    <w:p w14:paraId="4360860F">
      <w:pPr>
        <w:rPr>
          <w:b/>
          <w:bCs/>
        </w:rPr>
      </w:pPr>
    </w:p>
    <w:p w14:paraId="6903B9A6">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hint="eastAsia" w:ascii="宋体" w:hAnsi="宋体"/>
          <w:szCs w:val="21"/>
        </w:rPr>
        <w:t>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14:paraId="4EF60B17">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14:paraId="50145FE0">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14:paraId="38AEEB25">
      <w:pPr>
        <w:ind w:firstLine="420" w:firstLineChars="200"/>
        <w:rPr>
          <w:rFonts w:ascii="宋体" w:hAnsi="宋体"/>
          <w:szCs w:val="21"/>
        </w:rPr>
      </w:pPr>
      <w:r>
        <w:rPr>
          <w:rFonts w:ascii="宋体" w:hAnsi="宋体"/>
          <w:szCs w:val="21"/>
        </w:rPr>
        <w:t xml:space="preserve">…… </w:t>
      </w:r>
    </w:p>
    <w:p w14:paraId="297FAAF5">
      <w:pPr>
        <w:ind w:firstLine="420" w:firstLineChars="200"/>
        <w:rPr>
          <w:rFonts w:ascii="宋体" w:hAnsi="宋体"/>
          <w:szCs w:val="21"/>
        </w:rPr>
      </w:pPr>
      <w:bookmarkStart w:id="58" w:name="_Hlk73562331"/>
      <w:bookmarkStart w:id="59"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《财政部民政部中国残疾人联合会关于促进残疾人就业政府采购政策的通知》（财库〔2017〕141 号）</w:t>
      </w:r>
      <w:r>
        <w:t>的规定，承诺提供的声明函内容是真实的，如提供声明函内容不实，则依法追究相关法律责任</w:t>
      </w:r>
      <w:r>
        <w:rPr>
          <w:rFonts w:hint="eastAsia"/>
        </w:rPr>
        <w:t>。</w:t>
      </w:r>
      <w:bookmarkEnd w:id="58"/>
    </w:p>
    <w:bookmarkEnd w:id="59"/>
    <w:p w14:paraId="21CE3B8B">
      <w:pPr>
        <w:ind w:firstLine="420" w:firstLineChars="200"/>
        <w:rPr>
          <w:rFonts w:ascii="宋体" w:hAnsi="宋体"/>
          <w:szCs w:val="21"/>
        </w:rPr>
      </w:pPr>
    </w:p>
    <w:p w14:paraId="7FCF025B">
      <w:pPr>
        <w:jc w:val="center"/>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14:paraId="439A6C79">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监狱企业</w:t>
      </w:r>
      <w:r>
        <w:rPr>
          <w:rFonts w:ascii="宋体" w:hAnsi="宋体"/>
          <w:szCs w:val="21"/>
        </w:rPr>
        <w:t>制造。相关</w:t>
      </w:r>
      <w:r>
        <w:rPr>
          <w:rFonts w:hint="eastAsia" w:ascii="宋体" w:hAnsi="宋体"/>
          <w:szCs w:val="21"/>
        </w:rPr>
        <w:t>监狱企业</w:t>
      </w:r>
      <w:r>
        <w:rPr>
          <w:rFonts w:ascii="宋体" w:hAnsi="宋体"/>
          <w:szCs w:val="21"/>
        </w:rPr>
        <w:t>的具体情况如下：</w:t>
      </w:r>
    </w:p>
    <w:p w14:paraId="16402AE9">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ascii="宋体" w:hAnsi="宋体"/>
          <w:szCs w:val="21"/>
        </w:rPr>
        <w:t>；</w:t>
      </w:r>
    </w:p>
    <w:p w14:paraId="36BAF507">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hint="eastAsia" w:ascii="宋体" w:hAnsi="宋体"/>
          <w:szCs w:val="21"/>
        </w:rPr>
        <w:t>。</w:t>
      </w:r>
    </w:p>
    <w:p w14:paraId="3D56D2DA">
      <w:pPr>
        <w:ind w:firstLine="420" w:firstLineChars="200"/>
        <w:rPr>
          <w:rFonts w:ascii="宋体" w:hAnsi="宋体"/>
          <w:szCs w:val="21"/>
        </w:rPr>
      </w:pPr>
      <w:r>
        <w:rPr>
          <w:rFonts w:ascii="宋体" w:hAnsi="宋体"/>
          <w:szCs w:val="21"/>
        </w:rPr>
        <w:t xml:space="preserve">…… </w:t>
      </w:r>
    </w:p>
    <w:p w14:paraId="46E3CFB5">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2CA43CC7">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14:paraId="33BC78F5">
      <w:pPr>
        <w:rPr>
          <w:b/>
          <w:bCs/>
          <w:sz w:val="22"/>
        </w:rPr>
      </w:pPr>
    </w:p>
    <w:bookmarkEnd w:id="55"/>
    <w:p w14:paraId="60792099"/>
    <w:p w14:paraId="21E4865E">
      <w:pPr>
        <w:pStyle w:val="3"/>
        <w:jc w:val="center"/>
        <w:rPr>
          <w:rFonts w:ascii="黑体" w:eastAsia="黑体"/>
          <w:b w:val="0"/>
          <w:sz w:val="24"/>
          <w:szCs w:val="24"/>
        </w:rPr>
      </w:pPr>
      <w:bookmarkStart w:id="60" w:name="_Hlk72259976"/>
      <w:r>
        <w:rPr>
          <w:rFonts w:hint="eastAsia" w:ascii="黑体" w:eastAsia="黑体"/>
          <w:b w:val="0"/>
          <w:sz w:val="24"/>
          <w:szCs w:val="24"/>
        </w:rPr>
        <w:t>四、项目详细报价</w:t>
      </w:r>
    </w:p>
    <w:p w14:paraId="5703967E">
      <w:pPr>
        <w:tabs>
          <w:tab w:val="left" w:pos="720"/>
        </w:tabs>
        <w:ind w:firstLine="3132" w:firstLineChars="1300"/>
        <w:rPr>
          <w:rFonts w:ascii="宋体" w:hAnsi="宋体"/>
          <w:b/>
          <w:sz w:val="24"/>
        </w:rPr>
      </w:pPr>
      <w:r>
        <w:rPr>
          <w:rFonts w:hint="eastAsia"/>
          <w:b/>
          <w:sz w:val="24"/>
        </w:rPr>
        <w:t>（一）分项报价表</w:t>
      </w:r>
    </w:p>
    <w:tbl>
      <w:tblPr>
        <w:tblStyle w:val="43"/>
        <w:tblpPr w:leftFromText="180" w:rightFromText="180" w:vertAnchor="text" w:horzAnchor="margin" w:tblpY="173"/>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96"/>
        <w:gridCol w:w="1388"/>
        <w:gridCol w:w="750"/>
        <w:gridCol w:w="412"/>
        <w:gridCol w:w="1175"/>
        <w:gridCol w:w="375"/>
        <w:gridCol w:w="413"/>
        <w:gridCol w:w="787"/>
        <w:gridCol w:w="906"/>
        <w:gridCol w:w="1197"/>
      </w:tblGrid>
      <w:tr w14:paraId="1333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vAlign w:val="center"/>
          </w:tcPr>
          <w:p w14:paraId="3FB15184">
            <w:pPr>
              <w:jc w:val="center"/>
              <w:rPr>
                <w:bCs/>
                <w:szCs w:val="21"/>
              </w:rPr>
            </w:pPr>
            <w:r>
              <w:rPr>
                <w:rFonts w:hint="eastAsia"/>
                <w:bCs/>
                <w:szCs w:val="21"/>
              </w:rPr>
              <w:t>序号</w:t>
            </w:r>
          </w:p>
        </w:tc>
        <w:tc>
          <w:tcPr>
            <w:tcW w:w="696" w:type="dxa"/>
            <w:vAlign w:val="center"/>
          </w:tcPr>
          <w:p w14:paraId="10910475">
            <w:pPr>
              <w:jc w:val="center"/>
              <w:rPr>
                <w:bCs/>
                <w:szCs w:val="21"/>
              </w:rPr>
            </w:pPr>
            <w:r>
              <w:rPr>
                <w:rFonts w:hint="eastAsia"/>
                <w:szCs w:val="21"/>
              </w:rPr>
              <w:t>采购计划编号</w:t>
            </w:r>
          </w:p>
        </w:tc>
        <w:tc>
          <w:tcPr>
            <w:tcW w:w="1388" w:type="dxa"/>
            <w:vAlign w:val="center"/>
          </w:tcPr>
          <w:p w14:paraId="2664A544">
            <w:pPr>
              <w:jc w:val="center"/>
              <w:rPr>
                <w:bCs/>
                <w:szCs w:val="21"/>
              </w:rPr>
            </w:pPr>
            <w:r>
              <w:rPr>
                <w:rFonts w:hint="eastAsia"/>
                <w:bCs/>
                <w:szCs w:val="21"/>
              </w:rPr>
              <w:t>货物名称（标的名称）</w:t>
            </w:r>
          </w:p>
        </w:tc>
        <w:tc>
          <w:tcPr>
            <w:tcW w:w="750" w:type="dxa"/>
            <w:vAlign w:val="center"/>
          </w:tcPr>
          <w:p w14:paraId="7E24F458">
            <w:pPr>
              <w:jc w:val="center"/>
              <w:rPr>
                <w:bCs/>
                <w:szCs w:val="21"/>
              </w:rPr>
            </w:pPr>
            <w:r>
              <w:rPr>
                <w:rFonts w:hint="eastAsia"/>
                <w:bCs/>
                <w:szCs w:val="21"/>
              </w:rPr>
              <w:t>规格/品牌/型号</w:t>
            </w:r>
          </w:p>
        </w:tc>
        <w:tc>
          <w:tcPr>
            <w:tcW w:w="412" w:type="dxa"/>
            <w:vAlign w:val="center"/>
          </w:tcPr>
          <w:p w14:paraId="6ABEE195">
            <w:pPr>
              <w:jc w:val="center"/>
              <w:rPr>
                <w:bCs/>
                <w:szCs w:val="21"/>
              </w:rPr>
            </w:pPr>
            <w:r>
              <w:rPr>
                <w:rFonts w:hint="eastAsia"/>
                <w:b/>
                <w:color w:val="FF0000"/>
                <w:szCs w:val="21"/>
              </w:rPr>
              <w:t>原产地</w:t>
            </w:r>
          </w:p>
        </w:tc>
        <w:tc>
          <w:tcPr>
            <w:tcW w:w="1175" w:type="dxa"/>
            <w:vAlign w:val="center"/>
          </w:tcPr>
          <w:p w14:paraId="37E0F6A8">
            <w:pPr>
              <w:jc w:val="center"/>
              <w:rPr>
                <w:bCs/>
                <w:szCs w:val="21"/>
              </w:rPr>
            </w:pPr>
            <w:r>
              <w:rPr>
                <w:rFonts w:hint="eastAsia"/>
                <w:bCs/>
                <w:szCs w:val="21"/>
              </w:rPr>
              <w:t>制造商名称</w:t>
            </w:r>
          </w:p>
        </w:tc>
        <w:tc>
          <w:tcPr>
            <w:tcW w:w="375" w:type="dxa"/>
            <w:vAlign w:val="center"/>
          </w:tcPr>
          <w:p w14:paraId="4C636997">
            <w:pPr>
              <w:jc w:val="center"/>
              <w:rPr>
                <w:bCs/>
                <w:szCs w:val="21"/>
              </w:rPr>
            </w:pPr>
            <w:r>
              <w:rPr>
                <w:rFonts w:hint="eastAsia"/>
                <w:bCs/>
                <w:szCs w:val="21"/>
              </w:rPr>
              <w:t>数量</w:t>
            </w:r>
          </w:p>
        </w:tc>
        <w:tc>
          <w:tcPr>
            <w:tcW w:w="413" w:type="dxa"/>
            <w:vAlign w:val="center"/>
          </w:tcPr>
          <w:p w14:paraId="1CD6A88A">
            <w:pPr>
              <w:jc w:val="center"/>
              <w:rPr>
                <w:bCs/>
                <w:szCs w:val="21"/>
              </w:rPr>
            </w:pPr>
            <w:r>
              <w:rPr>
                <w:rFonts w:hint="eastAsia"/>
                <w:bCs/>
                <w:szCs w:val="21"/>
              </w:rPr>
              <w:t>单位</w:t>
            </w:r>
          </w:p>
        </w:tc>
        <w:tc>
          <w:tcPr>
            <w:tcW w:w="787" w:type="dxa"/>
            <w:vAlign w:val="center"/>
          </w:tcPr>
          <w:p w14:paraId="720C7213">
            <w:pPr>
              <w:jc w:val="center"/>
              <w:rPr>
                <w:bCs/>
                <w:szCs w:val="21"/>
              </w:rPr>
            </w:pPr>
            <w:r>
              <w:rPr>
                <w:rFonts w:hint="eastAsia"/>
                <w:bCs/>
                <w:szCs w:val="21"/>
              </w:rPr>
              <w:t>单价(元)</w:t>
            </w:r>
          </w:p>
        </w:tc>
        <w:tc>
          <w:tcPr>
            <w:tcW w:w="906" w:type="dxa"/>
            <w:vAlign w:val="center"/>
          </w:tcPr>
          <w:p w14:paraId="628128BA">
            <w:pPr>
              <w:jc w:val="center"/>
              <w:rPr>
                <w:bCs/>
                <w:szCs w:val="21"/>
              </w:rPr>
            </w:pPr>
            <w:r>
              <w:rPr>
                <w:rFonts w:hint="eastAsia"/>
                <w:bCs/>
                <w:szCs w:val="21"/>
              </w:rPr>
              <w:t>合价(元)</w:t>
            </w:r>
          </w:p>
        </w:tc>
        <w:tc>
          <w:tcPr>
            <w:tcW w:w="1197" w:type="dxa"/>
            <w:vAlign w:val="center"/>
          </w:tcPr>
          <w:p w14:paraId="10046215">
            <w:pPr>
              <w:jc w:val="center"/>
              <w:rPr>
                <w:b/>
                <w:bCs/>
                <w:color w:val="FF0000"/>
                <w:szCs w:val="21"/>
              </w:rPr>
            </w:pPr>
            <w:r>
              <w:rPr>
                <w:rFonts w:hint="eastAsia"/>
                <w:b/>
                <w:bCs/>
                <w:color w:val="FF0000"/>
                <w:szCs w:val="21"/>
              </w:rPr>
              <w:t>财政预算限额（元）</w:t>
            </w:r>
          </w:p>
        </w:tc>
      </w:tr>
      <w:tr w14:paraId="0B70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vAlign w:val="center"/>
          </w:tcPr>
          <w:p w14:paraId="37B9C5A5">
            <w:pPr>
              <w:jc w:val="center"/>
              <w:rPr>
                <w:bCs/>
                <w:szCs w:val="21"/>
              </w:rPr>
            </w:pPr>
            <w:r>
              <w:rPr>
                <w:rFonts w:hint="eastAsia"/>
                <w:bCs/>
                <w:szCs w:val="21"/>
              </w:rPr>
              <w:t>1</w:t>
            </w:r>
          </w:p>
        </w:tc>
        <w:tc>
          <w:tcPr>
            <w:tcW w:w="696" w:type="dxa"/>
            <w:vAlign w:val="center"/>
          </w:tcPr>
          <w:p w14:paraId="6CE0230E">
            <w:pPr>
              <w:jc w:val="center"/>
              <w:rPr>
                <w:bCs/>
                <w:szCs w:val="21"/>
              </w:rPr>
            </w:pPr>
            <w:r>
              <w:rPr>
                <w:rFonts w:hint="eastAsia"/>
                <w:bCs/>
                <w:szCs w:val="21"/>
              </w:rPr>
              <w:t>PLAN-2021-440301-0102018021-01171</w:t>
            </w:r>
          </w:p>
        </w:tc>
        <w:tc>
          <w:tcPr>
            <w:tcW w:w="1388" w:type="dxa"/>
            <w:vAlign w:val="center"/>
          </w:tcPr>
          <w:p w14:paraId="6DADC14D">
            <w:pPr>
              <w:jc w:val="center"/>
              <w:rPr>
                <w:bCs/>
                <w:szCs w:val="21"/>
              </w:rPr>
            </w:pPr>
            <w:r>
              <w:rPr>
                <w:rFonts w:hint="eastAsia"/>
                <w:bCs/>
                <w:szCs w:val="21"/>
              </w:rPr>
              <w:t>医用设备提升-流式细胞分析仪一台</w:t>
            </w:r>
          </w:p>
        </w:tc>
        <w:tc>
          <w:tcPr>
            <w:tcW w:w="750" w:type="dxa"/>
            <w:vAlign w:val="center"/>
          </w:tcPr>
          <w:p w14:paraId="3DDD927F">
            <w:pPr>
              <w:jc w:val="center"/>
              <w:rPr>
                <w:bCs/>
                <w:szCs w:val="21"/>
              </w:rPr>
            </w:pPr>
          </w:p>
        </w:tc>
        <w:tc>
          <w:tcPr>
            <w:tcW w:w="412" w:type="dxa"/>
            <w:vAlign w:val="center"/>
          </w:tcPr>
          <w:p w14:paraId="7849DEC9">
            <w:pPr>
              <w:jc w:val="center"/>
              <w:rPr>
                <w:bCs/>
                <w:szCs w:val="21"/>
              </w:rPr>
            </w:pPr>
          </w:p>
        </w:tc>
        <w:tc>
          <w:tcPr>
            <w:tcW w:w="1175" w:type="dxa"/>
            <w:vAlign w:val="center"/>
          </w:tcPr>
          <w:p w14:paraId="44F4BE41">
            <w:pPr>
              <w:jc w:val="center"/>
              <w:rPr>
                <w:bCs/>
                <w:szCs w:val="21"/>
              </w:rPr>
            </w:pPr>
          </w:p>
        </w:tc>
        <w:tc>
          <w:tcPr>
            <w:tcW w:w="375" w:type="dxa"/>
            <w:vAlign w:val="center"/>
          </w:tcPr>
          <w:p w14:paraId="7C33998D">
            <w:pPr>
              <w:jc w:val="center"/>
              <w:rPr>
                <w:bCs/>
                <w:szCs w:val="21"/>
              </w:rPr>
            </w:pPr>
            <w:r>
              <w:rPr>
                <w:rFonts w:hint="eastAsia"/>
              </w:rPr>
              <w:t>1</w:t>
            </w:r>
          </w:p>
        </w:tc>
        <w:tc>
          <w:tcPr>
            <w:tcW w:w="413" w:type="dxa"/>
            <w:vAlign w:val="center"/>
          </w:tcPr>
          <w:p w14:paraId="6296C389">
            <w:pPr>
              <w:jc w:val="center"/>
              <w:rPr>
                <w:bCs/>
                <w:szCs w:val="21"/>
              </w:rPr>
            </w:pPr>
            <w:r>
              <w:rPr>
                <w:rFonts w:hint="eastAsia"/>
                <w:bCs/>
                <w:szCs w:val="21"/>
              </w:rPr>
              <w:t>套</w:t>
            </w:r>
          </w:p>
        </w:tc>
        <w:tc>
          <w:tcPr>
            <w:tcW w:w="787" w:type="dxa"/>
            <w:vAlign w:val="center"/>
          </w:tcPr>
          <w:p w14:paraId="4CD84EC9">
            <w:pPr>
              <w:jc w:val="center"/>
              <w:rPr>
                <w:bCs/>
                <w:szCs w:val="21"/>
              </w:rPr>
            </w:pPr>
          </w:p>
        </w:tc>
        <w:tc>
          <w:tcPr>
            <w:tcW w:w="906" w:type="dxa"/>
            <w:vAlign w:val="center"/>
          </w:tcPr>
          <w:p w14:paraId="21536411">
            <w:pPr>
              <w:jc w:val="center"/>
              <w:rPr>
                <w:bCs/>
                <w:szCs w:val="21"/>
              </w:rPr>
            </w:pPr>
          </w:p>
        </w:tc>
        <w:tc>
          <w:tcPr>
            <w:tcW w:w="1197" w:type="dxa"/>
            <w:vAlign w:val="center"/>
          </w:tcPr>
          <w:p w14:paraId="17329AFF">
            <w:pPr>
              <w:jc w:val="center"/>
              <w:rPr>
                <w:b/>
                <w:bCs/>
                <w:color w:val="FF0000"/>
                <w:szCs w:val="21"/>
              </w:rPr>
            </w:pPr>
            <w:r>
              <w:rPr>
                <w:rFonts w:hint="eastAsia"/>
                <w:b/>
                <w:bCs/>
                <w:color w:val="FF0000"/>
                <w:szCs w:val="21"/>
              </w:rPr>
              <w:t>1,400,000.00</w:t>
            </w:r>
          </w:p>
        </w:tc>
      </w:tr>
      <w:tr w14:paraId="1760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25" w:type="dxa"/>
            <w:gridSpan w:val="11"/>
            <w:vAlign w:val="center"/>
          </w:tcPr>
          <w:p w14:paraId="071A4F49">
            <w:pPr>
              <w:rPr>
                <w:b/>
                <w:bCs/>
                <w:color w:val="FF0000"/>
                <w:szCs w:val="21"/>
              </w:rPr>
            </w:pPr>
            <w:r>
              <w:rPr>
                <w:rFonts w:hint="eastAsia"/>
                <w:b/>
                <w:bCs/>
                <w:color w:val="FF0000"/>
                <w:szCs w:val="21"/>
              </w:rPr>
              <w:t>合计（即投标总价；币种：人民币；单位：元） 小写：            大写：</w:t>
            </w:r>
          </w:p>
        </w:tc>
      </w:tr>
    </w:tbl>
    <w:p w14:paraId="63F97D33">
      <w:pPr>
        <w:ind w:firstLine="482" w:firstLineChars="200"/>
        <w:rPr>
          <w:rFonts w:ascii="宋体" w:hAnsi="宋体"/>
          <w:b/>
          <w:sz w:val="24"/>
        </w:rPr>
      </w:pPr>
    </w:p>
    <w:p w14:paraId="7544E770">
      <w:pPr>
        <w:ind w:firstLine="482" w:firstLineChars="200"/>
        <w:rPr>
          <w:rFonts w:ascii="宋体" w:hAnsi="宋体"/>
          <w:b/>
          <w:sz w:val="24"/>
        </w:rPr>
      </w:pPr>
      <w:r>
        <w:rPr>
          <w:rFonts w:hint="eastAsia" w:ascii="宋体" w:hAnsi="宋体"/>
          <w:b/>
          <w:sz w:val="24"/>
        </w:rPr>
        <w:t>注：1.本表可按同样格式扩展。</w:t>
      </w:r>
    </w:p>
    <w:p w14:paraId="6F6FB2B0">
      <w:pPr>
        <w:ind w:firstLine="472" w:firstLineChars="196"/>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 xml:space="preserve"> 如所投货物属于定制类的非量产货物或无具体品牌、型号的货物，可以在“规格/品牌/型号”一栏仅填写规格信息而不填写品牌、型号等信息（品牌、型号信息用“定制”描述即可）；</w:t>
      </w:r>
      <w:bookmarkStart w:id="61" w:name="_Hlk73646428"/>
      <w:r>
        <w:rPr>
          <w:rFonts w:hint="eastAsia" w:ascii="宋体" w:hAnsi="宋体"/>
          <w:b/>
          <w:sz w:val="24"/>
        </w:rPr>
        <w:t>此类填写错误（所投货物为定制类的非量产货物但供应商却错误填报了品牌、型号）的不利后果由供应商承担，</w:t>
      </w:r>
      <w:r>
        <w:rPr>
          <w:rFonts w:hint="eastAsia"/>
          <w:b/>
          <w:sz w:val="24"/>
        </w:rPr>
        <w:t>经评审委员会认定，在使用综合评分法的项目中一项此类填写错误将按照一项招标技术要求负偏离作处理。</w:t>
      </w:r>
      <w:bookmarkEnd w:id="61"/>
    </w:p>
    <w:p w14:paraId="2B2705A5">
      <w:pPr>
        <w:ind w:firstLine="472" w:firstLineChars="196"/>
        <w:rPr>
          <w:rFonts w:ascii="宋体" w:hAnsi="宋体"/>
          <w:b/>
          <w:sz w:val="24"/>
        </w:rPr>
      </w:pPr>
      <w:r>
        <w:rPr>
          <w:rFonts w:ascii="宋体" w:hAnsi="宋体"/>
          <w:b/>
          <w:sz w:val="24"/>
        </w:rPr>
        <w:t>3</w:t>
      </w:r>
      <w:r>
        <w:rPr>
          <w:rFonts w:hint="eastAsia" w:ascii="宋体" w:hAnsi="宋体"/>
          <w:b/>
          <w:sz w:val="24"/>
        </w:rPr>
        <w:t>.</w:t>
      </w:r>
      <w:bookmarkStart w:id="62" w:name="_Hlk72074795"/>
      <w:r>
        <w:rPr>
          <w:rFonts w:hint="eastAsia" w:ascii="宋体" w:hAnsi="宋体"/>
          <w:b/>
          <w:sz w:val="24"/>
        </w:rPr>
        <w:t>“原产地”是指该货物的实际生产加工地，而非品牌总公司所在地</w:t>
      </w:r>
      <w:bookmarkEnd w:id="62"/>
      <w:r>
        <w:rPr>
          <w:rFonts w:hint="eastAsia" w:ascii="宋体" w:hAnsi="宋体"/>
          <w:b/>
          <w:sz w:val="24"/>
        </w:rPr>
        <w:t>。</w:t>
      </w:r>
    </w:p>
    <w:p w14:paraId="13106096">
      <w:pPr>
        <w:ind w:firstLine="472" w:firstLineChars="196"/>
        <w:rPr>
          <w:rFonts w:ascii="宋体" w:hAnsi="宋体"/>
          <w:b/>
          <w:sz w:val="24"/>
        </w:rPr>
      </w:pPr>
      <w:r>
        <w:rPr>
          <w:rFonts w:ascii="宋体" w:hAnsi="宋体"/>
          <w:b/>
          <w:sz w:val="24"/>
        </w:rPr>
        <w:t>4</w:t>
      </w:r>
      <w:r>
        <w:rPr>
          <w:rFonts w:hint="eastAsia" w:ascii="宋体" w:hAnsi="宋体"/>
          <w:b/>
          <w:sz w:val="24"/>
        </w:rPr>
        <w:t>.所投货物均应填写制造商名称。</w:t>
      </w:r>
    </w:p>
    <w:p w14:paraId="76562591">
      <w:pPr>
        <w:ind w:firstLine="482" w:firstLineChars="200"/>
        <w:rPr>
          <w:rFonts w:ascii="宋体" w:hAnsi="宋体"/>
          <w:b/>
          <w:sz w:val="24"/>
        </w:rPr>
      </w:pPr>
      <w:r>
        <w:rPr>
          <w:rFonts w:ascii="宋体" w:hAnsi="宋体"/>
          <w:b/>
          <w:sz w:val="24"/>
        </w:rPr>
        <w:t>5</w:t>
      </w:r>
      <w:r>
        <w:rPr>
          <w:rFonts w:hint="eastAsia" w:ascii="宋体" w:hAnsi="宋体"/>
          <w:b/>
          <w:sz w:val="24"/>
        </w:rPr>
        <w:t>.以上分项报价表的投标总价应当与开标一览表的投标总价一致。</w:t>
      </w:r>
    </w:p>
    <w:p w14:paraId="61EC2C07">
      <w:pPr>
        <w:ind w:firstLine="482" w:firstLineChars="200"/>
        <w:rPr>
          <w:rFonts w:ascii="宋体" w:hAnsi="宋体"/>
          <w:b/>
          <w:sz w:val="24"/>
        </w:rPr>
      </w:pPr>
      <w:r>
        <w:rPr>
          <w:rFonts w:ascii="宋体" w:hAnsi="宋体"/>
          <w:b/>
          <w:sz w:val="24"/>
        </w:rPr>
        <w:t>6</w:t>
      </w:r>
      <w:r>
        <w:rPr>
          <w:rFonts w:hint="eastAsia" w:ascii="宋体" w:hAnsi="宋体"/>
          <w:b/>
          <w:sz w:val="24"/>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14:paraId="3C61E83A">
      <w:pPr>
        <w:ind w:firstLine="482" w:firstLineChars="200"/>
        <w:rPr>
          <w:rFonts w:ascii="宋体" w:hAnsi="宋体"/>
          <w:b/>
          <w:sz w:val="24"/>
        </w:rPr>
      </w:pPr>
      <w:r>
        <w:rPr>
          <w:rFonts w:ascii="宋体" w:hAnsi="宋体"/>
          <w:b/>
          <w:sz w:val="24"/>
        </w:rPr>
        <w:t>7</w:t>
      </w:r>
      <w:r>
        <w:rPr>
          <w:rFonts w:hint="eastAsia" w:ascii="宋体" w:hAnsi="宋体"/>
          <w:b/>
          <w:sz w:val="24"/>
        </w:rPr>
        <w:t>.所有价格应按“招标文件”中规定的货币单位填写；投标总价应为以上各分项价格之和；投标总价和项目报价表中单个采购预算条目报价均不得超过对应的财政预算限额，否则将导致投标无效。</w:t>
      </w:r>
    </w:p>
    <w:p w14:paraId="1316D130">
      <w:pPr>
        <w:ind w:firstLine="482" w:firstLineChars="200"/>
        <w:rPr>
          <w:rFonts w:ascii="宋体" w:hAnsi="宋体"/>
          <w:b/>
          <w:color w:val="FF0000"/>
          <w:sz w:val="24"/>
        </w:rPr>
      </w:pPr>
    </w:p>
    <w:p w14:paraId="6D63E94A">
      <w:pPr>
        <w:tabs>
          <w:tab w:val="left" w:pos="720"/>
        </w:tabs>
        <w:jc w:val="center"/>
        <w:rPr>
          <w:b/>
          <w:sz w:val="24"/>
        </w:rPr>
      </w:pPr>
      <w:r>
        <w:rPr>
          <w:rFonts w:hint="eastAsia"/>
          <w:b/>
          <w:sz w:val="24"/>
        </w:rPr>
        <w:t>（二）核心产品品牌</w:t>
      </w:r>
    </w:p>
    <w:p w14:paraId="2CF9A755">
      <w:pPr>
        <w:ind w:firstLine="482" w:firstLineChars="200"/>
        <w:rPr>
          <w:rFonts w:ascii="宋体" w:hAnsi="宋体"/>
          <w:b/>
          <w:color w:val="FF0000"/>
          <w:sz w:val="24"/>
        </w:rPr>
      </w:pPr>
    </w:p>
    <w:p w14:paraId="00952DA4">
      <w:pPr>
        <w:ind w:firstLine="482" w:firstLineChars="200"/>
        <w:rPr>
          <w:rFonts w:ascii="宋体" w:hAnsi="宋体"/>
          <w:b/>
          <w:sz w:val="24"/>
        </w:rPr>
      </w:pPr>
      <w:r>
        <w:rPr>
          <w:rFonts w:hint="eastAsia"/>
          <w:b/>
          <w:sz w:val="24"/>
        </w:rPr>
        <w:t>我单位所投核心产品的品牌为：</w:t>
      </w:r>
      <w:r>
        <w:rPr>
          <w:rFonts w:hint="eastAsia"/>
          <w:b/>
          <w:bCs/>
          <w:szCs w:val="21"/>
          <w:u w:val="thick"/>
        </w:rPr>
        <w:tab/>
      </w:r>
      <w:r>
        <w:rPr>
          <w:rFonts w:hint="eastAsia"/>
          <w:b/>
          <w:bCs/>
          <w:szCs w:val="21"/>
          <w:u w:val="thick"/>
        </w:rPr>
        <w:tab/>
      </w:r>
      <w:r>
        <w:rPr>
          <w:rFonts w:hint="eastAsia"/>
          <w:b/>
          <w:bCs/>
          <w:szCs w:val="21"/>
          <w:u w:val="thick"/>
        </w:rPr>
        <w:tab/>
      </w:r>
      <w:r>
        <w:rPr>
          <w:rFonts w:hint="eastAsia"/>
          <w:b/>
          <w:bCs/>
          <w:szCs w:val="21"/>
          <w:u w:val="thick"/>
        </w:rPr>
        <w:tab/>
      </w:r>
      <w:r>
        <w:rPr>
          <w:rFonts w:hint="eastAsia"/>
          <w:b/>
          <w:sz w:val="24"/>
        </w:rPr>
        <w:t>。</w:t>
      </w:r>
    </w:p>
    <w:p w14:paraId="7604A42C">
      <w:pPr>
        <w:ind w:firstLine="482" w:firstLineChars="200"/>
        <w:rPr>
          <w:rFonts w:ascii="宋体" w:hAnsi="宋体"/>
          <w:b/>
          <w:color w:val="FF0000"/>
          <w:sz w:val="24"/>
        </w:rPr>
      </w:pPr>
    </w:p>
    <w:p w14:paraId="2B1B23A6">
      <w:pPr>
        <w:ind w:firstLine="480" w:firstLineChars="200"/>
        <w:rPr>
          <w:rFonts w:ascii="宋体" w:hAnsi="宋体"/>
          <w:b/>
          <w:bCs/>
          <w:sz w:val="24"/>
        </w:rPr>
      </w:pPr>
      <w:r>
        <w:rPr>
          <w:rFonts w:hint="eastAsia" w:ascii="宋体" w:hAnsi="宋体"/>
          <w:sz w:val="24"/>
        </w:rPr>
        <w:t>备注：单一产品采购，不设置核心产品。</w:t>
      </w:r>
    </w:p>
    <w:p w14:paraId="4B335977">
      <w:pPr>
        <w:rPr>
          <w:b/>
          <w:sz w:val="24"/>
        </w:rPr>
      </w:pPr>
    </w:p>
    <w:p w14:paraId="0BFC12FC">
      <w:pPr>
        <w:rPr>
          <w:b/>
          <w:sz w:val="24"/>
        </w:rPr>
      </w:pPr>
    </w:p>
    <w:p w14:paraId="6070FE79">
      <w:pPr>
        <w:tabs>
          <w:tab w:val="left" w:pos="720"/>
        </w:tabs>
        <w:ind w:firstLine="1928" w:firstLineChars="800"/>
        <w:rPr>
          <w:b/>
          <w:sz w:val="24"/>
        </w:rPr>
      </w:pPr>
      <w:r>
        <w:rPr>
          <w:rFonts w:hint="eastAsia"/>
          <w:b/>
          <w:sz w:val="24"/>
        </w:rPr>
        <w:t>（三）可选配件报价清单（不包括在总报价内）</w:t>
      </w:r>
    </w:p>
    <w:p w14:paraId="69DF593F">
      <w:pPr>
        <w:ind w:firstLine="422" w:firstLineChars="200"/>
        <w:rPr>
          <w:rFonts w:hAnsi="宋体"/>
          <w:b/>
          <w:bCs/>
          <w:szCs w:val="21"/>
        </w:rPr>
      </w:pPr>
      <w:r>
        <w:rPr>
          <w:rFonts w:hint="eastAsia" w:hAnsi="宋体"/>
          <w:b/>
          <w:bCs/>
          <w:szCs w:val="21"/>
        </w:rPr>
        <w:t>注：格式可以参照《（一）分项报价表》表格，并提供相应的品牌/规格/型号、原产地、制造商信息（没有品牌、型号的，用“定制”描述即可）、单价等详细信息</w:t>
      </w:r>
    </w:p>
    <w:p w14:paraId="386FB84E">
      <w:pPr>
        <w:ind w:firstLine="482" w:firstLineChars="200"/>
        <w:rPr>
          <w:rFonts w:hAnsi="宋体"/>
          <w:b/>
          <w:bCs/>
          <w:sz w:val="24"/>
        </w:rPr>
      </w:pPr>
    </w:p>
    <w:p w14:paraId="30FE49D3">
      <w:pPr>
        <w:ind w:firstLine="482" w:firstLineChars="200"/>
        <w:rPr>
          <w:rFonts w:hAnsi="宋体"/>
          <w:b/>
          <w:bCs/>
          <w:sz w:val="24"/>
        </w:rPr>
      </w:pPr>
    </w:p>
    <w:p w14:paraId="2662F40D">
      <w:pPr>
        <w:tabs>
          <w:tab w:val="left" w:pos="720"/>
        </w:tabs>
        <w:jc w:val="center"/>
        <w:rPr>
          <w:b/>
          <w:sz w:val="24"/>
        </w:rPr>
      </w:pPr>
      <w:r>
        <w:rPr>
          <w:rFonts w:hint="eastAsia"/>
          <w:b/>
          <w:sz w:val="24"/>
        </w:rPr>
        <w:t>（四）</w:t>
      </w:r>
      <w:bookmarkStart w:id="63" w:name="_Hlk72073235"/>
      <w:r>
        <w:rPr>
          <w:rFonts w:hint="eastAsia"/>
          <w:b/>
          <w:sz w:val="24"/>
        </w:rPr>
        <w:t>投标人认为需要涉及的其他内容报价清单</w:t>
      </w:r>
      <w:bookmarkEnd w:id="63"/>
    </w:p>
    <w:p w14:paraId="3D396CBE">
      <w:pPr>
        <w:rPr>
          <w:b/>
          <w:bCs/>
        </w:rPr>
      </w:pPr>
    </w:p>
    <w:p w14:paraId="5F0D7C94"/>
    <w:p w14:paraId="23712584"/>
    <w:p w14:paraId="46B8F412">
      <w:pPr>
        <w:ind w:firstLine="723" w:firstLineChars="300"/>
        <w:rPr>
          <w:b/>
          <w:color w:val="FF0000"/>
          <w:sz w:val="24"/>
        </w:rPr>
      </w:pPr>
      <w:r>
        <w:rPr>
          <w:rFonts w:hint="eastAsia"/>
          <w:b/>
          <w:color w:val="FF0000"/>
          <w:sz w:val="24"/>
        </w:rPr>
        <w:t>（信息公开部分的内容到此为止！以下为信息不公开部分。）</w:t>
      </w:r>
    </w:p>
    <w:bookmarkEnd w:id="60"/>
    <w:p w14:paraId="40783C71">
      <w:r>
        <w:br w:type="page"/>
      </w:r>
    </w:p>
    <w:p w14:paraId="5FB39616">
      <w:pPr>
        <w:outlineLvl w:val="1"/>
        <w:rPr>
          <w:rFonts w:ascii="宋体" w:hAnsi="宋体"/>
          <w:b/>
          <w:color w:val="FF0000"/>
          <w:sz w:val="28"/>
          <w:szCs w:val="28"/>
        </w:rPr>
      </w:pPr>
      <w:bookmarkStart w:id="64" w:name="_Hlk72260530"/>
      <w:r>
        <w:rPr>
          <w:rFonts w:hint="eastAsia" w:ascii="宋体" w:hAnsi="宋体"/>
          <w:b/>
          <w:color w:val="FF0000"/>
          <w:sz w:val="28"/>
          <w:szCs w:val="28"/>
        </w:rPr>
        <w:t>投标文件附件（信息不公开部分）</w:t>
      </w:r>
    </w:p>
    <w:p w14:paraId="0791BE6F">
      <w:pPr>
        <w:pStyle w:val="3"/>
        <w:jc w:val="center"/>
        <w:rPr>
          <w:rFonts w:ascii="黑体" w:eastAsia="黑体"/>
          <w:b w:val="0"/>
          <w:sz w:val="24"/>
        </w:rPr>
      </w:pPr>
      <w:r>
        <w:rPr>
          <w:rFonts w:hint="eastAsia" w:ascii="黑体" w:eastAsia="黑体"/>
          <w:b w:val="0"/>
          <w:sz w:val="24"/>
        </w:rPr>
        <w:t>一、</w:t>
      </w:r>
      <w:bookmarkStart w:id="65" w:name="_Hlk72092499"/>
      <w:r>
        <w:rPr>
          <w:rFonts w:hint="eastAsia" w:ascii="黑体" w:eastAsia="黑体"/>
          <w:b w:val="0"/>
          <w:sz w:val="24"/>
        </w:rPr>
        <w:t>法定代表人（负责人）证明书</w:t>
      </w:r>
      <w:bookmarkEnd w:id="65"/>
    </w:p>
    <w:p w14:paraId="7D436623">
      <w:pPr>
        <w:rPr>
          <w:sz w:val="24"/>
        </w:rPr>
      </w:pPr>
    </w:p>
    <w:p w14:paraId="1DB2474D">
      <w:pPr>
        <w:spacing w:line="360" w:lineRule="auto"/>
        <w:ind w:firstLine="420" w:firstLineChars="200"/>
        <w:rPr>
          <w:szCs w:val="21"/>
        </w:rPr>
      </w:pPr>
      <w:r>
        <w:rPr>
          <w:rFonts w:hint="eastAsia"/>
          <w:szCs w:val="21"/>
          <w:u w:val="single"/>
        </w:rPr>
        <w:t xml:space="preserve">                   </w:t>
      </w:r>
      <w:r>
        <w:rPr>
          <w:rFonts w:hint="eastAsia"/>
          <w:szCs w:val="21"/>
        </w:rPr>
        <w:t xml:space="preserve"> 同志，现任我单位</w:t>
      </w:r>
      <w:r>
        <w:rPr>
          <w:rFonts w:hint="eastAsia"/>
          <w:szCs w:val="21"/>
          <w:u w:val="single"/>
        </w:rPr>
        <w:t xml:space="preserve">                   </w:t>
      </w:r>
      <w:r>
        <w:rPr>
          <w:rFonts w:hint="eastAsia"/>
          <w:szCs w:val="21"/>
        </w:rPr>
        <w:t>职务，为法定代表人（负责人），特此证明。</w:t>
      </w:r>
    </w:p>
    <w:p w14:paraId="5B660EBE">
      <w:pPr>
        <w:spacing w:line="360" w:lineRule="auto"/>
        <w:rPr>
          <w:szCs w:val="21"/>
        </w:rPr>
      </w:pPr>
    </w:p>
    <w:p w14:paraId="75506A95">
      <w:pPr>
        <w:spacing w:line="360" w:lineRule="auto"/>
        <w:rPr>
          <w:szCs w:val="21"/>
        </w:rPr>
      </w:pPr>
      <w:r>
        <w:rPr>
          <w:rFonts w:hint="eastAsia"/>
          <w:szCs w:val="21"/>
        </w:rPr>
        <w:t>说明：1、法定代表人为投标人（企业事业单位、国家机关、社会团体）的主要行政负责人。</w:t>
      </w:r>
    </w:p>
    <w:p w14:paraId="2915D4FC">
      <w:pPr>
        <w:rPr>
          <w:szCs w:val="21"/>
        </w:rPr>
      </w:pPr>
      <w:r>
        <w:rPr>
          <w:rFonts w:hint="eastAsia"/>
          <w:szCs w:val="21"/>
        </w:rPr>
        <w:t xml:space="preserve">      2、内容必须填写真实、清楚，涂改无效，不得转让、买卖。</w:t>
      </w:r>
    </w:p>
    <w:p w14:paraId="45988EF4">
      <w:pPr>
        <w:rPr>
          <w:sz w:val="24"/>
        </w:rPr>
      </w:pPr>
    </w:p>
    <w:p w14:paraId="08B10474">
      <w:pPr>
        <w:spacing w:line="360" w:lineRule="auto"/>
        <w:ind w:firstLine="422" w:firstLineChars="200"/>
        <w:rPr>
          <w:b/>
          <w:color w:val="FF0000"/>
          <w:szCs w:val="21"/>
        </w:rPr>
      </w:pPr>
      <w:r>
        <w:rPr>
          <w:rFonts w:hint="eastAsia"/>
          <w:b/>
          <w:color w:val="FF0000"/>
          <w:szCs w:val="21"/>
        </w:rPr>
        <w:t>附： 请提供法定代表人（负责人）身份证扫描件（正反两面）；港澳台居民可提供来往通行证扫描件；非中国国籍管辖范围人员，可提供公安部门认可的身份证明材料扫描件。</w:t>
      </w:r>
    </w:p>
    <w:p w14:paraId="0A049981">
      <w:pPr>
        <w:rPr>
          <w:b/>
          <w:bCs/>
          <w:sz w:val="24"/>
        </w:rPr>
      </w:pPr>
    </w:p>
    <w:p w14:paraId="6D81A8A7">
      <w:pPr>
        <w:pStyle w:val="3"/>
        <w:spacing w:before="120" w:after="120"/>
        <w:jc w:val="center"/>
        <w:rPr>
          <w:rFonts w:ascii="黑体" w:eastAsia="黑体"/>
          <w:b w:val="0"/>
          <w:sz w:val="24"/>
        </w:rPr>
      </w:pPr>
      <w:r>
        <w:rPr>
          <w:rFonts w:hint="eastAsia" w:ascii="黑体" w:eastAsia="黑体"/>
          <w:b w:val="0"/>
          <w:sz w:val="24"/>
        </w:rPr>
        <w:t>二、投标文件签署授权委托书</w:t>
      </w:r>
    </w:p>
    <w:p w14:paraId="222FF0C0">
      <w:pPr>
        <w:spacing w:line="360" w:lineRule="auto"/>
        <w:ind w:firstLine="420" w:firstLineChars="200"/>
        <w:rPr>
          <w:szCs w:val="21"/>
        </w:rPr>
      </w:pPr>
      <w:r>
        <w:rPr>
          <w:rFonts w:hint="eastAsia"/>
          <w:szCs w:val="21"/>
        </w:rPr>
        <w:t>本授权委托书声明：我（姓名）</w:t>
      </w:r>
      <w:r>
        <w:rPr>
          <w:rFonts w:hint="eastAsia"/>
          <w:szCs w:val="21"/>
          <w:u w:val="single"/>
        </w:rPr>
        <w:t xml:space="preserve">                   </w:t>
      </w:r>
      <w:r>
        <w:rPr>
          <w:rFonts w:hint="eastAsia"/>
          <w:szCs w:val="21"/>
        </w:rPr>
        <w:t xml:space="preserve"> 系（投标人名称）</w:t>
      </w:r>
      <w:r>
        <w:rPr>
          <w:rFonts w:hint="eastAsia"/>
          <w:szCs w:val="21"/>
          <w:u w:val="single"/>
        </w:rPr>
        <w:t xml:space="preserve">                                    </w:t>
      </w:r>
      <w:r>
        <w:rPr>
          <w:rFonts w:hint="eastAsia"/>
          <w:szCs w:val="21"/>
        </w:rPr>
        <w:t xml:space="preserve">  的法定代表人（负责人），现授权委托（姓名）              为我单位签署本项目已递交的投标文件的法定代表人（负责人）的授权委托代理人，代理人全权代表我所签署的本项目已递交的投标文件内容我均承认。</w:t>
      </w:r>
    </w:p>
    <w:p w14:paraId="2433C6C0">
      <w:pPr>
        <w:pStyle w:val="7"/>
        <w:spacing w:line="360" w:lineRule="auto"/>
        <w:rPr>
          <w:szCs w:val="21"/>
        </w:rPr>
      </w:pPr>
      <w:r>
        <w:rPr>
          <w:rFonts w:hint="eastAsia"/>
          <w:szCs w:val="21"/>
        </w:rPr>
        <w:t>代理人无转委托权，特此委托。</w:t>
      </w:r>
    </w:p>
    <w:p w14:paraId="715C74C9">
      <w:pPr>
        <w:pStyle w:val="7"/>
        <w:spacing w:line="360" w:lineRule="auto"/>
        <w:rPr>
          <w:szCs w:val="21"/>
        </w:rPr>
      </w:pPr>
    </w:p>
    <w:p w14:paraId="02F93657">
      <w:pPr>
        <w:pStyle w:val="7"/>
        <w:spacing w:line="360" w:lineRule="auto"/>
        <w:ind w:left="540" w:leftChars="257" w:firstLine="0"/>
        <w:rPr>
          <w:szCs w:val="21"/>
        </w:rPr>
      </w:pPr>
      <w:r>
        <w:rPr>
          <w:rFonts w:hint="eastAsia"/>
          <w:szCs w:val="21"/>
        </w:rPr>
        <w:t>代理人：</w:t>
      </w:r>
      <w:r>
        <w:rPr>
          <w:rFonts w:hint="eastAsia"/>
          <w:szCs w:val="21"/>
          <w:u w:val="single"/>
        </w:rPr>
        <w:t xml:space="preserve">                                    </w:t>
      </w:r>
      <w:r>
        <w:rPr>
          <w:rFonts w:hint="eastAsia"/>
          <w:szCs w:val="21"/>
          <w:u w:val="single"/>
        </w:rPr>
        <w:tab/>
      </w:r>
      <w:r>
        <w:rPr>
          <w:rFonts w:hint="eastAsia"/>
          <w:szCs w:val="21"/>
          <w:u w:val="single"/>
        </w:rPr>
        <w:t xml:space="preserve">          </w:t>
      </w:r>
    </w:p>
    <w:p w14:paraId="2DA649B3">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u w:val="single"/>
        </w:rPr>
        <w:tab/>
      </w:r>
      <w:r>
        <w:rPr>
          <w:rFonts w:hint="eastAsia"/>
          <w:szCs w:val="21"/>
        </w:rPr>
        <w:t xml:space="preserve">                手机：</w:t>
      </w:r>
      <w:r>
        <w:rPr>
          <w:rFonts w:hint="eastAsia"/>
          <w:szCs w:val="21"/>
          <w:u w:val="single"/>
        </w:rPr>
        <w:t xml:space="preserve">                                    </w:t>
      </w:r>
      <w:r>
        <w:rPr>
          <w:rFonts w:hint="eastAsia"/>
          <w:szCs w:val="21"/>
          <w:u w:val="single"/>
        </w:rPr>
        <w:tab/>
      </w:r>
    </w:p>
    <w:p w14:paraId="5F66244E">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u w:val="single"/>
        </w:rPr>
        <w:tab/>
      </w:r>
      <w:r>
        <w:rPr>
          <w:rFonts w:hint="eastAsia"/>
          <w:szCs w:val="21"/>
        </w:rPr>
        <w:t xml:space="preserve">               职务：</w:t>
      </w:r>
      <w:r>
        <w:rPr>
          <w:rFonts w:hint="eastAsia"/>
          <w:szCs w:val="21"/>
          <w:u w:val="single"/>
        </w:rPr>
        <w:t xml:space="preserve">                                    </w:t>
      </w:r>
      <w:r>
        <w:rPr>
          <w:rFonts w:hint="eastAsia"/>
          <w:szCs w:val="21"/>
          <w:u w:val="single"/>
        </w:rPr>
        <w:tab/>
      </w:r>
    </w:p>
    <w:p w14:paraId="6C8BB1BB">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 xml:space="preserve"> 年</w:t>
      </w:r>
      <w:r>
        <w:rPr>
          <w:rFonts w:hint="eastAsia"/>
          <w:szCs w:val="21"/>
          <w:u w:val="single"/>
        </w:rPr>
        <w:t xml:space="preserve">        </w:t>
      </w:r>
      <w:r>
        <w:rPr>
          <w:rFonts w:hint="eastAsia"/>
          <w:szCs w:val="21"/>
          <w:u w:val="single"/>
        </w:rPr>
        <w:tab/>
      </w:r>
      <w:r>
        <w:rPr>
          <w:rFonts w:hint="eastAsia"/>
          <w:szCs w:val="21"/>
        </w:rPr>
        <w:t xml:space="preserve">月  </w:t>
      </w:r>
      <w:r>
        <w:rPr>
          <w:rFonts w:hint="eastAsia"/>
          <w:szCs w:val="21"/>
          <w:u w:val="single"/>
        </w:rPr>
        <w:t xml:space="preserve">             </w:t>
      </w:r>
      <w:r>
        <w:rPr>
          <w:rFonts w:hint="eastAsia"/>
          <w:szCs w:val="21"/>
          <w:u w:val="single"/>
        </w:rPr>
        <w:tab/>
      </w:r>
      <w:r>
        <w:rPr>
          <w:rFonts w:hint="eastAsia"/>
          <w:szCs w:val="21"/>
        </w:rPr>
        <w:t xml:space="preserve"> 日</w:t>
      </w:r>
    </w:p>
    <w:p w14:paraId="462E3444"/>
    <w:p w14:paraId="7597ECBE">
      <w:pPr>
        <w:spacing w:line="360" w:lineRule="auto"/>
        <w:ind w:firstLine="422" w:firstLineChars="200"/>
        <w:rPr>
          <w:b/>
          <w:color w:val="FF0000"/>
          <w:szCs w:val="21"/>
        </w:rPr>
      </w:pPr>
      <w:r>
        <w:rPr>
          <w:rFonts w:hint="eastAsia"/>
          <w:b/>
          <w:color w:val="FF0000"/>
          <w:szCs w:val="21"/>
        </w:rPr>
        <w:t>附： 请提供代理人身份证扫描件（正反两面）；港澳台居民可提供来往通行证扫描件；非中国国籍管辖范围人员，可提供公安部门认可的身份证明材料扫描件。</w:t>
      </w:r>
    </w:p>
    <w:p w14:paraId="60621F45">
      <w:pPr>
        <w:spacing w:line="360" w:lineRule="auto"/>
        <w:rPr>
          <w:b/>
          <w:szCs w:val="21"/>
        </w:rPr>
      </w:pPr>
    </w:p>
    <w:p w14:paraId="2F5689C9">
      <w:pPr>
        <w:pStyle w:val="3"/>
        <w:jc w:val="center"/>
        <w:rPr>
          <w:rFonts w:ascii="黑体" w:eastAsia="黑体"/>
          <w:b w:val="0"/>
          <w:kern w:val="0"/>
          <w:sz w:val="24"/>
          <w:szCs w:val="24"/>
        </w:rPr>
      </w:pPr>
      <w:r>
        <w:rPr>
          <w:rFonts w:hint="eastAsia" w:ascii="黑体" w:eastAsia="黑体"/>
          <w:b w:val="0"/>
          <w:kern w:val="0"/>
          <w:sz w:val="24"/>
          <w:szCs w:val="24"/>
        </w:rPr>
        <w:t>三、</w:t>
      </w:r>
      <w:bookmarkStart w:id="66" w:name="_Hlk72092634"/>
      <w:r>
        <w:rPr>
          <w:rFonts w:hint="eastAsia" w:ascii="黑体" w:eastAsia="黑体"/>
          <w:b w:val="0"/>
          <w:kern w:val="0"/>
          <w:sz w:val="24"/>
          <w:szCs w:val="24"/>
        </w:rPr>
        <w:t>实质性条款响应情况表</w:t>
      </w:r>
      <w:bookmarkEnd w:id="66"/>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5312"/>
        <w:gridCol w:w="1276"/>
        <w:gridCol w:w="812"/>
        <w:gridCol w:w="632"/>
      </w:tblGrid>
      <w:tr w14:paraId="04A6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97" w:type="dxa"/>
            <w:vAlign w:val="center"/>
          </w:tcPr>
          <w:p w14:paraId="25F0B731">
            <w:pPr>
              <w:adjustRightInd w:val="0"/>
              <w:snapToGrid w:val="0"/>
              <w:spacing w:line="360" w:lineRule="auto"/>
              <w:jc w:val="center"/>
              <w:rPr>
                <w:rFonts w:ascii="宋体" w:hAnsi="宋体"/>
                <w:kern w:val="0"/>
                <w:szCs w:val="21"/>
              </w:rPr>
            </w:pPr>
            <w:bookmarkStart w:id="67" w:name="_Hlk72092651"/>
            <w:r>
              <w:rPr>
                <w:rFonts w:hint="eastAsia" w:ascii="宋体" w:hAnsi="宋体"/>
                <w:kern w:val="0"/>
                <w:szCs w:val="21"/>
              </w:rPr>
              <w:t>序号</w:t>
            </w:r>
          </w:p>
        </w:tc>
        <w:tc>
          <w:tcPr>
            <w:tcW w:w="5312" w:type="dxa"/>
            <w:vAlign w:val="center"/>
          </w:tcPr>
          <w:p w14:paraId="1EB09E1B">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276" w:type="dxa"/>
            <w:vAlign w:val="center"/>
          </w:tcPr>
          <w:p w14:paraId="78AE3A56">
            <w:pPr>
              <w:adjustRightInd w:val="0"/>
              <w:snapToGrid w:val="0"/>
              <w:spacing w:line="360" w:lineRule="auto"/>
              <w:jc w:val="center"/>
              <w:rPr>
                <w:rFonts w:ascii="宋体" w:hAnsi="宋体"/>
                <w:kern w:val="0"/>
                <w:szCs w:val="21"/>
              </w:rPr>
            </w:pPr>
            <w:r>
              <w:rPr>
                <w:rFonts w:hint="eastAsia"/>
              </w:rPr>
              <w:t>投标响应</w:t>
            </w:r>
          </w:p>
        </w:tc>
        <w:tc>
          <w:tcPr>
            <w:tcW w:w="812" w:type="dxa"/>
            <w:vAlign w:val="center"/>
          </w:tcPr>
          <w:p w14:paraId="4F00EEDA">
            <w:pPr>
              <w:adjustRightInd w:val="0"/>
              <w:snapToGrid w:val="0"/>
              <w:spacing w:line="360" w:lineRule="auto"/>
              <w:jc w:val="center"/>
              <w:rPr>
                <w:rFonts w:ascii="宋体" w:hAnsi="宋体"/>
                <w:kern w:val="0"/>
                <w:szCs w:val="21"/>
              </w:rPr>
            </w:pPr>
            <w:r>
              <w:rPr>
                <w:rFonts w:hint="eastAsia"/>
              </w:rPr>
              <w:t>偏离情况</w:t>
            </w:r>
          </w:p>
        </w:tc>
        <w:tc>
          <w:tcPr>
            <w:tcW w:w="632" w:type="dxa"/>
            <w:vAlign w:val="center"/>
          </w:tcPr>
          <w:p w14:paraId="71D7F38A">
            <w:pPr>
              <w:adjustRightInd w:val="0"/>
              <w:snapToGrid w:val="0"/>
              <w:spacing w:line="360" w:lineRule="auto"/>
              <w:jc w:val="center"/>
              <w:rPr>
                <w:rFonts w:ascii="宋体" w:hAnsi="宋体"/>
                <w:kern w:val="0"/>
                <w:szCs w:val="21"/>
              </w:rPr>
            </w:pPr>
            <w:r>
              <w:rPr>
                <w:rFonts w:hint="eastAsia"/>
              </w:rPr>
              <w:t>说明</w:t>
            </w:r>
          </w:p>
        </w:tc>
      </w:tr>
      <w:bookmarkEnd w:id="67"/>
      <w:tr w14:paraId="0B4C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11F3EF07">
            <w:pPr>
              <w:adjustRightInd w:val="0"/>
              <w:snapToGrid w:val="0"/>
              <w:spacing w:line="360" w:lineRule="auto"/>
              <w:rPr>
                <w:rFonts w:ascii="宋体" w:hAnsi="宋体"/>
                <w:kern w:val="0"/>
                <w:szCs w:val="21"/>
              </w:rPr>
            </w:pPr>
            <w:r>
              <w:rPr>
                <w:rFonts w:hint="eastAsia" w:ascii="宋体" w:hAnsi="宋体"/>
                <w:kern w:val="0"/>
                <w:szCs w:val="21"/>
              </w:rPr>
              <w:t>1</w:t>
            </w:r>
          </w:p>
        </w:tc>
        <w:tc>
          <w:tcPr>
            <w:tcW w:w="5312" w:type="dxa"/>
            <w:vAlign w:val="center"/>
          </w:tcPr>
          <w:p w14:paraId="5625963D">
            <w:pPr>
              <w:adjustRightInd w:val="0"/>
              <w:snapToGrid w:val="0"/>
              <w:spacing w:line="360" w:lineRule="auto"/>
              <w:jc w:val="left"/>
              <w:rPr>
                <w:rFonts w:hAnsi="宋体"/>
                <w:kern w:val="0"/>
                <w:szCs w:val="21"/>
              </w:rPr>
            </w:pPr>
            <w:r>
              <w:rPr>
                <w:rFonts w:hint="eastAsia" w:hAnsi="宋体"/>
                <w:kern w:val="0"/>
                <w:szCs w:val="21"/>
              </w:rPr>
              <w:t>投标文件载明的交货期不超过招标文件规定的期限</w:t>
            </w:r>
          </w:p>
        </w:tc>
        <w:tc>
          <w:tcPr>
            <w:tcW w:w="1276" w:type="dxa"/>
          </w:tcPr>
          <w:p w14:paraId="7B0192ED">
            <w:pPr>
              <w:adjustRightInd w:val="0"/>
              <w:snapToGrid w:val="0"/>
              <w:spacing w:line="360" w:lineRule="auto"/>
              <w:rPr>
                <w:rFonts w:ascii="宋体" w:hAnsi="宋体"/>
                <w:kern w:val="0"/>
                <w:szCs w:val="21"/>
              </w:rPr>
            </w:pPr>
          </w:p>
        </w:tc>
        <w:tc>
          <w:tcPr>
            <w:tcW w:w="812" w:type="dxa"/>
          </w:tcPr>
          <w:p w14:paraId="066E761A">
            <w:pPr>
              <w:adjustRightInd w:val="0"/>
              <w:snapToGrid w:val="0"/>
              <w:spacing w:line="360" w:lineRule="auto"/>
              <w:rPr>
                <w:rFonts w:ascii="宋体" w:hAnsi="宋体"/>
                <w:kern w:val="0"/>
                <w:szCs w:val="21"/>
              </w:rPr>
            </w:pPr>
          </w:p>
        </w:tc>
        <w:tc>
          <w:tcPr>
            <w:tcW w:w="632" w:type="dxa"/>
          </w:tcPr>
          <w:p w14:paraId="56B57B6A">
            <w:pPr>
              <w:adjustRightInd w:val="0"/>
              <w:snapToGrid w:val="0"/>
              <w:spacing w:line="360" w:lineRule="auto"/>
              <w:rPr>
                <w:rFonts w:ascii="宋体" w:hAnsi="宋体"/>
                <w:kern w:val="0"/>
                <w:szCs w:val="21"/>
              </w:rPr>
            </w:pPr>
          </w:p>
        </w:tc>
      </w:tr>
      <w:tr w14:paraId="5038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11AFF99D">
            <w:pPr>
              <w:adjustRightInd w:val="0"/>
              <w:snapToGrid w:val="0"/>
              <w:spacing w:line="360" w:lineRule="auto"/>
              <w:rPr>
                <w:rFonts w:ascii="宋体" w:hAnsi="宋体"/>
                <w:kern w:val="0"/>
                <w:szCs w:val="21"/>
              </w:rPr>
            </w:pPr>
            <w:r>
              <w:rPr>
                <w:rFonts w:hint="eastAsia" w:ascii="宋体" w:hAnsi="宋体"/>
                <w:kern w:val="0"/>
                <w:szCs w:val="21"/>
              </w:rPr>
              <w:t>2</w:t>
            </w:r>
          </w:p>
        </w:tc>
        <w:tc>
          <w:tcPr>
            <w:tcW w:w="5312" w:type="dxa"/>
            <w:vAlign w:val="center"/>
          </w:tcPr>
          <w:p w14:paraId="2707BA61">
            <w:pPr>
              <w:adjustRightInd w:val="0"/>
              <w:snapToGrid w:val="0"/>
              <w:spacing w:line="360" w:lineRule="auto"/>
              <w:jc w:val="left"/>
              <w:rPr>
                <w:rFonts w:hAnsi="宋体"/>
                <w:kern w:val="0"/>
                <w:szCs w:val="21"/>
              </w:rPr>
            </w:pPr>
            <w:r>
              <w:rPr>
                <w:rFonts w:hint="eastAsia" w:hAnsi="宋体"/>
                <w:kern w:val="0"/>
                <w:szCs w:val="21"/>
              </w:rPr>
              <w:t>投标文件载明的免费保修期不低于招标文件规定的期限</w:t>
            </w:r>
          </w:p>
        </w:tc>
        <w:tc>
          <w:tcPr>
            <w:tcW w:w="1276" w:type="dxa"/>
          </w:tcPr>
          <w:p w14:paraId="6E85D382">
            <w:pPr>
              <w:adjustRightInd w:val="0"/>
              <w:snapToGrid w:val="0"/>
              <w:spacing w:line="360" w:lineRule="auto"/>
              <w:rPr>
                <w:rFonts w:ascii="宋体" w:hAnsi="宋体"/>
                <w:kern w:val="0"/>
                <w:szCs w:val="21"/>
              </w:rPr>
            </w:pPr>
          </w:p>
        </w:tc>
        <w:tc>
          <w:tcPr>
            <w:tcW w:w="812" w:type="dxa"/>
          </w:tcPr>
          <w:p w14:paraId="1F100BE1">
            <w:pPr>
              <w:adjustRightInd w:val="0"/>
              <w:snapToGrid w:val="0"/>
              <w:spacing w:line="360" w:lineRule="auto"/>
              <w:rPr>
                <w:rFonts w:ascii="宋体" w:hAnsi="宋体"/>
                <w:kern w:val="0"/>
                <w:szCs w:val="21"/>
              </w:rPr>
            </w:pPr>
          </w:p>
        </w:tc>
        <w:tc>
          <w:tcPr>
            <w:tcW w:w="632" w:type="dxa"/>
          </w:tcPr>
          <w:p w14:paraId="45A46EB6">
            <w:pPr>
              <w:adjustRightInd w:val="0"/>
              <w:snapToGrid w:val="0"/>
              <w:spacing w:line="360" w:lineRule="auto"/>
              <w:rPr>
                <w:rFonts w:ascii="宋体" w:hAnsi="宋体"/>
                <w:kern w:val="0"/>
                <w:szCs w:val="21"/>
              </w:rPr>
            </w:pPr>
          </w:p>
        </w:tc>
      </w:tr>
      <w:tr w14:paraId="4F60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10E05E80">
            <w:pPr>
              <w:adjustRightInd w:val="0"/>
              <w:snapToGrid w:val="0"/>
              <w:spacing w:line="360" w:lineRule="auto"/>
              <w:rPr>
                <w:rFonts w:ascii="宋体" w:hAnsi="宋体"/>
                <w:kern w:val="0"/>
                <w:szCs w:val="21"/>
              </w:rPr>
            </w:pPr>
            <w:r>
              <w:rPr>
                <w:rFonts w:hint="eastAsia" w:ascii="宋体" w:hAnsi="宋体"/>
                <w:kern w:val="0"/>
                <w:szCs w:val="21"/>
              </w:rPr>
              <w:t>3</w:t>
            </w:r>
          </w:p>
        </w:tc>
        <w:tc>
          <w:tcPr>
            <w:tcW w:w="5312" w:type="dxa"/>
            <w:vAlign w:val="center"/>
          </w:tcPr>
          <w:p w14:paraId="0A9612D8">
            <w:pPr>
              <w:adjustRightInd w:val="0"/>
              <w:snapToGrid w:val="0"/>
              <w:spacing w:line="360" w:lineRule="auto"/>
              <w:jc w:val="left"/>
              <w:rPr>
                <w:rFonts w:hAnsi="宋体"/>
                <w:kern w:val="0"/>
                <w:szCs w:val="21"/>
              </w:rPr>
            </w:pPr>
            <w:r>
              <w:rPr>
                <w:rFonts w:hint="eastAsia" w:hAnsi="宋体"/>
                <w:kern w:val="0"/>
                <w:szCs w:val="21"/>
              </w:rPr>
              <w:t>具体技术要求、商务需求中带“★”要求</w:t>
            </w:r>
          </w:p>
        </w:tc>
        <w:tc>
          <w:tcPr>
            <w:tcW w:w="1276" w:type="dxa"/>
          </w:tcPr>
          <w:p w14:paraId="3A5DA0BE">
            <w:pPr>
              <w:adjustRightInd w:val="0"/>
              <w:snapToGrid w:val="0"/>
              <w:spacing w:line="360" w:lineRule="auto"/>
              <w:rPr>
                <w:rFonts w:ascii="宋体" w:hAnsi="宋体"/>
                <w:kern w:val="0"/>
                <w:szCs w:val="21"/>
              </w:rPr>
            </w:pPr>
          </w:p>
        </w:tc>
        <w:tc>
          <w:tcPr>
            <w:tcW w:w="812" w:type="dxa"/>
          </w:tcPr>
          <w:p w14:paraId="34EC5C4F">
            <w:pPr>
              <w:adjustRightInd w:val="0"/>
              <w:snapToGrid w:val="0"/>
              <w:spacing w:line="360" w:lineRule="auto"/>
              <w:rPr>
                <w:rFonts w:ascii="宋体" w:hAnsi="宋体"/>
                <w:kern w:val="0"/>
                <w:szCs w:val="21"/>
              </w:rPr>
            </w:pPr>
          </w:p>
        </w:tc>
        <w:tc>
          <w:tcPr>
            <w:tcW w:w="632" w:type="dxa"/>
          </w:tcPr>
          <w:p w14:paraId="6A9E20E2">
            <w:pPr>
              <w:adjustRightInd w:val="0"/>
              <w:snapToGrid w:val="0"/>
              <w:spacing w:line="360" w:lineRule="auto"/>
              <w:rPr>
                <w:rFonts w:ascii="宋体" w:hAnsi="宋体"/>
                <w:kern w:val="0"/>
                <w:szCs w:val="21"/>
              </w:rPr>
            </w:pPr>
          </w:p>
        </w:tc>
      </w:tr>
    </w:tbl>
    <w:p w14:paraId="3FF4D4E2">
      <w:pPr>
        <w:ind w:firstLine="482" w:firstLineChars="200"/>
        <w:rPr>
          <w:b/>
          <w:sz w:val="24"/>
          <w:szCs w:val="22"/>
        </w:rPr>
      </w:pPr>
    </w:p>
    <w:p w14:paraId="2E97C60F">
      <w:pPr>
        <w:ind w:firstLine="482" w:firstLineChars="200"/>
        <w:rPr>
          <w:b/>
          <w:sz w:val="24"/>
          <w:szCs w:val="22"/>
        </w:rPr>
      </w:pPr>
      <w:r>
        <w:rPr>
          <w:rFonts w:hint="eastAsia"/>
          <w:b/>
          <w:sz w:val="24"/>
          <w:szCs w:val="22"/>
        </w:rPr>
        <w:t>注：1. 上表所列各项均为不可负偏离条款。</w:t>
      </w:r>
    </w:p>
    <w:p w14:paraId="0F95ECC4">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05A8E157">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3AD97AAE">
      <w:pPr>
        <w:ind w:firstLine="482" w:firstLineChars="200"/>
        <w:rPr>
          <w:b/>
          <w:sz w:val="24"/>
        </w:rPr>
      </w:pPr>
      <w:r>
        <w:rPr>
          <w:b/>
          <w:sz w:val="24"/>
        </w:rPr>
        <w:t>4.</w:t>
      </w:r>
      <w:r>
        <w:rPr>
          <w:rFonts w:hint="eastAsia"/>
          <w:b/>
          <w:sz w:val="24"/>
        </w:rPr>
        <w:t>评审委员会有权对投标响应情况作出判断（作出评审结论）。</w:t>
      </w:r>
    </w:p>
    <w:p w14:paraId="44444844">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bookmarkEnd w:id="64"/>
    </w:p>
    <w:p w14:paraId="0A95377E">
      <w:pPr>
        <w:rPr>
          <w:sz w:val="24"/>
        </w:rPr>
      </w:pPr>
    </w:p>
    <w:p w14:paraId="197E87A3">
      <w:pPr>
        <w:pStyle w:val="3"/>
        <w:jc w:val="center"/>
        <w:rPr>
          <w:sz w:val="24"/>
        </w:rPr>
      </w:pPr>
      <w:r>
        <w:rPr>
          <w:rFonts w:hint="eastAsia" w:ascii="黑体" w:eastAsia="黑体"/>
          <w:b w:val="0"/>
          <w:sz w:val="24"/>
          <w:szCs w:val="24"/>
        </w:rPr>
        <w:t>四、技术要求偏离表</w:t>
      </w:r>
    </w:p>
    <w:tbl>
      <w:tblPr>
        <w:tblStyle w:val="43"/>
        <w:tblW w:w="8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
        <w:gridCol w:w="637"/>
        <w:gridCol w:w="5400"/>
        <w:gridCol w:w="1025"/>
        <w:gridCol w:w="663"/>
        <w:gridCol w:w="510"/>
      </w:tblGrid>
      <w:tr w14:paraId="27CB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27" w:type="dxa"/>
            <w:tcBorders>
              <w:top w:val="single" w:color="auto" w:sz="4" w:space="0"/>
              <w:left w:val="single" w:color="auto" w:sz="4" w:space="0"/>
              <w:bottom w:val="single" w:color="auto" w:sz="4" w:space="0"/>
              <w:right w:val="single" w:color="auto" w:sz="4" w:space="0"/>
            </w:tcBorders>
            <w:shd w:val="clear" w:color="auto" w:fill="auto"/>
            <w:vAlign w:val="center"/>
          </w:tcPr>
          <w:p w14:paraId="262627CC">
            <w:pPr>
              <w:jc w:val="center"/>
              <w:rPr>
                <w:szCs w:val="21"/>
              </w:rPr>
            </w:pPr>
            <w:r>
              <w:rPr>
                <w:rFonts w:hint="eastAsia" w:cs="宋体"/>
                <w:szCs w:val="21"/>
                <w:lang w:bidi="ar"/>
              </w:rPr>
              <w:t>序号</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20D17DB3">
            <w:pPr>
              <w:widowControl/>
              <w:jc w:val="center"/>
              <w:rPr>
                <w:szCs w:val="21"/>
              </w:rPr>
            </w:pPr>
            <w:r>
              <w:rPr>
                <w:rFonts w:hint="eastAsia" w:cs="宋体"/>
                <w:szCs w:val="21"/>
                <w:lang w:bidi="ar"/>
              </w:rPr>
              <w:t>货物名称</w:t>
            </w:r>
          </w:p>
        </w:tc>
        <w:tc>
          <w:tcPr>
            <w:tcW w:w="5400" w:type="dxa"/>
            <w:tcBorders>
              <w:top w:val="single" w:color="auto" w:sz="4" w:space="0"/>
              <w:left w:val="single" w:color="auto" w:sz="4" w:space="0"/>
              <w:bottom w:val="single" w:color="auto" w:sz="4" w:space="0"/>
              <w:right w:val="single" w:color="auto" w:sz="4" w:space="0"/>
            </w:tcBorders>
            <w:shd w:val="clear" w:color="auto" w:fill="auto"/>
            <w:vAlign w:val="center"/>
          </w:tcPr>
          <w:p w14:paraId="1FD00589">
            <w:pPr>
              <w:jc w:val="center"/>
              <w:rPr>
                <w:szCs w:val="21"/>
              </w:rPr>
            </w:pPr>
            <w:r>
              <w:rPr>
                <w:rFonts w:hint="eastAsia" w:cs="宋体"/>
                <w:szCs w:val="21"/>
                <w:lang w:bidi="ar"/>
              </w:rPr>
              <w:t>招标技术要求</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0A711384">
            <w:pPr>
              <w:jc w:val="center"/>
              <w:rPr>
                <w:rFonts w:cs="宋体"/>
                <w:szCs w:val="21"/>
                <w:lang w:bidi="ar"/>
              </w:rPr>
            </w:pPr>
            <w:r>
              <w:rPr>
                <w:rFonts w:hint="eastAsia" w:cs="宋体"/>
                <w:szCs w:val="21"/>
                <w:lang w:bidi="ar"/>
              </w:rPr>
              <w:t>投标技术响应</w:t>
            </w: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2F067204">
            <w:pPr>
              <w:jc w:val="center"/>
              <w:rPr>
                <w:rFonts w:cs="宋体"/>
                <w:szCs w:val="21"/>
                <w:lang w:bidi="ar"/>
              </w:rPr>
            </w:pPr>
            <w:r>
              <w:rPr>
                <w:rFonts w:hint="eastAsia" w:cs="宋体"/>
                <w:szCs w:val="21"/>
                <w:lang w:bidi="ar"/>
              </w:rPr>
              <w:t>偏离情况</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2550CCBC">
            <w:pPr>
              <w:jc w:val="center"/>
              <w:rPr>
                <w:rFonts w:cs="宋体"/>
                <w:szCs w:val="21"/>
                <w:lang w:bidi="ar"/>
              </w:rPr>
            </w:pPr>
            <w:r>
              <w:rPr>
                <w:rFonts w:hint="eastAsia" w:cs="宋体"/>
                <w:szCs w:val="21"/>
                <w:lang w:bidi="ar"/>
              </w:rPr>
              <w:t>说明</w:t>
            </w:r>
          </w:p>
        </w:tc>
      </w:tr>
      <w:tr w14:paraId="1C7D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DE41ED">
            <w:pPr>
              <w:jc w:val="center"/>
              <w:rPr>
                <w:bCs/>
                <w:szCs w:val="21"/>
              </w:rPr>
            </w:pPr>
            <w:r>
              <w:rPr>
                <w:bCs/>
                <w:szCs w:val="21"/>
                <w:lang w:bidi="ar"/>
              </w:rPr>
              <w:t>1</w:t>
            </w:r>
          </w:p>
        </w:tc>
        <w:tc>
          <w:tcPr>
            <w:tcW w:w="6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93E941">
            <w:pPr>
              <w:jc w:val="center"/>
              <w:rPr>
                <w:bCs/>
                <w:szCs w:val="21"/>
              </w:rPr>
            </w:pPr>
            <w:r>
              <w:rPr>
                <w:rFonts w:hint="eastAsia" w:cs="宋体"/>
                <w:bCs/>
                <w:szCs w:val="21"/>
                <w:lang w:bidi="ar"/>
              </w:rPr>
              <w:t>医用设备提升</w:t>
            </w:r>
            <w:r>
              <w:rPr>
                <w:bCs/>
                <w:szCs w:val="21"/>
                <w:lang w:bidi="ar"/>
              </w:rPr>
              <w:t>-</w:t>
            </w:r>
            <w:r>
              <w:rPr>
                <w:rFonts w:hint="eastAsia" w:cs="宋体"/>
                <w:bCs/>
                <w:szCs w:val="21"/>
                <w:lang w:bidi="ar"/>
              </w:rPr>
              <w:t>流式细胞分析仪一台</w:t>
            </w: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3E683961">
            <w:pPr>
              <w:rPr>
                <w:rFonts w:ascii="宋体" w:hAnsi="宋体" w:cs="宋体"/>
                <w:sz w:val="24"/>
              </w:rPr>
            </w:pPr>
            <w:r>
              <w:rPr>
                <w:rFonts w:hint="eastAsia" w:ascii="宋体" w:hAnsi="宋体" w:cs="宋体"/>
                <w:sz w:val="24"/>
                <w:lang w:bidi="ar"/>
              </w:rPr>
              <w:t>1.技术要求</w:t>
            </w:r>
          </w:p>
        </w:tc>
        <w:tc>
          <w:tcPr>
            <w:tcW w:w="1025" w:type="dxa"/>
            <w:tcBorders>
              <w:top w:val="single" w:color="auto" w:sz="4" w:space="0"/>
              <w:left w:val="single" w:color="auto" w:sz="4" w:space="0"/>
              <w:bottom w:val="single" w:color="auto" w:sz="4" w:space="0"/>
              <w:right w:val="single" w:color="auto" w:sz="4" w:space="0"/>
            </w:tcBorders>
            <w:shd w:val="clear" w:color="auto" w:fill="auto"/>
          </w:tcPr>
          <w:p w14:paraId="3F6E251D">
            <w:pPr>
              <w:rPr>
                <w:rFonts w:ascii="宋体" w:hAnsi="宋体" w:cs="宋体"/>
                <w:sz w:val="24"/>
                <w:lang w:bidi="ar"/>
              </w:rPr>
            </w:pPr>
          </w:p>
        </w:tc>
        <w:tc>
          <w:tcPr>
            <w:tcW w:w="663" w:type="dxa"/>
            <w:tcBorders>
              <w:top w:val="single" w:color="auto" w:sz="4" w:space="0"/>
              <w:left w:val="single" w:color="auto" w:sz="4" w:space="0"/>
              <w:bottom w:val="single" w:color="auto" w:sz="4" w:space="0"/>
              <w:right w:val="single" w:color="auto" w:sz="4" w:space="0"/>
            </w:tcBorders>
            <w:shd w:val="clear" w:color="auto" w:fill="auto"/>
          </w:tcPr>
          <w:p w14:paraId="7F92B26E">
            <w:pPr>
              <w:rPr>
                <w:rFonts w:ascii="宋体" w:hAnsi="宋体" w:cs="宋体"/>
                <w:sz w:val="24"/>
                <w:lang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tcPr>
          <w:p w14:paraId="39D4318E">
            <w:pPr>
              <w:rPr>
                <w:rFonts w:ascii="宋体" w:hAnsi="宋体" w:cs="宋体"/>
                <w:sz w:val="24"/>
                <w:lang w:bidi="ar"/>
              </w:rPr>
            </w:pPr>
          </w:p>
        </w:tc>
      </w:tr>
      <w:tr w14:paraId="57C2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BB451B">
            <w:pPr>
              <w:rPr>
                <w:sz w:val="20"/>
                <w:szCs w:val="20"/>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56D323">
            <w:pPr>
              <w:rPr>
                <w:sz w:val="20"/>
                <w:szCs w:val="20"/>
              </w:rPr>
            </w:pP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6EEE8D46">
            <w:pPr>
              <w:rPr>
                <w:b/>
                <w:color w:val="FF0000"/>
                <w:szCs w:val="21"/>
              </w:rPr>
            </w:pPr>
            <w:r>
              <w:rPr>
                <w:rFonts w:hint="eastAsia" w:ascii="宋体" w:hAnsi="宋体" w:cs="宋体"/>
                <w:b/>
                <w:color w:val="FF0000"/>
                <w:sz w:val="24"/>
                <w:lang w:bidi="ar"/>
              </w:rPr>
              <w:t xml:space="preserve">▲1.1激光配置:配置4根或以上激光器，必配激光波长：405nm、488nm、638nm、561nm，其中405nm激光功率≥80mW、488nm激光功率≥50mW、638nm激光功率≥50mW、561nm激光器≥30mW </w:t>
            </w:r>
            <w:r>
              <w:rPr>
                <w:rFonts w:hint="eastAsia" w:ascii="宋体" w:hAnsi="宋体" w:cs="宋体"/>
                <w:b/>
                <w:color w:val="FF0000"/>
                <w:szCs w:val="21"/>
                <w:lang w:bidi="ar"/>
              </w:rPr>
              <w:t>（要求提供产品彩页关键信息或产品制造商官网关键信息截图或实物图片（三者之一即可））</w:t>
            </w:r>
          </w:p>
        </w:tc>
        <w:tc>
          <w:tcPr>
            <w:tcW w:w="1025" w:type="dxa"/>
            <w:tcBorders>
              <w:top w:val="single" w:color="auto" w:sz="4" w:space="0"/>
              <w:left w:val="single" w:color="auto" w:sz="4" w:space="0"/>
              <w:bottom w:val="single" w:color="auto" w:sz="4" w:space="0"/>
              <w:right w:val="single" w:color="auto" w:sz="4" w:space="0"/>
            </w:tcBorders>
            <w:shd w:val="clear" w:color="auto" w:fill="auto"/>
          </w:tcPr>
          <w:p w14:paraId="50AEB309">
            <w:pPr>
              <w:rPr>
                <w:rFonts w:ascii="宋体" w:hAnsi="宋体" w:cs="宋体"/>
                <w:b/>
                <w:color w:val="FF0000"/>
                <w:sz w:val="24"/>
                <w:lang w:bidi="ar"/>
              </w:rPr>
            </w:pPr>
          </w:p>
        </w:tc>
        <w:tc>
          <w:tcPr>
            <w:tcW w:w="663" w:type="dxa"/>
            <w:tcBorders>
              <w:top w:val="single" w:color="auto" w:sz="4" w:space="0"/>
              <w:left w:val="single" w:color="auto" w:sz="4" w:space="0"/>
              <w:bottom w:val="single" w:color="auto" w:sz="4" w:space="0"/>
              <w:right w:val="single" w:color="auto" w:sz="4" w:space="0"/>
            </w:tcBorders>
            <w:shd w:val="clear" w:color="auto" w:fill="auto"/>
          </w:tcPr>
          <w:p w14:paraId="59173CCE">
            <w:pPr>
              <w:rPr>
                <w:rFonts w:ascii="宋体" w:hAnsi="宋体" w:cs="宋体"/>
                <w:b/>
                <w:color w:val="FF0000"/>
                <w:sz w:val="24"/>
                <w:lang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tcPr>
          <w:p w14:paraId="6B849130">
            <w:pPr>
              <w:rPr>
                <w:rFonts w:ascii="宋体" w:hAnsi="宋体" w:cs="宋体"/>
                <w:b/>
                <w:color w:val="FF0000"/>
                <w:sz w:val="24"/>
                <w:lang w:bidi="ar"/>
              </w:rPr>
            </w:pPr>
          </w:p>
        </w:tc>
      </w:tr>
      <w:tr w14:paraId="4F27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D68585">
            <w:pPr>
              <w:rPr>
                <w:sz w:val="20"/>
                <w:szCs w:val="20"/>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CD2CB7">
            <w:pPr>
              <w:rPr>
                <w:sz w:val="20"/>
                <w:szCs w:val="20"/>
              </w:rPr>
            </w:pP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1E392374">
            <w:pPr>
              <w:rPr>
                <w:rFonts w:ascii="宋体" w:hAnsi="宋体" w:cs="宋体"/>
                <w:sz w:val="24"/>
              </w:rPr>
            </w:pPr>
            <w:r>
              <w:rPr>
                <w:rFonts w:hint="eastAsia" w:ascii="宋体" w:hAnsi="宋体" w:cs="宋体"/>
                <w:sz w:val="24"/>
                <w:lang w:bidi="ar"/>
              </w:rPr>
              <w:t>1.2荧光通道：具备FS、SS及13个或13个以上荧光检测器</w:t>
            </w:r>
          </w:p>
        </w:tc>
        <w:tc>
          <w:tcPr>
            <w:tcW w:w="1025" w:type="dxa"/>
            <w:tcBorders>
              <w:top w:val="single" w:color="auto" w:sz="4" w:space="0"/>
              <w:left w:val="single" w:color="auto" w:sz="4" w:space="0"/>
              <w:bottom w:val="single" w:color="auto" w:sz="4" w:space="0"/>
              <w:right w:val="single" w:color="auto" w:sz="4" w:space="0"/>
            </w:tcBorders>
            <w:shd w:val="clear" w:color="auto" w:fill="auto"/>
          </w:tcPr>
          <w:p w14:paraId="1111CABF">
            <w:pPr>
              <w:rPr>
                <w:rFonts w:ascii="宋体" w:hAnsi="宋体" w:cs="宋体"/>
                <w:sz w:val="24"/>
                <w:lang w:bidi="ar"/>
              </w:rPr>
            </w:pPr>
          </w:p>
        </w:tc>
        <w:tc>
          <w:tcPr>
            <w:tcW w:w="663" w:type="dxa"/>
            <w:tcBorders>
              <w:top w:val="single" w:color="auto" w:sz="4" w:space="0"/>
              <w:left w:val="single" w:color="auto" w:sz="4" w:space="0"/>
              <w:bottom w:val="single" w:color="auto" w:sz="4" w:space="0"/>
              <w:right w:val="single" w:color="auto" w:sz="4" w:space="0"/>
            </w:tcBorders>
            <w:shd w:val="clear" w:color="auto" w:fill="auto"/>
          </w:tcPr>
          <w:p w14:paraId="729BBE4D">
            <w:pPr>
              <w:rPr>
                <w:rFonts w:ascii="宋体" w:hAnsi="宋体" w:cs="宋体"/>
                <w:sz w:val="24"/>
                <w:lang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tcPr>
          <w:p w14:paraId="5BE083A9">
            <w:pPr>
              <w:rPr>
                <w:rFonts w:ascii="宋体" w:hAnsi="宋体" w:cs="宋体"/>
                <w:sz w:val="24"/>
                <w:lang w:bidi="ar"/>
              </w:rPr>
            </w:pPr>
          </w:p>
        </w:tc>
      </w:tr>
      <w:tr w14:paraId="4C3C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3AE577">
            <w:pPr>
              <w:rPr>
                <w:sz w:val="20"/>
                <w:szCs w:val="20"/>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81E29E">
            <w:pPr>
              <w:rPr>
                <w:sz w:val="20"/>
                <w:szCs w:val="20"/>
              </w:rPr>
            </w:pP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7DDF9FCF">
            <w:pPr>
              <w:rPr>
                <w:bCs/>
                <w:szCs w:val="21"/>
              </w:rPr>
            </w:pPr>
            <w:r>
              <w:rPr>
                <w:rFonts w:hint="eastAsia" w:ascii="宋体" w:hAnsi="宋体" w:cs="宋体"/>
                <w:sz w:val="24"/>
                <w:lang w:bidi="ar"/>
              </w:rPr>
              <w:t>1.3激光光路固化，无需人工调试校正光路，多波长激光可选，各荧光通道对应单独的检测器，无共用通道</w:t>
            </w:r>
          </w:p>
        </w:tc>
        <w:tc>
          <w:tcPr>
            <w:tcW w:w="1025" w:type="dxa"/>
            <w:tcBorders>
              <w:top w:val="single" w:color="auto" w:sz="4" w:space="0"/>
              <w:left w:val="single" w:color="auto" w:sz="4" w:space="0"/>
              <w:bottom w:val="single" w:color="auto" w:sz="4" w:space="0"/>
              <w:right w:val="single" w:color="auto" w:sz="4" w:space="0"/>
            </w:tcBorders>
            <w:shd w:val="clear" w:color="auto" w:fill="auto"/>
          </w:tcPr>
          <w:p w14:paraId="0702D54B">
            <w:pPr>
              <w:rPr>
                <w:rFonts w:ascii="宋体" w:hAnsi="宋体" w:cs="宋体"/>
                <w:sz w:val="24"/>
                <w:lang w:bidi="ar"/>
              </w:rPr>
            </w:pPr>
          </w:p>
        </w:tc>
        <w:tc>
          <w:tcPr>
            <w:tcW w:w="663" w:type="dxa"/>
            <w:tcBorders>
              <w:top w:val="single" w:color="auto" w:sz="4" w:space="0"/>
              <w:left w:val="single" w:color="auto" w:sz="4" w:space="0"/>
              <w:bottom w:val="single" w:color="auto" w:sz="4" w:space="0"/>
              <w:right w:val="single" w:color="auto" w:sz="4" w:space="0"/>
            </w:tcBorders>
            <w:shd w:val="clear" w:color="auto" w:fill="auto"/>
          </w:tcPr>
          <w:p w14:paraId="12BD52EC">
            <w:pPr>
              <w:rPr>
                <w:rFonts w:ascii="宋体" w:hAnsi="宋体" w:cs="宋体"/>
                <w:sz w:val="24"/>
                <w:lang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tcPr>
          <w:p w14:paraId="0422F5D0">
            <w:pPr>
              <w:rPr>
                <w:rFonts w:ascii="宋体" w:hAnsi="宋体" w:cs="宋体"/>
                <w:sz w:val="24"/>
                <w:lang w:bidi="ar"/>
              </w:rPr>
            </w:pPr>
          </w:p>
        </w:tc>
      </w:tr>
      <w:tr w14:paraId="001D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F85F75">
            <w:pPr>
              <w:rPr>
                <w:sz w:val="20"/>
                <w:szCs w:val="20"/>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72EBA2">
            <w:pPr>
              <w:rPr>
                <w:sz w:val="20"/>
                <w:szCs w:val="20"/>
              </w:rPr>
            </w:pP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49C6A7C7">
            <w:pPr>
              <w:rPr>
                <w:bCs/>
                <w:szCs w:val="21"/>
              </w:rPr>
            </w:pPr>
            <w:r>
              <w:rPr>
                <w:rFonts w:hint="eastAsia" w:ascii="宋体" w:hAnsi="宋体" w:cs="宋体"/>
                <w:sz w:val="24"/>
                <w:lang w:bidi="ar"/>
              </w:rPr>
              <w:t>1.4不少于13种组合光学滤光片，滤光片无需固定位置，可自由插拔式更换，无需专业工程师校准光路，用户可根据应用需要随时更换</w:t>
            </w:r>
          </w:p>
        </w:tc>
        <w:tc>
          <w:tcPr>
            <w:tcW w:w="1025" w:type="dxa"/>
            <w:tcBorders>
              <w:top w:val="single" w:color="auto" w:sz="4" w:space="0"/>
              <w:left w:val="single" w:color="auto" w:sz="4" w:space="0"/>
              <w:bottom w:val="single" w:color="auto" w:sz="4" w:space="0"/>
              <w:right w:val="single" w:color="auto" w:sz="4" w:space="0"/>
            </w:tcBorders>
            <w:shd w:val="clear" w:color="auto" w:fill="auto"/>
          </w:tcPr>
          <w:p w14:paraId="651F55EE">
            <w:pPr>
              <w:rPr>
                <w:rFonts w:ascii="宋体" w:hAnsi="宋体" w:cs="宋体"/>
                <w:sz w:val="24"/>
                <w:lang w:bidi="ar"/>
              </w:rPr>
            </w:pPr>
          </w:p>
        </w:tc>
        <w:tc>
          <w:tcPr>
            <w:tcW w:w="663" w:type="dxa"/>
            <w:tcBorders>
              <w:top w:val="single" w:color="auto" w:sz="4" w:space="0"/>
              <w:left w:val="single" w:color="auto" w:sz="4" w:space="0"/>
              <w:bottom w:val="single" w:color="auto" w:sz="4" w:space="0"/>
              <w:right w:val="single" w:color="auto" w:sz="4" w:space="0"/>
            </w:tcBorders>
            <w:shd w:val="clear" w:color="auto" w:fill="auto"/>
          </w:tcPr>
          <w:p w14:paraId="7E308717">
            <w:pPr>
              <w:rPr>
                <w:rFonts w:ascii="宋体" w:hAnsi="宋体" w:cs="宋体"/>
                <w:sz w:val="24"/>
                <w:lang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tcPr>
          <w:p w14:paraId="26BB7252">
            <w:pPr>
              <w:rPr>
                <w:rFonts w:ascii="宋体" w:hAnsi="宋体" w:cs="宋体"/>
                <w:sz w:val="24"/>
                <w:lang w:bidi="ar"/>
              </w:rPr>
            </w:pPr>
          </w:p>
        </w:tc>
      </w:tr>
      <w:tr w14:paraId="3912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2E896D">
            <w:pPr>
              <w:rPr>
                <w:sz w:val="20"/>
                <w:szCs w:val="20"/>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5AD2DF">
            <w:pPr>
              <w:rPr>
                <w:sz w:val="20"/>
                <w:szCs w:val="20"/>
              </w:rPr>
            </w:pP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315886AC">
            <w:pPr>
              <w:rPr>
                <w:bCs/>
                <w:szCs w:val="21"/>
              </w:rPr>
            </w:pPr>
            <w:r>
              <w:rPr>
                <w:rFonts w:hint="eastAsia" w:ascii="宋体" w:hAnsi="宋体" w:cs="宋体"/>
                <w:sz w:val="24"/>
                <w:lang w:bidi="ar"/>
              </w:rPr>
              <w:t>1.5分析速度：≥30,000个细胞/秒</w:t>
            </w:r>
          </w:p>
        </w:tc>
        <w:tc>
          <w:tcPr>
            <w:tcW w:w="1025" w:type="dxa"/>
            <w:tcBorders>
              <w:top w:val="single" w:color="auto" w:sz="4" w:space="0"/>
              <w:left w:val="single" w:color="auto" w:sz="4" w:space="0"/>
              <w:bottom w:val="single" w:color="auto" w:sz="4" w:space="0"/>
              <w:right w:val="single" w:color="auto" w:sz="4" w:space="0"/>
            </w:tcBorders>
            <w:shd w:val="clear" w:color="auto" w:fill="auto"/>
          </w:tcPr>
          <w:p w14:paraId="2C333706">
            <w:pPr>
              <w:rPr>
                <w:rFonts w:ascii="宋体" w:hAnsi="宋体" w:cs="宋体"/>
                <w:sz w:val="24"/>
                <w:lang w:bidi="ar"/>
              </w:rPr>
            </w:pPr>
          </w:p>
        </w:tc>
        <w:tc>
          <w:tcPr>
            <w:tcW w:w="663" w:type="dxa"/>
            <w:tcBorders>
              <w:top w:val="single" w:color="auto" w:sz="4" w:space="0"/>
              <w:left w:val="single" w:color="auto" w:sz="4" w:space="0"/>
              <w:bottom w:val="single" w:color="auto" w:sz="4" w:space="0"/>
              <w:right w:val="single" w:color="auto" w:sz="4" w:space="0"/>
            </w:tcBorders>
            <w:shd w:val="clear" w:color="auto" w:fill="auto"/>
          </w:tcPr>
          <w:p w14:paraId="43D2A00B">
            <w:pPr>
              <w:rPr>
                <w:rFonts w:ascii="宋体" w:hAnsi="宋体" w:cs="宋体"/>
                <w:sz w:val="24"/>
                <w:lang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tcPr>
          <w:p w14:paraId="0252AF0D">
            <w:pPr>
              <w:rPr>
                <w:rFonts w:ascii="宋体" w:hAnsi="宋体" w:cs="宋体"/>
                <w:sz w:val="24"/>
                <w:lang w:bidi="ar"/>
              </w:rPr>
            </w:pPr>
          </w:p>
        </w:tc>
      </w:tr>
      <w:tr w14:paraId="3A90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3501B5">
            <w:pPr>
              <w:rPr>
                <w:sz w:val="20"/>
                <w:szCs w:val="20"/>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8F3AF2">
            <w:pPr>
              <w:rPr>
                <w:sz w:val="20"/>
                <w:szCs w:val="20"/>
              </w:rPr>
            </w:pP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7ED5269C">
            <w:pPr>
              <w:rPr>
                <w:b/>
                <w:szCs w:val="21"/>
              </w:rPr>
            </w:pPr>
            <w:r>
              <w:rPr>
                <w:rFonts w:hint="eastAsia" w:ascii="宋体" w:hAnsi="宋体" w:cs="宋体"/>
                <w:b/>
                <w:color w:val="FF0000"/>
                <w:sz w:val="24"/>
                <w:lang w:bidi="ar"/>
              </w:rPr>
              <w:t>▲1.6荧光检测灵敏度：FITC：≤30MESF、PE：≤10MESF</w:t>
            </w:r>
            <w:r>
              <w:rPr>
                <w:rFonts w:hint="eastAsia" w:ascii="宋体" w:hAnsi="宋体" w:cs="宋体"/>
                <w:b/>
                <w:color w:val="FF0000"/>
                <w:szCs w:val="21"/>
                <w:lang w:bidi="ar"/>
              </w:rPr>
              <w:t>（要求提供产品彩页关键信息或产品制造商官网关键信息截图或实物图片（三者之一即可））</w:t>
            </w:r>
          </w:p>
        </w:tc>
        <w:tc>
          <w:tcPr>
            <w:tcW w:w="1025" w:type="dxa"/>
            <w:tcBorders>
              <w:top w:val="single" w:color="auto" w:sz="4" w:space="0"/>
              <w:left w:val="single" w:color="auto" w:sz="4" w:space="0"/>
              <w:bottom w:val="single" w:color="auto" w:sz="4" w:space="0"/>
              <w:right w:val="single" w:color="auto" w:sz="4" w:space="0"/>
            </w:tcBorders>
            <w:shd w:val="clear" w:color="auto" w:fill="auto"/>
          </w:tcPr>
          <w:p w14:paraId="52372090">
            <w:pPr>
              <w:rPr>
                <w:rFonts w:ascii="宋体" w:hAnsi="宋体" w:cs="宋体"/>
                <w:b/>
                <w:color w:val="FF0000"/>
                <w:sz w:val="24"/>
                <w:lang w:bidi="ar"/>
              </w:rPr>
            </w:pPr>
          </w:p>
        </w:tc>
        <w:tc>
          <w:tcPr>
            <w:tcW w:w="663" w:type="dxa"/>
            <w:tcBorders>
              <w:top w:val="single" w:color="auto" w:sz="4" w:space="0"/>
              <w:left w:val="single" w:color="auto" w:sz="4" w:space="0"/>
              <w:bottom w:val="single" w:color="auto" w:sz="4" w:space="0"/>
              <w:right w:val="single" w:color="auto" w:sz="4" w:space="0"/>
            </w:tcBorders>
            <w:shd w:val="clear" w:color="auto" w:fill="auto"/>
          </w:tcPr>
          <w:p w14:paraId="27E911C0">
            <w:pPr>
              <w:rPr>
                <w:rFonts w:ascii="宋体" w:hAnsi="宋体" w:cs="宋体"/>
                <w:b/>
                <w:color w:val="FF0000"/>
                <w:sz w:val="24"/>
                <w:lang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tcPr>
          <w:p w14:paraId="335AB9A2">
            <w:pPr>
              <w:rPr>
                <w:rFonts w:ascii="宋体" w:hAnsi="宋体" w:cs="宋体"/>
                <w:b/>
                <w:color w:val="FF0000"/>
                <w:sz w:val="24"/>
                <w:lang w:bidi="ar"/>
              </w:rPr>
            </w:pPr>
          </w:p>
        </w:tc>
      </w:tr>
      <w:tr w14:paraId="2C74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3D0418">
            <w:pPr>
              <w:rPr>
                <w:sz w:val="20"/>
                <w:szCs w:val="20"/>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D2EF40">
            <w:pPr>
              <w:rPr>
                <w:sz w:val="20"/>
                <w:szCs w:val="20"/>
              </w:rPr>
            </w:pP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0F313E9F">
            <w:pPr>
              <w:rPr>
                <w:b/>
                <w:color w:val="FF0000"/>
                <w:szCs w:val="21"/>
              </w:rPr>
            </w:pPr>
            <w:r>
              <w:rPr>
                <w:rFonts w:hint="eastAsia" w:ascii="宋体" w:hAnsi="宋体" w:cs="宋体"/>
                <w:b/>
                <w:color w:val="FF0000"/>
                <w:sz w:val="24"/>
                <w:lang w:bidi="ar"/>
              </w:rPr>
              <w:t>▲1.7可任选488nm或405nm作为侧向散射光光源，405nm激光侧向散射光分辨率 (VSSC)：&lt;80 nm</w:t>
            </w:r>
            <w:r>
              <w:rPr>
                <w:rFonts w:hint="eastAsia" w:ascii="宋体" w:hAnsi="宋体" w:cs="宋体"/>
                <w:b/>
                <w:color w:val="FF0000"/>
                <w:szCs w:val="21"/>
                <w:lang w:bidi="ar"/>
              </w:rPr>
              <w:t>（要求提供产品彩页关键信息或产品制造商官网关键信息截图或实物图片（三者之一即可））</w:t>
            </w:r>
          </w:p>
        </w:tc>
        <w:tc>
          <w:tcPr>
            <w:tcW w:w="1025" w:type="dxa"/>
            <w:tcBorders>
              <w:top w:val="single" w:color="auto" w:sz="4" w:space="0"/>
              <w:left w:val="single" w:color="auto" w:sz="4" w:space="0"/>
              <w:bottom w:val="single" w:color="auto" w:sz="4" w:space="0"/>
              <w:right w:val="single" w:color="auto" w:sz="4" w:space="0"/>
            </w:tcBorders>
            <w:shd w:val="clear" w:color="auto" w:fill="auto"/>
          </w:tcPr>
          <w:p w14:paraId="6F3C2177">
            <w:pPr>
              <w:rPr>
                <w:rFonts w:ascii="宋体" w:hAnsi="宋体" w:cs="宋体"/>
                <w:b/>
                <w:color w:val="FF0000"/>
                <w:sz w:val="24"/>
                <w:lang w:bidi="ar"/>
              </w:rPr>
            </w:pPr>
          </w:p>
        </w:tc>
        <w:tc>
          <w:tcPr>
            <w:tcW w:w="663" w:type="dxa"/>
            <w:tcBorders>
              <w:top w:val="single" w:color="auto" w:sz="4" w:space="0"/>
              <w:left w:val="single" w:color="auto" w:sz="4" w:space="0"/>
              <w:bottom w:val="single" w:color="auto" w:sz="4" w:space="0"/>
              <w:right w:val="single" w:color="auto" w:sz="4" w:space="0"/>
            </w:tcBorders>
            <w:shd w:val="clear" w:color="auto" w:fill="auto"/>
          </w:tcPr>
          <w:p w14:paraId="70DCCBE9">
            <w:pPr>
              <w:rPr>
                <w:rFonts w:ascii="宋体" w:hAnsi="宋体" w:cs="宋体"/>
                <w:b/>
                <w:color w:val="FF0000"/>
                <w:sz w:val="24"/>
                <w:lang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tcPr>
          <w:p w14:paraId="6187A93F">
            <w:pPr>
              <w:rPr>
                <w:rFonts w:ascii="宋体" w:hAnsi="宋体" w:cs="宋体"/>
                <w:b/>
                <w:color w:val="FF0000"/>
                <w:sz w:val="24"/>
                <w:lang w:bidi="ar"/>
              </w:rPr>
            </w:pPr>
          </w:p>
        </w:tc>
      </w:tr>
      <w:tr w14:paraId="1745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74AE00">
            <w:pPr>
              <w:rPr>
                <w:sz w:val="20"/>
                <w:szCs w:val="20"/>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43FD1C">
            <w:pPr>
              <w:rPr>
                <w:sz w:val="20"/>
                <w:szCs w:val="20"/>
              </w:rPr>
            </w:pP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2351DD1C">
            <w:pPr>
              <w:rPr>
                <w:rFonts w:ascii="宋体" w:hAnsi="宋体" w:cs="宋体"/>
                <w:sz w:val="24"/>
              </w:rPr>
            </w:pPr>
            <w:r>
              <w:rPr>
                <w:rFonts w:hint="eastAsia" w:ascii="宋体" w:hAnsi="宋体" w:cs="宋体"/>
                <w:sz w:val="24"/>
                <w:lang w:bidi="ar"/>
              </w:rPr>
              <w:t>1.8电压可调(非不能调节电压的免调电压设计)，具有手动调节和自动调节功能，补偿可随电压的调整自动调整</w:t>
            </w:r>
          </w:p>
        </w:tc>
        <w:tc>
          <w:tcPr>
            <w:tcW w:w="1025" w:type="dxa"/>
            <w:tcBorders>
              <w:top w:val="single" w:color="auto" w:sz="4" w:space="0"/>
              <w:left w:val="single" w:color="auto" w:sz="4" w:space="0"/>
              <w:bottom w:val="single" w:color="auto" w:sz="4" w:space="0"/>
              <w:right w:val="single" w:color="auto" w:sz="4" w:space="0"/>
            </w:tcBorders>
            <w:shd w:val="clear" w:color="auto" w:fill="auto"/>
          </w:tcPr>
          <w:p w14:paraId="169C4F05">
            <w:pPr>
              <w:rPr>
                <w:rFonts w:ascii="宋体" w:hAnsi="宋体" w:cs="宋体"/>
                <w:sz w:val="24"/>
                <w:lang w:bidi="ar"/>
              </w:rPr>
            </w:pPr>
          </w:p>
        </w:tc>
        <w:tc>
          <w:tcPr>
            <w:tcW w:w="663" w:type="dxa"/>
            <w:tcBorders>
              <w:top w:val="single" w:color="auto" w:sz="4" w:space="0"/>
              <w:left w:val="single" w:color="auto" w:sz="4" w:space="0"/>
              <w:bottom w:val="single" w:color="auto" w:sz="4" w:space="0"/>
              <w:right w:val="single" w:color="auto" w:sz="4" w:space="0"/>
            </w:tcBorders>
            <w:shd w:val="clear" w:color="auto" w:fill="auto"/>
          </w:tcPr>
          <w:p w14:paraId="0590301D">
            <w:pPr>
              <w:rPr>
                <w:rFonts w:ascii="宋体" w:hAnsi="宋体" w:cs="宋体"/>
                <w:sz w:val="24"/>
                <w:lang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tcPr>
          <w:p w14:paraId="07926BFB">
            <w:pPr>
              <w:rPr>
                <w:rFonts w:ascii="宋体" w:hAnsi="宋体" w:cs="宋体"/>
                <w:sz w:val="24"/>
                <w:lang w:bidi="ar"/>
              </w:rPr>
            </w:pPr>
          </w:p>
        </w:tc>
      </w:tr>
      <w:tr w14:paraId="6633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C69DA0">
            <w:pPr>
              <w:rPr>
                <w:sz w:val="20"/>
                <w:szCs w:val="20"/>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99F445">
            <w:pPr>
              <w:rPr>
                <w:sz w:val="20"/>
                <w:szCs w:val="20"/>
              </w:rPr>
            </w:pP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7E3CB92E">
            <w:pPr>
              <w:rPr>
                <w:rFonts w:ascii="宋体" w:hAnsi="宋体" w:cs="宋体"/>
                <w:sz w:val="24"/>
              </w:rPr>
            </w:pPr>
            <w:r>
              <w:rPr>
                <w:rFonts w:hint="eastAsia" w:ascii="宋体" w:hAnsi="宋体" w:cs="宋体"/>
                <w:sz w:val="24"/>
                <w:lang w:bidi="ar"/>
              </w:rPr>
              <w:t>1.9可通过样本体积测定实现无微球绝对计数</w:t>
            </w:r>
          </w:p>
        </w:tc>
        <w:tc>
          <w:tcPr>
            <w:tcW w:w="1025" w:type="dxa"/>
            <w:tcBorders>
              <w:top w:val="single" w:color="auto" w:sz="4" w:space="0"/>
              <w:left w:val="single" w:color="auto" w:sz="4" w:space="0"/>
              <w:bottom w:val="single" w:color="auto" w:sz="4" w:space="0"/>
              <w:right w:val="single" w:color="auto" w:sz="4" w:space="0"/>
            </w:tcBorders>
            <w:shd w:val="clear" w:color="auto" w:fill="auto"/>
          </w:tcPr>
          <w:p w14:paraId="7A9909CD">
            <w:pPr>
              <w:rPr>
                <w:rFonts w:ascii="宋体" w:hAnsi="宋体" w:cs="宋体"/>
                <w:sz w:val="24"/>
                <w:lang w:bidi="ar"/>
              </w:rPr>
            </w:pPr>
          </w:p>
        </w:tc>
        <w:tc>
          <w:tcPr>
            <w:tcW w:w="663" w:type="dxa"/>
            <w:tcBorders>
              <w:top w:val="single" w:color="auto" w:sz="4" w:space="0"/>
              <w:left w:val="single" w:color="auto" w:sz="4" w:space="0"/>
              <w:bottom w:val="single" w:color="auto" w:sz="4" w:space="0"/>
              <w:right w:val="single" w:color="auto" w:sz="4" w:space="0"/>
            </w:tcBorders>
            <w:shd w:val="clear" w:color="auto" w:fill="auto"/>
          </w:tcPr>
          <w:p w14:paraId="5C19F37C">
            <w:pPr>
              <w:rPr>
                <w:rFonts w:ascii="宋体" w:hAnsi="宋体" w:cs="宋体"/>
                <w:sz w:val="24"/>
                <w:lang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tcPr>
          <w:p w14:paraId="6A9EB92E">
            <w:pPr>
              <w:rPr>
                <w:rFonts w:ascii="宋体" w:hAnsi="宋体" w:cs="宋体"/>
                <w:sz w:val="24"/>
                <w:lang w:bidi="ar"/>
              </w:rPr>
            </w:pPr>
          </w:p>
        </w:tc>
      </w:tr>
      <w:tr w14:paraId="4E35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31264B">
            <w:pPr>
              <w:rPr>
                <w:sz w:val="20"/>
                <w:szCs w:val="20"/>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96E9F6">
            <w:pPr>
              <w:rPr>
                <w:sz w:val="20"/>
                <w:szCs w:val="20"/>
              </w:rPr>
            </w:pP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209A2643">
            <w:pPr>
              <w:rPr>
                <w:rFonts w:ascii="宋体" w:hAnsi="宋体" w:cs="宋体"/>
                <w:sz w:val="24"/>
              </w:rPr>
            </w:pPr>
            <w:r>
              <w:rPr>
                <w:rFonts w:hint="eastAsia" w:ascii="宋体" w:hAnsi="宋体" w:cs="宋体"/>
                <w:sz w:val="24"/>
                <w:lang w:bidi="ar"/>
              </w:rPr>
              <w:t>1.10可检测所有通道的脉冲面积、高度参数及选定通道的宽度参数</w:t>
            </w:r>
          </w:p>
        </w:tc>
        <w:tc>
          <w:tcPr>
            <w:tcW w:w="1025" w:type="dxa"/>
            <w:tcBorders>
              <w:top w:val="single" w:color="auto" w:sz="4" w:space="0"/>
              <w:left w:val="single" w:color="auto" w:sz="4" w:space="0"/>
              <w:bottom w:val="single" w:color="auto" w:sz="4" w:space="0"/>
              <w:right w:val="single" w:color="auto" w:sz="4" w:space="0"/>
            </w:tcBorders>
            <w:shd w:val="clear" w:color="auto" w:fill="auto"/>
          </w:tcPr>
          <w:p w14:paraId="54BA8C0A">
            <w:pPr>
              <w:rPr>
                <w:rFonts w:ascii="宋体" w:hAnsi="宋体" w:cs="宋体"/>
                <w:sz w:val="24"/>
                <w:lang w:bidi="ar"/>
              </w:rPr>
            </w:pPr>
          </w:p>
        </w:tc>
        <w:tc>
          <w:tcPr>
            <w:tcW w:w="663" w:type="dxa"/>
            <w:tcBorders>
              <w:top w:val="single" w:color="auto" w:sz="4" w:space="0"/>
              <w:left w:val="single" w:color="auto" w:sz="4" w:space="0"/>
              <w:bottom w:val="single" w:color="auto" w:sz="4" w:space="0"/>
              <w:right w:val="single" w:color="auto" w:sz="4" w:space="0"/>
            </w:tcBorders>
            <w:shd w:val="clear" w:color="auto" w:fill="auto"/>
          </w:tcPr>
          <w:p w14:paraId="139B4236">
            <w:pPr>
              <w:rPr>
                <w:rFonts w:ascii="宋体" w:hAnsi="宋体" w:cs="宋体"/>
                <w:sz w:val="24"/>
                <w:lang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tcPr>
          <w:p w14:paraId="4647DEA5">
            <w:pPr>
              <w:rPr>
                <w:rFonts w:ascii="宋体" w:hAnsi="宋体" w:cs="宋体"/>
                <w:sz w:val="24"/>
                <w:lang w:bidi="ar"/>
              </w:rPr>
            </w:pPr>
          </w:p>
        </w:tc>
      </w:tr>
      <w:tr w14:paraId="1090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64116E">
            <w:pPr>
              <w:rPr>
                <w:sz w:val="20"/>
                <w:szCs w:val="20"/>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FDAA36">
            <w:pPr>
              <w:rPr>
                <w:sz w:val="20"/>
                <w:szCs w:val="20"/>
              </w:rPr>
            </w:pP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2477C01F">
            <w:pPr>
              <w:rPr>
                <w:rFonts w:ascii="宋体" w:hAnsi="宋体" w:cs="宋体"/>
                <w:sz w:val="24"/>
              </w:rPr>
            </w:pPr>
            <w:r>
              <w:rPr>
                <w:rFonts w:hint="eastAsia" w:ascii="宋体" w:hAnsi="宋体" w:cs="宋体"/>
                <w:sz w:val="24"/>
                <w:lang w:bidi="ar"/>
              </w:rPr>
              <w:t>1.11信号动态线性范围：≥7个对数阈</w:t>
            </w:r>
          </w:p>
        </w:tc>
        <w:tc>
          <w:tcPr>
            <w:tcW w:w="1025" w:type="dxa"/>
            <w:tcBorders>
              <w:top w:val="single" w:color="auto" w:sz="4" w:space="0"/>
              <w:left w:val="single" w:color="auto" w:sz="4" w:space="0"/>
              <w:bottom w:val="single" w:color="auto" w:sz="4" w:space="0"/>
              <w:right w:val="single" w:color="auto" w:sz="4" w:space="0"/>
            </w:tcBorders>
            <w:shd w:val="clear" w:color="auto" w:fill="auto"/>
          </w:tcPr>
          <w:p w14:paraId="21122B52">
            <w:pPr>
              <w:rPr>
                <w:rFonts w:ascii="宋体" w:hAnsi="宋体" w:cs="宋体"/>
                <w:sz w:val="24"/>
                <w:lang w:bidi="ar"/>
              </w:rPr>
            </w:pPr>
          </w:p>
        </w:tc>
        <w:tc>
          <w:tcPr>
            <w:tcW w:w="663" w:type="dxa"/>
            <w:tcBorders>
              <w:top w:val="single" w:color="auto" w:sz="4" w:space="0"/>
              <w:left w:val="single" w:color="auto" w:sz="4" w:space="0"/>
              <w:bottom w:val="single" w:color="auto" w:sz="4" w:space="0"/>
              <w:right w:val="single" w:color="auto" w:sz="4" w:space="0"/>
            </w:tcBorders>
            <w:shd w:val="clear" w:color="auto" w:fill="auto"/>
          </w:tcPr>
          <w:p w14:paraId="5114BC42">
            <w:pPr>
              <w:rPr>
                <w:rFonts w:ascii="宋体" w:hAnsi="宋体" w:cs="宋体"/>
                <w:sz w:val="24"/>
                <w:lang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tcPr>
          <w:p w14:paraId="23871728">
            <w:pPr>
              <w:rPr>
                <w:rFonts w:ascii="宋体" w:hAnsi="宋体" w:cs="宋体"/>
                <w:sz w:val="24"/>
                <w:lang w:bidi="ar"/>
              </w:rPr>
            </w:pPr>
          </w:p>
        </w:tc>
      </w:tr>
      <w:tr w14:paraId="5405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FF2F83">
            <w:pPr>
              <w:rPr>
                <w:sz w:val="20"/>
                <w:szCs w:val="20"/>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CE78C7">
            <w:pPr>
              <w:rPr>
                <w:sz w:val="20"/>
                <w:szCs w:val="20"/>
              </w:rPr>
            </w:pP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4CFC2903">
            <w:pPr>
              <w:rPr>
                <w:rFonts w:ascii="宋体" w:hAnsi="宋体" w:cs="宋体"/>
                <w:sz w:val="24"/>
              </w:rPr>
            </w:pPr>
            <w:r>
              <w:rPr>
                <w:rFonts w:hint="eastAsia" w:ascii="宋体" w:hAnsi="宋体" w:cs="宋体"/>
                <w:b/>
                <w:color w:val="FF0000"/>
                <w:sz w:val="24"/>
                <w:lang w:bidi="ar"/>
              </w:rPr>
              <w:t>▲1.12荧光补偿：全矩阵荧光补偿，可脱机补偿，离线分析，具有补偿库功能，每次实验重复做单染实验</w:t>
            </w:r>
            <w:r>
              <w:rPr>
                <w:rFonts w:hint="eastAsia" w:ascii="宋体" w:hAnsi="宋体" w:cs="宋体"/>
                <w:b/>
                <w:color w:val="FF0000"/>
                <w:szCs w:val="21"/>
                <w:lang w:bidi="ar"/>
              </w:rPr>
              <w:t>（要求提供产品彩页关键信息或产品制造商官网关键信息截图或实物图片（三者之一即可））</w:t>
            </w:r>
          </w:p>
        </w:tc>
        <w:tc>
          <w:tcPr>
            <w:tcW w:w="1025" w:type="dxa"/>
            <w:tcBorders>
              <w:top w:val="single" w:color="auto" w:sz="4" w:space="0"/>
              <w:left w:val="single" w:color="auto" w:sz="4" w:space="0"/>
              <w:bottom w:val="single" w:color="auto" w:sz="4" w:space="0"/>
              <w:right w:val="single" w:color="auto" w:sz="4" w:space="0"/>
            </w:tcBorders>
            <w:shd w:val="clear" w:color="auto" w:fill="auto"/>
          </w:tcPr>
          <w:p w14:paraId="00BE23D9">
            <w:pPr>
              <w:rPr>
                <w:rFonts w:ascii="宋体" w:hAnsi="宋体" w:cs="宋体"/>
                <w:b/>
                <w:color w:val="FF0000"/>
                <w:sz w:val="24"/>
                <w:lang w:bidi="ar"/>
              </w:rPr>
            </w:pPr>
          </w:p>
        </w:tc>
        <w:tc>
          <w:tcPr>
            <w:tcW w:w="663" w:type="dxa"/>
            <w:tcBorders>
              <w:top w:val="single" w:color="auto" w:sz="4" w:space="0"/>
              <w:left w:val="single" w:color="auto" w:sz="4" w:space="0"/>
              <w:bottom w:val="single" w:color="auto" w:sz="4" w:space="0"/>
              <w:right w:val="single" w:color="auto" w:sz="4" w:space="0"/>
            </w:tcBorders>
            <w:shd w:val="clear" w:color="auto" w:fill="auto"/>
          </w:tcPr>
          <w:p w14:paraId="1971E173">
            <w:pPr>
              <w:rPr>
                <w:rFonts w:ascii="宋体" w:hAnsi="宋体" w:cs="宋体"/>
                <w:b/>
                <w:color w:val="FF0000"/>
                <w:sz w:val="24"/>
                <w:lang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tcPr>
          <w:p w14:paraId="40E2B34C">
            <w:pPr>
              <w:rPr>
                <w:rFonts w:ascii="宋体" w:hAnsi="宋体" w:cs="宋体"/>
                <w:b/>
                <w:color w:val="FF0000"/>
                <w:sz w:val="24"/>
                <w:lang w:bidi="ar"/>
              </w:rPr>
            </w:pPr>
          </w:p>
        </w:tc>
      </w:tr>
      <w:tr w14:paraId="2447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0CE6BD">
            <w:pPr>
              <w:rPr>
                <w:sz w:val="20"/>
                <w:szCs w:val="20"/>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FCE237">
            <w:pPr>
              <w:rPr>
                <w:sz w:val="20"/>
                <w:szCs w:val="20"/>
              </w:rPr>
            </w:pP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7F7F0DA0">
            <w:pPr>
              <w:rPr>
                <w:rFonts w:ascii="宋体" w:hAnsi="宋体" w:cs="宋体"/>
                <w:sz w:val="24"/>
              </w:rPr>
            </w:pPr>
            <w:r>
              <w:rPr>
                <w:rFonts w:hint="eastAsia" w:ascii="宋体" w:hAnsi="宋体" w:cs="宋体"/>
                <w:sz w:val="24"/>
                <w:lang w:bidi="ar"/>
              </w:rPr>
              <w:t>1.13配置软件，使用Window 7或以上操作系统</w:t>
            </w:r>
          </w:p>
        </w:tc>
        <w:tc>
          <w:tcPr>
            <w:tcW w:w="1025" w:type="dxa"/>
            <w:tcBorders>
              <w:top w:val="single" w:color="auto" w:sz="4" w:space="0"/>
              <w:left w:val="single" w:color="auto" w:sz="4" w:space="0"/>
              <w:bottom w:val="single" w:color="auto" w:sz="4" w:space="0"/>
              <w:right w:val="single" w:color="auto" w:sz="4" w:space="0"/>
            </w:tcBorders>
            <w:shd w:val="clear" w:color="auto" w:fill="auto"/>
          </w:tcPr>
          <w:p w14:paraId="483AB56D">
            <w:pPr>
              <w:rPr>
                <w:rFonts w:ascii="宋体" w:hAnsi="宋体" w:cs="宋体"/>
                <w:sz w:val="24"/>
                <w:lang w:bidi="ar"/>
              </w:rPr>
            </w:pPr>
          </w:p>
        </w:tc>
        <w:tc>
          <w:tcPr>
            <w:tcW w:w="663" w:type="dxa"/>
            <w:tcBorders>
              <w:top w:val="single" w:color="auto" w:sz="4" w:space="0"/>
              <w:left w:val="single" w:color="auto" w:sz="4" w:space="0"/>
              <w:bottom w:val="single" w:color="auto" w:sz="4" w:space="0"/>
              <w:right w:val="single" w:color="auto" w:sz="4" w:space="0"/>
            </w:tcBorders>
            <w:shd w:val="clear" w:color="auto" w:fill="auto"/>
          </w:tcPr>
          <w:p w14:paraId="0F4EEBA5">
            <w:pPr>
              <w:rPr>
                <w:rFonts w:ascii="宋体" w:hAnsi="宋体" w:cs="宋体"/>
                <w:sz w:val="24"/>
                <w:lang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tcPr>
          <w:p w14:paraId="61B2D2A2">
            <w:pPr>
              <w:rPr>
                <w:rFonts w:ascii="宋体" w:hAnsi="宋体" w:cs="宋体"/>
                <w:sz w:val="24"/>
                <w:lang w:bidi="ar"/>
              </w:rPr>
            </w:pPr>
          </w:p>
        </w:tc>
      </w:tr>
      <w:tr w14:paraId="5D18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CB60CF">
            <w:pPr>
              <w:rPr>
                <w:sz w:val="20"/>
                <w:szCs w:val="20"/>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4DD286">
            <w:pPr>
              <w:rPr>
                <w:sz w:val="20"/>
                <w:szCs w:val="20"/>
              </w:rPr>
            </w:pP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449212AE">
            <w:pPr>
              <w:rPr>
                <w:rFonts w:ascii="宋体" w:hAnsi="宋体" w:cs="宋体"/>
                <w:b/>
                <w:sz w:val="24"/>
              </w:rPr>
            </w:pPr>
            <w:r>
              <w:rPr>
                <w:rFonts w:hint="eastAsia" w:ascii="宋体" w:hAnsi="宋体" w:cs="宋体"/>
                <w:b/>
                <w:color w:val="FF0000"/>
                <w:sz w:val="24"/>
                <w:lang w:bidi="ar"/>
              </w:rPr>
              <w:t>▲1.14最大样本流速&gt;130ul/min;上样过程中可随时调节上样速度</w:t>
            </w:r>
            <w:r>
              <w:rPr>
                <w:rFonts w:hint="eastAsia" w:ascii="宋体" w:hAnsi="宋体" w:cs="宋体"/>
                <w:b/>
                <w:color w:val="FF0000"/>
                <w:szCs w:val="21"/>
                <w:lang w:bidi="ar"/>
              </w:rPr>
              <w:t>（要求提供产品彩页关键信息或产品制造商官网关键信息截图或实物图片（三者之一即可））</w:t>
            </w:r>
          </w:p>
        </w:tc>
        <w:tc>
          <w:tcPr>
            <w:tcW w:w="1025" w:type="dxa"/>
            <w:tcBorders>
              <w:top w:val="single" w:color="auto" w:sz="4" w:space="0"/>
              <w:left w:val="single" w:color="auto" w:sz="4" w:space="0"/>
              <w:bottom w:val="single" w:color="auto" w:sz="4" w:space="0"/>
              <w:right w:val="single" w:color="auto" w:sz="4" w:space="0"/>
            </w:tcBorders>
            <w:shd w:val="clear" w:color="auto" w:fill="auto"/>
          </w:tcPr>
          <w:p w14:paraId="32E3794D">
            <w:pPr>
              <w:rPr>
                <w:rFonts w:ascii="宋体" w:hAnsi="宋体" w:cs="宋体"/>
                <w:b/>
                <w:color w:val="FF0000"/>
                <w:sz w:val="24"/>
                <w:lang w:bidi="ar"/>
              </w:rPr>
            </w:pPr>
          </w:p>
        </w:tc>
        <w:tc>
          <w:tcPr>
            <w:tcW w:w="663" w:type="dxa"/>
            <w:tcBorders>
              <w:top w:val="single" w:color="auto" w:sz="4" w:space="0"/>
              <w:left w:val="single" w:color="auto" w:sz="4" w:space="0"/>
              <w:bottom w:val="single" w:color="auto" w:sz="4" w:space="0"/>
              <w:right w:val="single" w:color="auto" w:sz="4" w:space="0"/>
            </w:tcBorders>
            <w:shd w:val="clear" w:color="auto" w:fill="auto"/>
          </w:tcPr>
          <w:p w14:paraId="5BB149E6">
            <w:pPr>
              <w:rPr>
                <w:rFonts w:ascii="宋体" w:hAnsi="宋体" w:cs="宋体"/>
                <w:b/>
                <w:color w:val="FF0000"/>
                <w:sz w:val="24"/>
                <w:lang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tcPr>
          <w:p w14:paraId="3B6CEEF9">
            <w:pPr>
              <w:rPr>
                <w:rFonts w:ascii="宋体" w:hAnsi="宋体" w:cs="宋体"/>
                <w:b/>
                <w:color w:val="FF0000"/>
                <w:sz w:val="24"/>
                <w:lang w:bidi="ar"/>
              </w:rPr>
            </w:pPr>
          </w:p>
        </w:tc>
      </w:tr>
      <w:tr w14:paraId="1D89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241F51">
            <w:pPr>
              <w:rPr>
                <w:sz w:val="20"/>
                <w:szCs w:val="20"/>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D21615">
            <w:pPr>
              <w:rPr>
                <w:sz w:val="20"/>
                <w:szCs w:val="20"/>
              </w:rPr>
            </w:pP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63A5EB2F">
            <w:pPr>
              <w:rPr>
                <w:rFonts w:ascii="宋体" w:hAnsi="宋体" w:cs="宋体"/>
                <w:sz w:val="24"/>
              </w:rPr>
            </w:pPr>
            <w:r>
              <w:rPr>
                <w:rFonts w:hint="eastAsia" w:ascii="宋体" w:hAnsi="宋体" w:cs="宋体"/>
                <w:sz w:val="24"/>
                <w:lang w:bidi="ar"/>
              </w:rPr>
              <w:t>1.15采样体积精度：≤1uL</w:t>
            </w:r>
          </w:p>
        </w:tc>
        <w:tc>
          <w:tcPr>
            <w:tcW w:w="1025" w:type="dxa"/>
            <w:tcBorders>
              <w:top w:val="single" w:color="auto" w:sz="4" w:space="0"/>
              <w:left w:val="single" w:color="auto" w:sz="4" w:space="0"/>
              <w:bottom w:val="single" w:color="auto" w:sz="4" w:space="0"/>
              <w:right w:val="single" w:color="auto" w:sz="4" w:space="0"/>
            </w:tcBorders>
            <w:shd w:val="clear" w:color="auto" w:fill="auto"/>
          </w:tcPr>
          <w:p w14:paraId="6F3C55D2">
            <w:pPr>
              <w:rPr>
                <w:rFonts w:ascii="宋体" w:hAnsi="宋体" w:cs="宋体"/>
                <w:sz w:val="24"/>
                <w:lang w:bidi="ar"/>
              </w:rPr>
            </w:pPr>
          </w:p>
        </w:tc>
        <w:tc>
          <w:tcPr>
            <w:tcW w:w="663" w:type="dxa"/>
            <w:tcBorders>
              <w:top w:val="single" w:color="auto" w:sz="4" w:space="0"/>
              <w:left w:val="single" w:color="auto" w:sz="4" w:space="0"/>
              <w:bottom w:val="single" w:color="auto" w:sz="4" w:space="0"/>
              <w:right w:val="single" w:color="auto" w:sz="4" w:space="0"/>
            </w:tcBorders>
            <w:shd w:val="clear" w:color="auto" w:fill="auto"/>
          </w:tcPr>
          <w:p w14:paraId="78B53AC5">
            <w:pPr>
              <w:rPr>
                <w:rFonts w:ascii="宋体" w:hAnsi="宋体" w:cs="宋体"/>
                <w:sz w:val="24"/>
                <w:lang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tcPr>
          <w:p w14:paraId="5B9C7D8B">
            <w:pPr>
              <w:rPr>
                <w:rFonts w:ascii="宋体" w:hAnsi="宋体" w:cs="宋体"/>
                <w:sz w:val="24"/>
                <w:lang w:bidi="ar"/>
              </w:rPr>
            </w:pPr>
          </w:p>
        </w:tc>
      </w:tr>
      <w:tr w14:paraId="461E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8D41B0">
            <w:pPr>
              <w:rPr>
                <w:sz w:val="20"/>
                <w:szCs w:val="20"/>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1DDD5F">
            <w:pPr>
              <w:rPr>
                <w:sz w:val="20"/>
                <w:szCs w:val="20"/>
              </w:rPr>
            </w:pP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32C25696">
            <w:pPr>
              <w:rPr>
                <w:rFonts w:ascii="宋体" w:hAnsi="宋体" w:cs="宋体"/>
                <w:sz w:val="24"/>
              </w:rPr>
            </w:pPr>
            <w:r>
              <w:rPr>
                <w:rFonts w:hint="eastAsia" w:ascii="宋体" w:hAnsi="宋体" w:cs="宋体"/>
                <w:sz w:val="24"/>
                <w:lang w:bidi="ar"/>
              </w:rPr>
              <w:t>1.16最小上样体积：≤10uL,单次上样无最大进样体积限制,可实现连续上样</w:t>
            </w:r>
          </w:p>
        </w:tc>
        <w:tc>
          <w:tcPr>
            <w:tcW w:w="1025" w:type="dxa"/>
            <w:tcBorders>
              <w:top w:val="single" w:color="auto" w:sz="4" w:space="0"/>
              <w:left w:val="single" w:color="auto" w:sz="4" w:space="0"/>
              <w:bottom w:val="single" w:color="auto" w:sz="4" w:space="0"/>
              <w:right w:val="single" w:color="auto" w:sz="4" w:space="0"/>
            </w:tcBorders>
            <w:shd w:val="clear" w:color="auto" w:fill="auto"/>
          </w:tcPr>
          <w:p w14:paraId="6480807F">
            <w:pPr>
              <w:rPr>
                <w:rFonts w:ascii="宋体" w:hAnsi="宋体" w:cs="宋体"/>
                <w:sz w:val="24"/>
                <w:lang w:bidi="ar"/>
              </w:rPr>
            </w:pPr>
          </w:p>
        </w:tc>
        <w:tc>
          <w:tcPr>
            <w:tcW w:w="663" w:type="dxa"/>
            <w:tcBorders>
              <w:top w:val="single" w:color="auto" w:sz="4" w:space="0"/>
              <w:left w:val="single" w:color="auto" w:sz="4" w:space="0"/>
              <w:bottom w:val="single" w:color="auto" w:sz="4" w:space="0"/>
              <w:right w:val="single" w:color="auto" w:sz="4" w:space="0"/>
            </w:tcBorders>
            <w:shd w:val="clear" w:color="auto" w:fill="auto"/>
          </w:tcPr>
          <w:p w14:paraId="30CE7755">
            <w:pPr>
              <w:rPr>
                <w:rFonts w:ascii="宋体" w:hAnsi="宋体" w:cs="宋体"/>
                <w:sz w:val="24"/>
                <w:lang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tcPr>
          <w:p w14:paraId="7BC4C0A2">
            <w:pPr>
              <w:rPr>
                <w:rFonts w:ascii="宋体" w:hAnsi="宋体" w:cs="宋体"/>
                <w:sz w:val="24"/>
                <w:lang w:bidi="ar"/>
              </w:rPr>
            </w:pPr>
          </w:p>
        </w:tc>
      </w:tr>
      <w:tr w14:paraId="4A2A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C3BF6C">
            <w:pPr>
              <w:rPr>
                <w:sz w:val="20"/>
                <w:szCs w:val="20"/>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9365B5">
            <w:pPr>
              <w:rPr>
                <w:sz w:val="20"/>
                <w:szCs w:val="20"/>
              </w:rPr>
            </w:pP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24B19192">
            <w:pPr>
              <w:rPr>
                <w:rFonts w:ascii="宋体" w:hAnsi="宋体" w:cs="宋体"/>
                <w:sz w:val="24"/>
              </w:rPr>
            </w:pPr>
            <w:r>
              <w:rPr>
                <w:rFonts w:hint="eastAsia" w:ascii="宋体" w:hAnsi="宋体" w:cs="宋体"/>
                <w:sz w:val="24"/>
                <w:lang w:bidi="ar"/>
              </w:rPr>
              <w:t>▲1.17配置流式操作软件支持中英文语言，无密码狗限制可随意安装,软件免费升级</w:t>
            </w:r>
          </w:p>
        </w:tc>
        <w:tc>
          <w:tcPr>
            <w:tcW w:w="1025" w:type="dxa"/>
            <w:tcBorders>
              <w:top w:val="single" w:color="auto" w:sz="4" w:space="0"/>
              <w:left w:val="single" w:color="auto" w:sz="4" w:space="0"/>
              <w:bottom w:val="single" w:color="auto" w:sz="4" w:space="0"/>
              <w:right w:val="single" w:color="auto" w:sz="4" w:space="0"/>
            </w:tcBorders>
            <w:shd w:val="clear" w:color="auto" w:fill="auto"/>
          </w:tcPr>
          <w:p w14:paraId="4B2A4616">
            <w:pPr>
              <w:rPr>
                <w:rFonts w:ascii="宋体" w:hAnsi="宋体" w:cs="宋体"/>
                <w:sz w:val="24"/>
                <w:lang w:bidi="ar"/>
              </w:rPr>
            </w:pPr>
          </w:p>
        </w:tc>
        <w:tc>
          <w:tcPr>
            <w:tcW w:w="663" w:type="dxa"/>
            <w:tcBorders>
              <w:top w:val="single" w:color="auto" w:sz="4" w:space="0"/>
              <w:left w:val="single" w:color="auto" w:sz="4" w:space="0"/>
              <w:bottom w:val="single" w:color="auto" w:sz="4" w:space="0"/>
              <w:right w:val="single" w:color="auto" w:sz="4" w:space="0"/>
            </w:tcBorders>
            <w:shd w:val="clear" w:color="auto" w:fill="auto"/>
          </w:tcPr>
          <w:p w14:paraId="2FCF8EBD">
            <w:pPr>
              <w:rPr>
                <w:rFonts w:ascii="宋体" w:hAnsi="宋体" w:cs="宋体"/>
                <w:sz w:val="24"/>
                <w:lang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tcPr>
          <w:p w14:paraId="48A3ACD8">
            <w:pPr>
              <w:rPr>
                <w:rFonts w:ascii="宋体" w:hAnsi="宋体" w:cs="宋体"/>
                <w:sz w:val="24"/>
                <w:lang w:bidi="ar"/>
              </w:rPr>
            </w:pPr>
          </w:p>
        </w:tc>
      </w:tr>
      <w:tr w14:paraId="379B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6" w:hRule="atLeast"/>
          <w:jc w:val="center"/>
        </w:trPr>
        <w:tc>
          <w:tcPr>
            <w:tcW w:w="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0338F8">
            <w:pPr>
              <w:rPr>
                <w:sz w:val="20"/>
                <w:szCs w:val="20"/>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AD7D80">
            <w:pPr>
              <w:rPr>
                <w:sz w:val="20"/>
                <w:szCs w:val="20"/>
              </w:rPr>
            </w:pPr>
          </w:p>
        </w:tc>
        <w:tc>
          <w:tcPr>
            <w:tcW w:w="5400" w:type="dxa"/>
            <w:tcBorders>
              <w:top w:val="single" w:color="auto" w:sz="4" w:space="0"/>
              <w:left w:val="single" w:color="auto" w:sz="4" w:space="0"/>
              <w:bottom w:val="single" w:color="auto" w:sz="4" w:space="0"/>
              <w:right w:val="single" w:color="auto" w:sz="4" w:space="0"/>
            </w:tcBorders>
            <w:shd w:val="clear" w:color="auto" w:fill="auto"/>
          </w:tcPr>
          <w:p w14:paraId="65B4778E">
            <w:pPr>
              <w:rPr>
                <w:rFonts w:ascii="宋体" w:hAnsi="宋体" w:cs="宋体"/>
                <w:sz w:val="24"/>
              </w:rPr>
            </w:pPr>
            <w:r>
              <w:rPr>
                <w:rFonts w:hint="eastAsia" w:cs="宋体"/>
                <w:lang w:bidi="ar"/>
              </w:rPr>
              <w:t>★</w:t>
            </w:r>
            <w:r>
              <w:rPr>
                <w:rFonts w:hint="eastAsia" w:ascii="宋体" w:hAnsi="宋体" w:cs="宋体"/>
                <w:sz w:val="24"/>
                <w:lang w:bidi="ar"/>
              </w:rPr>
              <w:t>2．配置清单：</w:t>
            </w:r>
          </w:p>
          <w:p w14:paraId="575B7D8B">
            <w:pPr>
              <w:rPr>
                <w:rFonts w:ascii="宋体" w:hAnsi="宋体" w:cs="宋体"/>
                <w:sz w:val="24"/>
              </w:rPr>
            </w:pPr>
            <w:r>
              <w:rPr>
                <w:rFonts w:hint="eastAsia" w:ascii="宋体" w:hAnsi="宋体" w:cs="宋体"/>
                <w:sz w:val="24"/>
                <w:lang w:bidi="ar"/>
              </w:rPr>
              <w:t>1.1系统主机（1套）：</w:t>
            </w:r>
          </w:p>
          <w:p w14:paraId="6BEC1A1B">
            <w:pPr>
              <w:rPr>
                <w:rFonts w:ascii="宋体" w:hAnsi="宋体" w:cs="宋体"/>
                <w:sz w:val="24"/>
              </w:rPr>
            </w:pPr>
            <w:r>
              <w:rPr>
                <w:rFonts w:hint="eastAsia" w:ascii="宋体" w:hAnsi="宋体" w:cs="宋体"/>
                <w:sz w:val="24"/>
                <w:lang w:bidi="ar"/>
              </w:rPr>
              <w:t>—激发光源：488nm 、638nm、405nm、561nm</w:t>
            </w:r>
          </w:p>
          <w:p w14:paraId="5BB26B21">
            <w:pPr>
              <w:rPr>
                <w:rFonts w:ascii="宋体" w:hAnsi="宋体" w:cs="宋体"/>
                <w:sz w:val="24"/>
              </w:rPr>
            </w:pPr>
            <w:r>
              <w:rPr>
                <w:rFonts w:hint="eastAsia" w:ascii="宋体" w:hAnsi="宋体" w:cs="宋体"/>
                <w:sz w:val="24"/>
                <w:lang w:bidi="ar"/>
              </w:rPr>
              <w:t>—光学参数：前向（FS）、侧向（SS）及13个荧光检测器</w:t>
            </w:r>
          </w:p>
          <w:p w14:paraId="66C4AB6D">
            <w:pPr>
              <w:rPr>
                <w:rFonts w:ascii="宋体" w:hAnsi="宋体" w:cs="宋体"/>
                <w:sz w:val="24"/>
              </w:rPr>
            </w:pPr>
            <w:r>
              <w:rPr>
                <w:rFonts w:hint="eastAsia" w:ascii="宋体" w:hAnsi="宋体" w:cs="宋体"/>
                <w:sz w:val="24"/>
                <w:lang w:bidi="ar"/>
              </w:rPr>
              <w:t>—石英流动室：420 x 180 um</w:t>
            </w:r>
          </w:p>
          <w:p w14:paraId="21F157A8">
            <w:pPr>
              <w:rPr>
                <w:rFonts w:ascii="宋体" w:hAnsi="宋体" w:cs="宋体"/>
                <w:sz w:val="24"/>
              </w:rPr>
            </w:pPr>
            <w:r>
              <w:rPr>
                <w:rFonts w:hint="eastAsia" w:ascii="宋体" w:hAnsi="宋体" w:cs="宋体"/>
                <w:sz w:val="24"/>
                <w:lang w:bidi="ar"/>
              </w:rPr>
              <w:t>—标准光学滤片组合</w:t>
            </w:r>
          </w:p>
          <w:p w14:paraId="42BC8074">
            <w:pPr>
              <w:rPr>
                <w:rFonts w:ascii="宋体" w:hAnsi="宋体" w:cs="宋体"/>
                <w:sz w:val="24"/>
              </w:rPr>
            </w:pPr>
            <w:r>
              <w:rPr>
                <w:rFonts w:hint="eastAsia" w:ascii="宋体" w:hAnsi="宋体" w:cs="宋体"/>
                <w:sz w:val="24"/>
                <w:lang w:bidi="ar"/>
              </w:rPr>
              <w:t xml:space="preserve">  Blue laser: 525/40, 690/50 </w:t>
            </w:r>
          </w:p>
          <w:p w14:paraId="5498B35D">
            <w:pPr>
              <w:rPr>
                <w:rFonts w:ascii="宋体" w:hAnsi="宋体" w:cs="宋体"/>
                <w:sz w:val="24"/>
              </w:rPr>
            </w:pPr>
            <w:r>
              <w:rPr>
                <w:rFonts w:hint="eastAsia" w:ascii="宋体" w:hAnsi="宋体" w:cs="宋体"/>
                <w:sz w:val="24"/>
                <w:lang w:bidi="ar"/>
              </w:rPr>
              <w:t xml:space="preserve">  Red laser: 660/10, 712/25 , 780/60 </w:t>
            </w:r>
          </w:p>
          <w:p w14:paraId="0125CCBB">
            <w:pPr>
              <w:rPr>
                <w:rFonts w:ascii="宋体" w:hAnsi="宋体" w:cs="宋体"/>
                <w:sz w:val="24"/>
              </w:rPr>
            </w:pPr>
            <w:r>
              <w:rPr>
                <w:rFonts w:hint="eastAsia" w:ascii="宋体" w:hAnsi="宋体" w:cs="宋体"/>
                <w:sz w:val="24"/>
                <w:lang w:bidi="ar"/>
              </w:rPr>
              <w:t xml:space="preserve">  Violet laser : 450/45, 525/40, 610/20, 660/10</w:t>
            </w:r>
          </w:p>
          <w:p w14:paraId="222BE286">
            <w:pPr>
              <w:rPr>
                <w:rFonts w:ascii="宋体" w:hAnsi="宋体" w:cs="宋体"/>
                <w:sz w:val="24"/>
              </w:rPr>
            </w:pPr>
            <w:r>
              <w:rPr>
                <w:rFonts w:hint="eastAsia" w:ascii="宋体" w:hAnsi="宋体" w:cs="宋体"/>
                <w:sz w:val="24"/>
                <w:lang w:bidi="ar"/>
              </w:rPr>
              <w:t xml:space="preserve">  Yellow laser : 585/42, 610/20, 690/50, 780/60</w:t>
            </w:r>
          </w:p>
          <w:p w14:paraId="089DF830">
            <w:pPr>
              <w:rPr>
                <w:rFonts w:ascii="宋体" w:hAnsi="宋体" w:cs="宋体"/>
                <w:sz w:val="24"/>
              </w:rPr>
            </w:pPr>
            <w:r>
              <w:rPr>
                <w:rFonts w:hint="eastAsia" w:ascii="宋体" w:hAnsi="宋体" w:cs="宋体"/>
                <w:sz w:val="24"/>
                <w:lang w:bidi="ar"/>
              </w:rPr>
              <w:t>—软件：CytExpert 数据采集及分析软件</w:t>
            </w:r>
          </w:p>
          <w:p w14:paraId="2F470FAF">
            <w:pPr>
              <w:rPr>
                <w:rFonts w:ascii="宋体" w:hAnsi="宋体" w:cs="宋体"/>
                <w:sz w:val="24"/>
              </w:rPr>
            </w:pPr>
            <w:r>
              <w:rPr>
                <w:rFonts w:hint="eastAsia" w:ascii="宋体" w:hAnsi="宋体" w:cs="宋体"/>
                <w:sz w:val="24"/>
                <w:lang w:bidi="ar"/>
              </w:rPr>
              <w:t>—13X13 全矩阵、全自动颜色补偿</w:t>
            </w:r>
          </w:p>
          <w:p w14:paraId="54317E48">
            <w:pPr>
              <w:rPr>
                <w:rFonts w:ascii="宋体" w:hAnsi="宋体" w:cs="宋体"/>
                <w:sz w:val="24"/>
              </w:rPr>
            </w:pPr>
            <w:r>
              <w:rPr>
                <w:rFonts w:hint="eastAsia" w:ascii="宋体" w:hAnsi="宋体" w:cs="宋体"/>
                <w:sz w:val="24"/>
                <w:lang w:bidi="ar"/>
              </w:rPr>
              <w:t>—4L鞘液容器, 4L废液容器，以及容器座</w:t>
            </w:r>
          </w:p>
          <w:p w14:paraId="09C68037">
            <w:pPr>
              <w:rPr>
                <w:rFonts w:ascii="宋体" w:hAnsi="宋体" w:cs="宋体"/>
                <w:sz w:val="24"/>
              </w:rPr>
            </w:pPr>
            <w:r>
              <w:rPr>
                <w:rFonts w:hint="eastAsia" w:ascii="宋体" w:hAnsi="宋体" w:cs="宋体"/>
                <w:sz w:val="24"/>
                <w:lang w:bidi="ar"/>
              </w:rPr>
              <w:t>—密码狗</w:t>
            </w:r>
          </w:p>
          <w:p w14:paraId="1F3176EE">
            <w:pPr>
              <w:rPr>
                <w:rFonts w:ascii="宋体" w:hAnsi="宋体" w:cs="宋体"/>
                <w:sz w:val="24"/>
              </w:rPr>
            </w:pPr>
            <w:r>
              <w:rPr>
                <w:rFonts w:hint="eastAsia" w:ascii="宋体" w:hAnsi="宋体" w:cs="宋体"/>
                <w:sz w:val="24"/>
                <w:lang w:bidi="ar"/>
              </w:rPr>
              <w:t>—工作站</w:t>
            </w:r>
          </w:p>
          <w:p w14:paraId="47AC3DBC">
            <w:pPr>
              <w:rPr>
                <w:rFonts w:ascii="宋体" w:hAnsi="宋体" w:cs="宋体"/>
                <w:sz w:val="24"/>
              </w:rPr>
            </w:pPr>
            <w:r>
              <w:rPr>
                <w:rFonts w:hint="eastAsia" w:ascii="宋体" w:hAnsi="宋体" w:cs="宋体"/>
                <w:sz w:val="24"/>
                <w:lang w:bidi="ar"/>
              </w:rPr>
              <w:t>—显示器</w:t>
            </w:r>
          </w:p>
          <w:p w14:paraId="35C934C2">
            <w:pPr>
              <w:rPr>
                <w:rFonts w:ascii="宋体" w:hAnsi="宋体" w:cs="宋体"/>
                <w:sz w:val="24"/>
              </w:rPr>
            </w:pPr>
            <w:r>
              <w:rPr>
                <w:rFonts w:hint="eastAsia" w:ascii="宋体" w:hAnsi="宋体" w:cs="宋体"/>
                <w:sz w:val="24"/>
                <w:lang w:bidi="ar"/>
              </w:rPr>
              <w:t>1.2质控荧光微球（1个）</w:t>
            </w:r>
          </w:p>
          <w:p w14:paraId="02F9B9B1">
            <w:pPr>
              <w:rPr>
                <w:rFonts w:ascii="宋体" w:hAnsi="宋体" w:cs="宋体"/>
                <w:sz w:val="24"/>
              </w:rPr>
            </w:pPr>
            <w:r>
              <w:rPr>
                <w:rFonts w:hint="eastAsia" w:ascii="宋体" w:hAnsi="宋体" w:cs="宋体"/>
                <w:sz w:val="24"/>
                <w:lang w:bidi="ar"/>
              </w:rPr>
              <w:t>1.3鞘液（1个）</w:t>
            </w:r>
          </w:p>
          <w:p w14:paraId="41556C27">
            <w:pPr>
              <w:rPr>
                <w:rFonts w:ascii="宋体" w:hAnsi="宋体" w:cs="宋体"/>
                <w:sz w:val="24"/>
              </w:rPr>
            </w:pPr>
            <w:r>
              <w:rPr>
                <w:rFonts w:hint="eastAsia" w:ascii="宋体" w:hAnsi="宋体" w:cs="宋体"/>
                <w:sz w:val="24"/>
                <w:lang w:bidi="ar"/>
              </w:rPr>
              <w:t>1.4清洗液（2个）</w:t>
            </w:r>
          </w:p>
          <w:p w14:paraId="0522FE7F">
            <w:pPr>
              <w:rPr>
                <w:rFonts w:ascii="宋体" w:hAnsi="宋体" w:cs="宋体"/>
                <w:sz w:val="24"/>
              </w:rPr>
            </w:pPr>
            <w:r>
              <w:rPr>
                <w:rFonts w:hint="eastAsia" w:ascii="宋体" w:hAnsi="宋体" w:cs="宋体"/>
                <w:sz w:val="24"/>
                <w:lang w:bidi="ar"/>
              </w:rPr>
              <w:t>1.5客户维护包：泵管+鞘液过滤器（1个）</w:t>
            </w:r>
          </w:p>
          <w:p w14:paraId="2A8A0EF4">
            <w:pPr>
              <w:rPr>
                <w:rFonts w:ascii="宋体" w:hAnsi="宋体" w:cs="宋体"/>
                <w:sz w:val="24"/>
              </w:rPr>
            </w:pPr>
            <w:r>
              <w:rPr>
                <w:rFonts w:hint="eastAsia" w:ascii="宋体" w:hAnsi="宋体" w:cs="宋体"/>
                <w:sz w:val="24"/>
                <w:lang w:bidi="ar"/>
              </w:rPr>
              <w:t>1.6深孔板式上样器+上样模式转换器升级套装（1套）</w:t>
            </w:r>
          </w:p>
        </w:tc>
        <w:tc>
          <w:tcPr>
            <w:tcW w:w="1025" w:type="dxa"/>
            <w:tcBorders>
              <w:top w:val="single" w:color="auto" w:sz="4" w:space="0"/>
              <w:left w:val="single" w:color="auto" w:sz="4" w:space="0"/>
              <w:bottom w:val="single" w:color="auto" w:sz="4" w:space="0"/>
              <w:right w:val="single" w:color="auto" w:sz="4" w:space="0"/>
            </w:tcBorders>
            <w:shd w:val="clear" w:color="auto" w:fill="auto"/>
          </w:tcPr>
          <w:p w14:paraId="0D6C5EB1">
            <w:pPr>
              <w:rPr>
                <w:rFonts w:ascii="宋体" w:hAnsi="宋体" w:cs="宋体"/>
                <w:sz w:val="24"/>
                <w:lang w:bidi="ar"/>
              </w:rPr>
            </w:pPr>
          </w:p>
        </w:tc>
        <w:tc>
          <w:tcPr>
            <w:tcW w:w="663" w:type="dxa"/>
            <w:tcBorders>
              <w:top w:val="single" w:color="auto" w:sz="4" w:space="0"/>
              <w:left w:val="single" w:color="auto" w:sz="4" w:space="0"/>
              <w:bottom w:val="single" w:color="auto" w:sz="4" w:space="0"/>
              <w:right w:val="single" w:color="auto" w:sz="4" w:space="0"/>
            </w:tcBorders>
            <w:shd w:val="clear" w:color="auto" w:fill="auto"/>
          </w:tcPr>
          <w:p w14:paraId="11795AAF">
            <w:pPr>
              <w:rPr>
                <w:rFonts w:ascii="宋体" w:hAnsi="宋体" w:cs="宋体"/>
                <w:sz w:val="24"/>
                <w:lang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tcPr>
          <w:p w14:paraId="7798AFC2">
            <w:pPr>
              <w:rPr>
                <w:rFonts w:ascii="宋体" w:hAnsi="宋体" w:cs="宋体"/>
                <w:sz w:val="24"/>
                <w:lang w:bidi="ar"/>
              </w:rPr>
            </w:pPr>
          </w:p>
        </w:tc>
      </w:tr>
    </w:tbl>
    <w:p w14:paraId="651F44C6">
      <w:pPr>
        <w:rPr>
          <w:sz w:val="24"/>
        </w:rPr>
      </w:pPr>
    </w:p>
    <w:p w14:paraId="7B9E3BF0">
      <w:pPr>
        <w:rPr>
          <w:sz w:val="24"/>
        </w:rPr>
      </w:pPr>
      <w:bookmarkStart w:id="68" w:name="_Hlk72095977"/>
      <w:r>
        <w:rPr>
          <w:rFonts w:hint="eastAsia"/>
          <w:sz w:val="24"/>
        </w:rPr>
        <w:t>证明资料【如有的话，供应商提供的证明资料应统一编号（排序），格式自定】</w:t>
      </w:r>
      <w:bookmarkEnd w:id="68"/>
      <w:r>
        <w:rPr>
          <w:rFonts w:hint="eastAsia"/>
          <w:sz w:val="24"/>
        </w:rPr>
        <w:t>：</w:t>
      </w:r>
    </w:p>
    <w:p w14:paraId="006E687E">
      <w:pPr>
        <w:ind w:firstLine="482" w:firstLineChars="200"/>
        <w:rPr>
          <w:b/>
          <w:sz w:val="24"/>
        </w:rPr>
      </w:pPr>
    </w:p>
    <w:p w14:paraId="26AB5875">
      <w:pPr>
        <w:ind w:firstLine="482" w:firstLineChars="200"/>
        <w:rPr>
          <w:b/>
          <w:sz w:val="24"/>
        </w:rPr>
      </w:pPr>
    </w:p>
    <w:p w14:paraId="166D3A34">
      <w:pPr>
        <w:ind w:firstLine="482" w:firstLineChars="200"/>
        <w:rPr>
          <w:b/>
          <w:sz w:val="24"/>
        </w:rPr>
      </w:pPr>
      <w:r>
        <w:rPr>
          <w:rFonts w:hint="eastAsia"/>
          <w:b/>
          <w:sz w:val="24"/>
        </w:rPr>
        <w:t>《技术要求偏离表》编制指引：</w:t>
      </w:r>
    </w:p>
    <w:p w14:paraId="775E969F">
      <w:pPr>
        <w:ind w:firstLine="482" w:firstLineChars="200"/>
        <w:rPr>
          <w:b/>
          <w:sz w:val="24"/>
        </w:rPr>
      </w:pPr>
      <w:r>
        <w:rPr>
          <w:rFonts w:hint="eastAsia"/>
          <w:b/>
          <w:sz w:val="24"/>
        </w:rPr>
        <w:t>1、技术要求偏离表的序号、货物名称、招标技术要求等栏目</w:t>
      </w:r>
      <w:bookmarkStart w:id="69" w:name="_Hlk72094407"/>
      <w:r>
        <w:rPr>
          <w:rFonts w:hint="eastAsia"/>
          <w:b/>
          <w:sz w:val="24"/>
        </w:rPr>
        <w:t>对应“用户需求书”中的“技术要求”章节</w:t>
      </w:r>
      <w:bookmarkEnd w:id="69"/>
      <w:r>
        <w:rPr>
          <w:rFonts w:hint="eastAsia"/>
          <w:b/>
          <w:sz w:val="24"/>
        </w:rPr>
        <w:t>相关内容。</w:t>
      </w:r>
    </w:p>
    <w:p w14:paraId="02C53D07">
      <w:pPr>
        <w:ind w:firstLine="482" w:firstLineChars="200"/>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w:t>
      </w:r>
    </w:p>
    <w:p w14:paraId="63C2D696">
      <w:pPr>
        <w:ind w:firstLine="482" w:firstLineChars="200"/>
        <w:rPr>
          <w:b/>
          <w:sz w:val="24"/>
        </w:rPr>
      </w:pPr>
      <w:r>
        <w:rPr>
          <w:b/>
          <w:sz w:val="24"/>
        </w:rPr>
        <w:t>3</w:t>
      </w:r>
      <w:r>
        <w:rPr>
          <w:rFonts w:hint="eastAsia"/>
          <w:b/>
          <w:sz w:val="24"/>
        </w:rPr>
        <w:t>、</w:t>
      </w:r>
      <w:bookmarkStart w:id="70" w:name="_Hlk72158270"/>
      <w:r>
        <w:rPr>
          <w:rFonts w:hint="eastAsia"/>
          <w:b/>
          <w:sz w:val="24"/>
        </w:rPr>
        <w:t>“偏离情况”</w:t>
      </w:r>
      <w:bookmarkEnd w:id="70"/>
      <w:r>
        <w:rPr>
          <w:rFonts w:hint="eastAsia"/>
          <w:b/>
          <w:sz w:val="24"/>
        </w:rPr>
        <w:t>一栏填写如实填写“正偏离”、“负偏离”或“无偏离”，其中：</w:t>
      </w:r>
      <w:bookmarkStart w:id="71" w:name="_Hlk72093866"/>
      <w:r>
        <w:rPr>
          <w:rFonts w:hint="eastAsia"/>
          <w:b/>
          <w:sz w:val="24"/>
        </w:rPr>
        <w:t>“正偏离”表示“投标响应优于招标技术要求”，“负偏离”表示“投标响应不满足招标技术要求”，“无偏离”表示“投标响应与招标技术要求一致”</w:t>
      </w:r>
      <w:bookmarkEnd w:id="71"/>
      <w:r>
        <w:rPr>
          <w:rFonts w:hint="eastAsia"/>
          <w:b/>
          <w:sz w:val="24"/>
        </w:rPr>
        <w:t>。“投标技术响应”对比“招标技术要求”存在响应不全（包括未响应整项招标技术要求或者未响应一项招标技术要求的部分内容），均视为“负偏离”。</w:t>
      </w:r>
    </w:p>
    <w:p w14:paraId="44AF164E">
      <w:pPr>
        <w:ind w:firstLine="482" w:firstLineChars="200"/>
        <w:rPr>
          <w:b/>
          <w:sz w:val="24"/>
        </w:rPr>
      </w:pPr>
      <w:r>
        <w:rPr>
          <w:b/>
          <w:sz w:val="24"/>
        </w:rPr>
        <w:t>4</w:t>
      </w:r>
      <w:r>
        <w:rPr>
          <w:rFonts w:hint="eastAsia"/>
          <w:b/>
          <w:sz w:val="24"/>
        </w:rPr>
        <w:t>、未要求提供证明资料的招标技术要求，可以不提供证明资料（如实响应即可）。</w:t>
      </w:r>
    </w:p>
    <w:p w14:paraId="0BF788B4">
      <w:pPr>
        <w:ind w:firstLine="482" w:firstLineChars="200"/>
        <w:rPr>
          <w:b/>
          <w:sz w:val="24"/>
        </w:rPr>
      </w:pPr>
      <w:r>
        <w:rPr>
          <w:rFonts w:hint="eastAsia"/>
          <w:b/>
          <w:sz w:val="24"/>
        </w:rPr>
        <w:t>5、</w:t>
      </w:r>
      <w:bookmarkStart w:id="72" w:name="_Hlk72096106"/>
      <w:r>
        <w:rPr>
          <w:rFonts w:hint="eastAsia"/>
          <w:b/>
          <w:sz w:val="24"/>
        </w:rPr>
        <w:t>证明资料条款响应要求</w:t>
      </w:r>
      <w:bookmarkEnd w:id="72"/>
      <w:r>
        <w:rPr>
          <w:rFonts w:hint="eastAsia"/>
          <w:b/>
          <w:sz w:val="24"/>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73"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74" w:name="_Hlk73558164"/>
      <w:r>
        <w:rPr>
          <w:rFonts w:hint="eastAsia"/>
          <w:b/>
          <w:sz w:val="24"/>
        </w:rPr>
        <w:t>且投标人在“偏离情况”一栏响应为“正偏离”或“无偏离”的，经评审委员会认定，将判定为负偏离。</w:t>
      </w:r>
      <w:bookmarkEnd w:id="73"/>
      <w:bookmarkEnd w:id="74"/>
    </w:p>
    <w:p w14:paraId="3244171E">
      <w:pPr>
        <w:ind w:firstLine="482" w:firstLineChars="200"/>
        <w:rPr>
          <w:b/>
          <w:sz w:val="24"/>
        </w:rPr>
      </w:pPr>
      <w:r>
        <w:rPr>
          <w:rFonts w:hint="eastAsia"/>
          <w:b/>
          <w:sz w:val="24"/>
        </w:rPr>
        <w:t>6、</w:t>
      </w:r>
      <w:bookmarkStart w:id="75" w:name="_Hlk72096137"/>
      <w:r>
        <w:rPr>
          <w:rFonts w:hint="eastAsia"/>
          <w:b/>
          <w:sz w:val="24"/>
        </w:rPr>
        <w:t>表后“证明资料”部分内容的编制</w:t>
      </w:r>
      <w:bookmarkEnd w:id="75"/>
      <w:r>
        <w:rPr>
          <w:rFonts w:hint="eastAsia"/>
          <w:b/>
          <w:sz w:val="24"/>
        </w:rPr>
        <w:t>：提供的所有证明资料应当统一编号（排序），且证明资料的编号（顺序）、数量和名称（形式）均应与“说明”一栏所填内容保持一致（一一对应），以便评审委员会查看。</w:t>
      </w:r>
      <w:bookmarkStart w:id="76" w:name="_Hlk73558180"/>
      <w:r>
        <w:rPr>
          <w:rFonts w:hint="eastAsia"/>
          <w:b/>
          <w:sz w:val="24"/>
        </w:rPr>
        <w:t>未按照招标文件要求在表后放置证明材料的供应商将承担不利后果，经评审委员会认定，相关技术要求将判定为负偏离。</w:t>
      </w:r>
      <w:bookmarkEnd w:id="76"/>
    </w:p>
    <w:p w14:paraId="79379670">
      <w:pPr>
        <w:ind w:firstLine="482" w:firstLineChars="200"/>
        <w:rPr>
          <w:b/>
          <w:sz w:val="24"/>
        </w:rPr>
      </w:pPr>
      <w:r>
        <w:rPr>
          <w:rFonts w:hint="eastAsia"/>
          <w:b/>
          <w:sz w:val="24"/>
        </w:rPr>
        <w:t>7、</w:t>
      </w:r>
      <w:bookmarkStart w:id="77" w:name="_Hlk72096176"/>
      <w:r>
        <w:rPr>
          <w:rFonts w:hint="eastAsia"/>
          <w:b/>
          <w:sz w:val="24"/>
        </w:rPr>
        <w:t>证明资料的形式及其它具体要求</w:t>
      </w:r>
      <w:bookmarkEnd w:id="77"/>
      <w:r>
        <w:rPr>
          <w:rFonts w:hint="eastAsia"/>
          <w:b/>
          <w:sz w:val="24"/>
        </w:rPr>
        <w:t>：</w:t>
      </w:r>
    </w:p>
    <w:p w14:paraId="64933DE6">
      <w:pPr>
        <w:ind w:firstLine="482" w:firstLineChars="200"/>
        <w:rPr>
          <w:b/>
          <w:sz w:val="24"/>
        </w:rPr>
      </w:pPr>
      <w:r>
        <w:rPr>
          <w:rFonts w:hint="eastAsia"/>
          <w:b/>
          <w:sz w:val="24"/>
        </w:rPr>
        <w:t>（1）除照片、图片（截图）及不需加盖公章的文字说明（技术说明）外，其它证明资料均要求为原件扫描件；</w:t>
      </w:r>
    </w:p>
    <w:p w14:paraId="7FBA7A17">
      <w:pPr>
        <w:ind w:firstLine="482" w:firstLineChars="200"/>
        <w:rPr>
          <w:b/>
          <w:sz w:val="24"/>
        </w:rPr>
      </w:pPr>
      <w:r>
        <w:rPr>
          <w:rFonts w:hint="eastAsia"/>
          <w:b/>
          <w:sz w:val="24"/>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2FEAC6E2">
      <w:pPr>
        <w:ind w:firstLine="482" w:firstLineChars="200"/>
        <w:rPr>
          <w:b/>
          <w:sz w:val="24"/>
        </w:rPr>
      </w:pPr>
      <w:r>
        <w:rPr>
          <w:rFonts w:hint="eastAsia"/>
          <w:b/>
          <w:sz w:val="24"/>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5CDC8FC3">
      <w:pPr>
        <w:ind w:firstLine="482" w:firstLineChars="200"/>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14:paraId="14840682">
      <w:pPr>
        <w:ind w:firstLine="482" w:firstLineChars="200"/>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27FA5476">
      <w:pPr>
        <w:ind w:firstLine="482" w:firstLineChars="200"/>
        <w:rPr>
          <w:b/>
          <w:sz w:val="24"/>
        </w:rPr>
      </w:pPr>
      <w:r>
        <w:rPr>
          <w:rFonts w:hint="eastAsia"/>
          <w:b/>
          <w:sz w:val="24"/>
        </w:rPr>
        <w:t>其它证明资料的形式要求参照以上要求执行；</w:t>
      </w:r>
    </w:p>
    <w:p w14:paraId="4987054A">
      <w:pPr>
        <w:ind w:firstLine="482" w:firstLineChars="200"/>
        <w:rPr>
          <w:b/>
          <w:sz w:val="24"/>
        </w:rPr>
      </w:pPr>
      <w:r>
        <w:rPr>
          <w:rFonts w:hint="eastAsia"/>
          <w:b/>
          <w:sz w:val="24"/>
        </w:rPr>
        <w:t>（4）证明资料均要求原件备查。</w:t>
      </w:r>
    </w:p>
    <w:p w14:paraId="5BE2BA3A">
      <w:pPr>
        <w:ind w:firstLine="482" w:firstLineChars="200"/>
        <w:rPr>
          <w:b/>
          <w:sz w:val="24"/>
        </w:rPr>
      </w:pPr>
      <w:r>
        <w:rPr>
          <w:rFonts w:hint="eastAsia"/>
          <w:b/>
          <w:sz w:val="24"/>
        </w:rPr>
        <w:t>8、其它注意事项：</w:t>
      </w:r>
    </w:p>
    <w:p w14:paraId="240F34D0">
      <w:pPr>
        <w:ind w:firstLine="482" w:firstLineChars="200"/>
        <w:rPr>
          <w:b/>
          <w:sz w:val="24"/>
        </w:rPr>
      </w:pPr>
      <w:r>
        <w:rPr>
          <w:rFonts w:hint="eastAsia"/>
          <w:b/>
          <w:sz w:val="24"/>
        </w:rPr>
        <w:t>（1）评审委员会有权对投标人的响应情况作出判断（评审结论）；</w:t>
      </w:r>
    </w:p>
    <w:p w14:paraId="7669DF0F">
      <w:pPr>
        <w:ind w:firstLine="482" w:firstLineChars="200"/>
        <w:rPr>
          <w:b/>
          <w:sz w:val="24"/>
        </w:rPr>
      </w:pPr>
      <w:r>
        <w:rPr>
          <w:rFonts w:hint="eastAsia"/>
          <w:b/>
          <w:sz w:val="24"/>
        </w:rPr>
        <w:t>（2）</w:t>
      </w:r>
      <w:bookmarkStart w:id="78" w:name="_Hlk72158213"/>
      <w:r>
        <w:rPr>
          <w:rFonts w:hint="eastAsia"/>
          <w:b/>
          <w:sz w:val="24"/>
        </w:rPr>
        <w:t>评审委员会有权对以谋取中标为目的的技术规格模糊响应（如有意不合理照搬照抄招标文件的技术要求）或虚假响应予以认定，并视情况经政府集中采购机构报主管部门进行处理。</w:t>
      </w:r>
      <w:bookmarkEnd w:id="78"/>
    </w:p>
    <w:p w14:paraId="569F37F0">
      <w:pPr>
        <w:ind w:firstLine="482" w:firstLineChars="200"/>
        <w:rPr>
          <w:b/>
          <w:sz w:val="24"/>
        </w:rPr>
      </w:pPr>
    </w:p>
    <w:p w14:paraId="3531C4D6">
      <w:pPr>
        <w:pStyle w:val="3"/>
        <w:jc w:val="center"/>
        <w:rPr>
          <w:sz w:val="24"/>
        </w:rPr>
      </w:pPr>
      <w:r>
        <w:rPr>
          <w:rFonts w:hint="eastAsia" w:ascii="黑体" w:eastAsia="黑体"/>
          <w:b w:val="0"/>
          <w:bCs w:val="0"/>
          <w:sz w:val="24"/>
          <w:szCs w:val="20"/>
        </w:rPr>
        <w:t>五、商务要求偏离表</w:t>
      </w:r>
    </w:p>
    <w:p w14:paraId="515906A1">
      <w:pPr>
        <w:ind w:firstLine="482" w:firstLineChars="200"/>
        <w:rPr>
          <w:b/>
          <w:sz w:val="24"/>
        </w:rPr>
      </w:pPr>
    </w:p>
    <w:p w14:paraId="5F6033DD">
      <w:pPr>
        <w:ind w:firstLine="482" w:firstLineChars="200"/>
        <w:rPr>
          <w:b/>
          <w:sz w:val="24"/>
        </w:rPr>
      </w:pPr>
      <w:r>
        <w:rPr>
          <w:rFonts w:hint="eastAsia"/>
          <w:b/>
          <w:sz w:val="24"/>
        </w:rPr>
        <w:t>《商务要求偏离表》编制指引：</w:t>
      </w:r>
    </w:p>
    <w:p w14:paraId="08B29C46">
      <w:pPr>
        <w:ind w:firstLine="482" w:firstLineChars="200"/>
        <w:rPr>
          <w:b/>
          <w:sz w:val="24"/>
        </w:rPr>
      </w:pPr>
      <w:r>
        <w:rPr>
          <w:rFonts w:hint="eastAsia"/>
          <w:b/>
          <w:sz w:val="24"/>
        </w:rPr>
        <w:t>1、商务要求偏离表的序号、商务需求项、招标商务要求等栏目对应“用户需求书”中的“商务要求”章节相关内容。</w:t>
      </w:r>
    </w:p>
    <w:p w14:paraId="4721EDFD">
      <w:pPr>
        <w:ind w:firstLine="482" w:firstLineChars="200"/>
        <w:rPr>
          <w:b/>
          <w:sz w:val="24"/>
        </w:rPr>
      </w:pPr>
      <w:r>
        <w:rPr>
          <w:b/>
          <w:sz w:val="24"/>
        </w:rPr>
        <w:t>2</w:t>
      </w:r>
      <w:r>
        <w:rPr>
          <w:rFonts w:hint="eastAsia"/>
          <w:b/>
          <w:sz w:val="24"/>
        </w:rPr>
        <w:t>、“投标商务响应”一栏必须一一对照“招标商务要求”，详细填写自身响应情况，而不能不合理照搬照抄招标文件的商务要求，以体现具体响应情况。</w:t>
      </w:r>
    </w:p>
    <w:p w14:paraId="7BB3E477">
      <w:pPr>
        <w:ind w:firstLine="482" w:firstLineChars="200"/>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14:paraId="3F50961A">
      <w:pPr>
        <w:rPr>
          <w:sz w:val="24"/>
        </w:rPr>
      </w:pPr>
      <w:r>
        <w:rPr>
          <w:rFonts w:hint="eastAsia"/>
          <w:b/>
          <w:sz w:val="24"/>
        </w:rPr>
        <w:t>“投标商务响应”对比“招标商务要求”存在响应不全（包括未响应整项招标商务要求或者未响应一项招标商务要求的部分内容），均视为“负偏离”。</w:t>
      </w:r>
    </w:p>
    <w:tbl>
      <w:tblPr>
        <w:tblStyle w:val="43"/>
        <w:tblpPr w:leftFromText="180" w:rightFromText="180" w:vertAnchor="text" w:horzAnchor="page" w:tblpX="1888" w:tblpY="554"/>
        <w:tblOverlap w:val="never"/>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
        <w:gridCol w:w="916"/>
        <w:gridCol w:w="5612"/>
        <w:gridCol w:w="725"/>
        <w:gridCol w:w="638"/>
        <w:gridCol w:w="334"/>
      </w:tblGrid>
      <w:tr w14:paraId="439F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119B3A71">
            <w:pPr>
              <w:jc w:val="center"/>
              <w:rPr>
                <w:b/>
              </w:rPr>
            </w:pPr>
            <w:r>
              <w:rPr>
                <w:rFonts w:hint="eastAsia" w:cs="宋体"/>
                <w:b/>
                <w:lang w:bidi="ar"/>
              </w:rPr>
              <w:t>序号</w:t>
            </w: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14:paraId="0B1DB01C">
            <w:pPr>
              <w:jc w:val="center"/>
              <w:rPr>
                <w:b/>
              </w:rPr>
            </w:pPr>
            <w:r>
              <w:rPr>
                <w:rFonts w:hint="eastAsia" w:cs="宋体"/>
                <w:b/>
                <w:lang w:bidi="ar"/>
              </w:rPr>
              <w:t>商务需求项</w:t>
            </w:r>
          </w:p>
        </w:tc>
        <w:tc>
          <w:tcPr>
            <w:tcW w:w="5612" w:type="dxa"/>
            <w:tcBorders>
              <w:top w:val="single" w:color="auto" w:sz="4" w:space="0"/>
              <w:left w:val="single" w:color="auto" w:sz="4" w:space="0"/>
              <w:bottom w:val="single" w:color="auto" w:sz="4" w:space="0"/>
              <w:right w:val="single" w:color="auto" w:sz="4" w:space="0"/>
            </w:tcBorders>
            <w:shd w:val="clear" w:color="auto" w:fill="auto"/>
            <w:vAlign w:val="center"/>
          </w:tcPr>
          <w:p w14:paraId="0CF9D859">
            <w:pPr>
              <w:jc w:val="center"/>
              <w:rPr>
                <w:b/>
              </w:rPr>
            </w:pPr>
            <w:r>
              <w:rPr>
                <w:rFonts w:hint="eastAsia" w:cs="宋体"/>
                <w:b/>
                <w:lang w:bidi="ar"/>
              </w:rPr>
              <w:t>招标商务要求</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67ED8E52">
            <w:pPr>
              <w:jc w:val="center"/>
              <w:rPr>
                <w:rFonts w:cs="宋体"/>
                <w:b/>
                <w:lang w:bidi="ar"/>
              </w:rPr>
            </w:pPr>
            <w:r>
              <w:rPr>
                <w:rFonts w:hint="eastAsia" w:cs="宋体"/>
                <w:b/>
                <w:lang w:bidi="ar"/>
              </w:rPr>
              <w:t>投标商务响应</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1F79BE47">
            <w:pPr>
              <w:jc w:val="center"/>
              <w:rPr>
                <w:rFonts w:cs="宋体"/>
                <w:b/>
                <w:lang w:bidi="ar"/>
              </w:rPr>
            </w:pPr>
            <w:r>
              <w:rPr>
                <w:rFonts w:hint="eastAsia" w:cs="宋体"/>
                <w:b/>
                <w:lang w:bidi="ar"/>
              </w:rPr>
              <w:t>偏离情况</w:t>
            </w:r>
          </w:p>
        </w:tc>
        <w:tc>
          <w:tcPr>
            <w:tcW w:w="334" w:type="dxa"/>
            <w:tcBorders>
              <w:top w:val="single" w:color="auto" w:sz="4" w:space="0"/>
              <w:left w:val="single" w:color="auto" w:sz="4" w:space="0"/>
              <w:bottom w:val="single" w:color="auto" w:sz="4" w:space="0"/>
              <w:right w:val="single" w:color="auto" w:sz="4" w:space="0"/>
            </w:tcBorders>
            <w:shd w:val="clear" w:color="auto" w:fill="auto"/>
            <w:vAlign w:val="center"/>
          </w:tcPr>
          <w:p w14:paraId="1C855F25">
            <w:pPr>
              <w:jc w:val="center"/>
              <w:rPr>
                <w:rFonts w:cs="宋体"/>
                <w:b/>
                <w:lang w:bidi="ar"/>
              </w:rPr>
            </w:pPr>
            <w:r>
              <w:rPr>
                <w:rFonts w:hint="eastAsia" w:cs="宋体"/>
                <w:b/>
                <w:lang w:bidi="ar"/>
              </w:rPr>
              <w:t>说明</w:t>
            </w:r>
          </w:p>
        </w:tc>
      </w:tr>
      <w:tr w14:paraId="03F8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29" w:type="dxa"/>
            <w:gridSpan w:val="6"/>
            <w:tcBorders>
              <w:top w:val="single" w:color="auto" w:sz="4" w:space="0"/>
              <w:left w:val="single" w:color="auto" w:sz="4" w:space="0"/>
              <w:bottom w:val="single" w:color="auto" w:sz="4" w:space="0"/>
              <w:right w:val="single" w:color="auto" w:sz="4" w:space="0"/>
            </w:tcBorders>
            <w:shd w:val="clear" w:color="auto" w:fill="auto"/>
          </w:tcPr>
          <w:p w14:paraId="64C21050">
            <w:pPr>
              <w:rPr>
                <w:rFonts w:cs="宋体"/>
                <w:b/>
                <w:lang w:bidi="ar"/>
              </w:rPr>
            </w:pPr>
            <w:r>
              <w:rPr>
                <w:rFonts w:hint="eastAsia" w:cs="宋体"/>
                <w:b/>
                <w:lang w:bidi="ar"/>
              </w:rPr>
              <w:t>（一）免费保修期内售后服务要求</w:t>
            </w:r>
          </w:p>
        </w:tc>
      </w:tr>
      <w:tr w14:paraId="357B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913F40">
            <w:pPr>
              <w:jc w:val="center"/>
              <w:rPr>
                <w:bCs/>
              </w:rPr>
            </w:pPr>
            <w:r>
              <w:rPr>
                <w:bCs/>
                <w:lang w:bidi="ar"/>
              </w:rPr>
              <w:t>1</w:t>
            </w:r>
          </w:p>
        </w:tc>
        <w:tc>
          <w:tcPr>
            <w:tcW w:w="916" w:type="dxa"/>
            <w:vMerge w:val="restart"/>
            <w:tcBorders>
              <w:top w:val="single" w:color="auto" w:sz="4" w:space="0"/>
              <w:left w:val="single" w:color="auto" w:sz="4" w:space="0"/>
              <w:bottom w:val="single" w:color="auto" w:sz="4" w:space="0"/>
              <w:right w:val="single" w:color="auto" w:sz="4" w:space="0"/>
            </w:tcBorders>
            <w:shd w:val="clear" w:color="auto" w:fill="auto"/>
          </w:tcPr>
          <w:p w14:paraId="3134828C">
            <w:r>
              <w:rPr>
                <w:rFonts w:hint="eastAsia" w:cs="宋体"/>
                <w:lang w:bidi="ar"/>
              </w:rPr>
              <w:t>维修响应及维护服务</w:t>
            </w:r>
          </w:p>
        </w:tc>
        <w:tc>
          <w:tcPr>
            <w:tcW w:w="5612" w:type="dxa"/>
            <w:tcBorders>
              <w:top w:val="single" w:color="auto" w:sz="4" w:space="0"/>
              <w:left w:val="single" w:color="auto" w:sz="4" w:space="0"/>
              <w:bottom w:val="single" w:color="auto" w:sz="4" w:space="0"/>
              <w:right w:val="single" w:color="auto" w:sz="4" w:space="0"/>
            </w:tcBorders>
            <w:shd w:val="clear" w:color="auto" w:fill="auto"/>
          </w:tcPr>
          <w:p w14:paraId="4680F7EC">
            <w:pPr>
              <w:rPr>
                <w:bCs/>
              </w:rPr>
            </w:pPr>
            <w:r>
              <w:rPr>
                <w:bCs/>
                <w:lang w:bidi="ar"/>
              </w:rPr>
              <w:t xml:space="preserve">1.1 </w:t>
            </w:r>
            <w:r>
              <w:rPr>
                <w:rFonts w:hint="eastAsia" w:cs="宋体"/>
                <w:bCs/>
                <w:lang w:bidi="ar"/>
              </w:rPr>
              <w:t>各投标人应在投标文件中列明各主机、配件和易耗品的保修期限。</w:t>
            </w:r>
          </w:p>
        </w:tc>
        <w:tc>
          <w:tcPr>
            <w:tcW w:w="725" w:type="dxa"/>
            <w:tcBorders>
              <w:top w:val="single" w:color="auto" w:sz="4" w:space="0"/>
              <w:left w:val="single" w:color="auto" w:sz="4" w:space="0"/>
              <w:bottom w:val="single" w:color="auto" w:sz="4" w:space="0"/>
              <w:right w:val="single" w:color="auto" w:sz="4" w:space="0"/>
            </w:tcBorders>
            <w:shd w:val="clear" w:color="auto" w:fill="auto"/>
          </w:tcPr>
          <w:p w14:paraId="5CB3E203">
            <w:pPr>
              <w:rPr>
                <w:bCs/>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7BF27FA7">
            <w:pPr>
              <w:rPr>
                <w:bCs/>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tcPr>
          <w:p w14:paraId="21181F75">
            <w:pPr>
              <w:rPr>
                <w:bCs/>
                <w:lang w:bidi="ar"/>
              </w:rPr>
            </w:pPr>
          </w:p>
        </w:tc>
      </w:tr>
      <w:tr w14:paraId="76A7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DC9129">
            <w:pPr>
              <w:rPr>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shd w:val="clear" w:color="auto" w:fill="auto"/>
          </w:tcPr>
          <w:p w14:paraId="08B9B8C6">
            <w:pPr>
              <w:rPr>
                <w:sz w:val="20"/>
                <w:szCs w:val="20"/>
              </w:rPr>
            </w:pPr>
          </w:p>
        </w:tc>
        <w:tc>
          <w:tcPr>
            <w:tcW w:w="5612" w:type="dxa"/>
            <w:tcBorders>
              <w:top w:val="single" w:color="auto" w:sz="4" w:space="0"/>
              <w:left w:val="single" w:color="auto" w:sz="4" w:space="0"/>
              <w:bottom w:val="single" w:color="auto" w:sz="4" w:space="0"/>
              <w:right w:val="single" w:color="auto" w:sz="4" w:space="0"/>
            </w:tcBorders>
            <w:shd w:val="clear" w:color="auto" w:fill="auto"/>
          </w:tcPr>
          <w:p w14:paraId="57F24677">
            <w:pPr>
              <w:rPr>
                <w:bCs/>
                <w:szCs w:val="21"/>
              </w:rPr>
            </w:pPr>
            <w:r>
              <w:rPr>
                <w:rFonts w:hint="eastAsia" w:cs="宋体"/>
                <w:bCs/>
                <w:szCs w:val="21"/>
                <w:lang w:bidi="ar"/>
              </w:rPr>
              <w:t>★</w:t>
            </w:r>
            <w:r>
              <w:rPr>
                <w:bCs/>
                <w:szCs w:val="21"/>
                <w:lang w:bidi="ar"/>
              </w:rPr>
              <w:t>1.2</w:t>
            </w:r>
            <w:r>
              <w:rPr>
                <w:rFonts w:hint="eastAsia" w:cs="宋体"/>
                <w:bCs/>
                <w:lang w:bidi="ar"/>
              </w:rPr>
              <w:t>承诺提供整机免费保修期不少于</w:t>
            </w:r>
            <w:r>
              <w:rPr>
                <w:bCs/>
                <w:u w:val="single"/>
                <w:lang w:bidi="ar"/>
              </w:rPr>
              <w:t xml:space="preserve"> 2 </w:t>
            </w:r>
            <w:r>
              <w:rPr>
                <w:rFonts w:hint="eastAsia" w:cs="宋体"/>
                <w:bCs/>
                <w:lang w:bidi="ar"/>
              </w:rPr>
              <w:t>年，终身维修，保修期内</w:t>
            </w:r>
            <w:r>
              <w:rPr>
                <w:bCs/>
                <w:lang w:bidi="ar"/>
              </w:rPr>
              <w:t>,</w:t>
            </w:r>
            <w:r>
              <w:rPr>
                <w:rFonts w:hint="eastAsia" w:cs="宋体"/>
                <w:bCs/>
                <w:lang w:bidi="ar"/>
              </w:rPr>
              <w:t>年度定期预防性维护保养次数应不少于</w:t>
            </w:r>
            <w:r>
              <w:rPr>
                <w:bCs/>
                <w:lang w:bidi="ar"/>
              </w:rPr>
              <w:t xml:space="preserve"> 3 </w:t>
            </w:r>
            <w:r>
              <w:rPr>
                <w:rFonts w:hint="eastAsia" w:cs="宋体"/>
                <w:bCs/>
                <w:lang w:bidi="ar"/>
              </w:rPr>
              <w:t>次。保修期内免费更换零配件、免工时费。</w:t>
            </w:r>
            <w:r>
              <w:rPr>
                <w:bCs/>
                <w:lang w:bidi="ar"/>
              </w:rPr>
              <w:t xml:space="preserve"> </w:t>
            </w:r>
          </w:p>
        </w:tc>
        <w:tc>
          <w:tcPr>
            <w:tcW w:w="725" w:type="dxa"/>
            <w:tcBorders>
              <w:top w:val="single" w:color="auto" w:sz="4" w:space="0"/>
              <w:left w:val="single" w:color="auto" w:sz="4" w:space="0"/>
              <w:bottom w:val="single" w:color="auto" w:sz="4" w:space="0"/>
              <w:right w:val="single" w:color="auto" w:sz="4" w:space="0"/>
            </w:tcBorders>
            <w:shd w:val="clear" w:color="auto" w:fill="auto"/>
          </w:tcPr>
          <w:p w14:paraId="04862876">
            <w:pPr>
              <w:rPr>
                <w:rFonts w:cs="宋体"/>
                <w:bCs/>
                <w:szCs w:val="21"/>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29CAF98E">
            <w:pPr>
              <w:rPr>
                <w:rFonts w:cs="宋体"/>
                <w:bCs/>
                <w:szCs w:val="21"/>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tcPr>
          <w:p w14:paraId="6AD48963">
            <w:pPr>
              <w:rPr>
                <w:rFonts w:cs="宋体"/>
                <w:bCs/>
                <w:szCs w:val="21"/>
                <w:lang w:bidi="ar"/>
              </w:rPr>
            </w:pPr>
          </w:p>
        </w:tc>
      </w:tr>
      <w:tr w14:paraId="34D0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44287C">
            <w:pPr>
              <w:rPr>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shd w:val="clear" w:color="auto" w:fill="auto"/>
          </w:tcPr>
          <w:p w14:paraId="5BD1D085">
            <w:pPr>
              <w:rPr>
                <w:sz w:val="20"/>
                <w:szCs w:val="20"/>
              </w:rPr>
            </w:pPr>
          </w:p>
        </w:tc>
        <w:tc>
          <w:tcPr>
            <w:tcW w:w="5612" w:type="dxa"/>
            <w:tcBorders>
              <w:top w:val="single" w:color="auto" w:sz="4" w:space="0"/>
              <w:left w:val="single" w:color="auto" w:sz="4" w:space="0"/>
              <w:bottom w:val="single" w:color="auto" w:sz="4" w:space="0"/>
              <w:right w:val="single" w:color="auto" w:sz="4" w:space="0"/>
            </w:tcBorders>
            <w:shd w:val="clear" w:color="auto" w:fill="auto"/>
          </w:tcPr>
          <w:p w14:paraId="1B39765B">
            <w:pPr>
              <w:rPr>
                <w:bCs/>
              </w:rPr>
            </w:pPr>
            <w:r>
              <w:rPr>
                <w:bCs/>
                <w:lang w:bidi="ar"/>
              </w:rPr>
              <w:t xml:space="preserve">1.3 </w:t>
            </w:r>
            <w:r>
              <w:rPr>
                <w:rFonts w:hint="eastAsia" w:cs="宋体"/>
                <w:bCs/>
                <w:lang w:bidi="ar"/>
              </w:rPr>
              <w:t>由设备制造商提供售后服务，</w:t>
            </w:r>
            <w:r>
              <w:rPr>
                <w:bCs/>
                <w:u w:val="single"/>
                <w:lang w:bidi="ar"/>
              </w:rPr>
              <w:t xml:space="preserve">4 </w:t>
            </w:r>
            <w:r>
              <w:rPr>
                <w:rFonts w:hint="eastAsia" w:cs="宋体"/>
                <w:bCs/>
                <w:lang w:bidi="ar"/>
              </w:rPr>
              <w:t>小时内响应，</w:t>
            </w:r>
            <w:r>
              <w:rPr>
                <w:bCs/>
                <w:u w:val="single"/>
                <w:lang w:bidi="ar"/>
              </w:rPr>
              <w:t xml:space="preserve">24 </w:t>
            </w:r>
            <w:r>
              <w:rPr>
                <w:rFonts w:hint="eastAsia" w:cs="宋体"/>
                <w:bCs/>
                <w:lang w:bidi="ar"/>
              </w:rPr>
              <w:t>小时维修到位（不可抗力情况除外）</w:t>
            </w:r>
            <w:r>
              <w:rPr>
                <w:bCs/>
                <w:lang w:bidi="ar"/>
              </w:rPr>
              <w:t>,</w:t>
            </w:r>
            <w:r>
              <w:rPr>
                <w:rFonts w:hint="eastAsia" w:cs="宋体"/>
                <w:bCs/>
                <w:lang w:bidi="ar"/>
              </w:rPr>
              <w:t>否则提供备用机</w:t>
            </w:r>
            <w:r>
              <w:rPr>
                <w:bCs/>
                <w:lang w:bidi="ar"/>
              </w:rPr>
              <w:t>,</w:t>
            </w:r>
            <w:r>
              <w:rPr>
                <w:rFonts w:hint="eastAsia" w:cs="宋体"/>
                <w:bCs/>
                <w:lang w:bidi="ar"/>
              </w:rPr>
              <w:t>消耗品和零配件供应及时。</w:t>
            </w:r>
            <w:r>
              <w:rPr>
                <w:bCs/>
                <w:lang w:bidi="ar"/>
              </w:rPr>
              <w:t xml:space="preserve"> </w:t>
            </w:r>
          </w:p>
        </w:tc>
        <w:tc>
          <w:tcPr>
            <w:tcW w:w="725" w:type="dxa"/>
            <w:tcBorders>
              <w:top w:val="single" w:color="auto" w:sz="4" w:space="0"/>
              <w:left w:val="single" w:color="auto" w:sz="4" w:space="0"/>
              <w:bottom w:val="single" w:color="auto" w:sz="4" w:space="0"/>
              <w:right w:val="single" w:color="auto" w:sz="4" w:space="0"/>
            </w:tcBorders>
            <w:shd w:val="clear" w:color="auto" w:fill="auto"/>
          </w:tcPr>
          <w:p w14:paraId="067E3417">
            <w:pPr>
              <w:rPr>
                <w:bCs/>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32A0FE38">
            <w:pPr>
              <w:rPr>
                <w:bCs/>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tcPr>
          <w:p w14:paraId="65457618">
            <w:pPr>
              <w:rPr>
                <w:bCs/>
                <w:lang w:bidi="ar"/>
              </w:rPr>
            </w:pPr>
          </w:p>
        </w:tc>
      </w:tr>
      <w:tr w14:paraId="63F5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5B4555">
            <w:pPr>
              <w:rPr>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shd w:val="clear" w:color="auto" w:fill="auto"/>
          </w:tcPr>
          <w:p w14:paraId="5A7FA266">
            <w:pPr>
              <w:rPr>
                <w:sz w:val="20"/>
                <w:szCs w:val="20"/>
              </w:rPr>
            </w:pPr>
          </w:p>
        </w:tc>
        <w:tc>
          <w:tcPr>
            <w:tcW w:w="5612" w:type="dxa"/>
            <w:tcBorders>
              <w:top w:val="single" w:color="auto" w:sz="4" w:space="0"/>
              <w:left w:val="single" w:color="auto" w:sz="4" w:space="0"/>
              <w:bottom w:val="single" w:color="auto" w:sz="4" w:space="0"/>
              <w:right w:val="single" w:color="auto" w:sz="4" w:space="0"/>
            </w:tcBorders>
            <w:shd w:val="clear" w:color="auto" w:fill="auto"/>
          </w:tcPr>
          <w:p w14:paraId="6D85F8B2">
            <w:pPr>
              <w:rPr>
                <w:bCs/>
              </w:rPr>
            </w:pPr>
            <w:r>
              <w:rPr>
                <w:bCs/>
                <w:lang w:bidi="ar"/>
              </w:rPr>
              <w:t>1.4</w:t>
            </w:r>
            <w:r>
              <w:rPr>
                <w:rFonts w:hint="eastAsia" w:ascii="宋体" w:hAnsi="宋体" w:cs="宋体"/>
                <w:color w:val="000000"/>
                <w:kern w:val="0"/>
                <w:szCs w:val="21"/>
                <w:lang w:bidi="ar"/>
              </w:rPr>
              <w:t>投标人负责货物的终身维护</w:t>
            </w:r>
            <w:r>
              <w:rPr>
                <w:rFonts w:hint="eastAsia" w:cs="宋体"/>
                <w:bCs/>
                <w:lang w:bidi="ar"/>
              </w:rPr>
              <w:t>，保证</w:t>
            </w:r>
            <w:r>
              <w:rPr>
                <w:bCs/>
                <w:u w:val="single"/>
                <w:lang w:bidi="ar"/>
              </w:rPr>
              <w:t xml:space="preserve"> 5 </w:t>
            </w:r>
            <w:r>
              <w:rPr>
                <w:rFonts w:hint="eastAsia" w:cs="宋体"/>
                <w:bCs/>
                <w:lang w:bidi="ar"/>
              </w:rPr>
              <w:t>年以上供应维修配件，终身免费提供软件升级服务。在免费保修期后，维修只收取零配件费用，不收取其他任何费用。</w:t>
            </w:r>
          </w:p>
        </w:tc>
        <w:tc>
          <w:tcPr>
            <w:tcW w:w="725" w:type="dxa"/>
            <w:tcBorders>
              <w:top w:val="single" w:color="auto" w:sz="4" w:space="0"/>
              <w:left w:val="single" w:color="auto" w:sz="4" w:space="0"/>
              <w:bottom w:val="single" w:color="auto" w:sz="4" w:space="0"/>
              <w:right w:val="single" w:color="auto" w:sz="4" w:space="0"/>
            </w:tcBorders>
            <w:shd w:val="clear" w:color="auto" w:fill="auto"/>
          </w:tcPr>
          <w:p w14:paraId="47A2B61B">
            <w:pPr>
              <w:rPr>
                <w:bCs/>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483103F2">
            <w:pPr>
              <w:rPr>
                <w:bCs/>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tcPr>
          <w:p w14:paraId="1B714876">
            <w:pPr>
              <w:rPr>
                <w:bCs/>
                <w:lang w:bidi="ar"/>
              </w:rPr>
            </w:pPr>
          </w:p>
        </w:tc>
      </w:tr>
      <w:tr w14:paraId="608F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60FF3EA7">
            <w:pPr>
              <w:jc w:val="center"/>
              <w:rPr>
                <w:b/>
              </w:rPr>
            </w:pPr>
            <w:r>
              <w:rPr>
                <w:b/>
                <w:lang w:bidi="ar"/>
              </w:rPr>
              <w:t>2</w:t>
            </w: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14:paraId="3B1370B3">
            <w:r>
              <w:rPr>
                <w:rFonts w:hint="eastAsia" w:cs="宋体"/>
                <w:szCs w:val="21"/>
                <w:lang w:bidi="ar"/>
              </w:rPr>
              <w:t>质量保证</w:t>
            </w:r>
          </w:p>
        </w:tc>
        <w:tc>
          <w:tcPr>
            <w:tcW w:w="5612" w:type="dxa"/>
            <w:tcBorders>
              <w:top w:val="single" w:color="auto" w:sz="4" w:space="0"/>
              <w:left w:val="single" w:color="auto" w:sz="4" w:space="0"/>
              <w:bottom w:val="single" w:color="auto" w:sz="4" w:space="0"/>
              <w:right w:val="single" w:color="auto" w:sz="4" w:space="0"/>
            </w:tcBorders>
            <w:shd w:val="clear" w:color="auto" w:fill="auto"/>
            <w:vAlign w:val="center"/>
          </w:tcPr>
          <w:p w14:paraId="73D7494F">
            <w:pPr>
              <w:rPr>
                <w:bCs/>
                <w:szCs w:val="21"/>
              </w:rPr>
            </w:pPr>
            <w:r>
              <w:rPr>
                <w:bCs/>
                <w:lang w:bidi="ar"/>
              </w:rPr>
              <w:t>2.1</w:t>
            </w:r>
            <w:r>
              <w:rPr>
                <w:rFonts w:hint="eastAsia" w:cs="宋体"/>
                <w:bCs/>
                <w:lang w:bidi="ar"/>
              </w:rPr>
              <w:t>在保修期内</w:t>
            </w:r>
            <w:r>
              <w:rPr>
                <w:bCs/>
                <w:lang w:bidi="ar"/>
              </w:rPr>
              <w:t xml:space="preserve">, </w:t>
            </w:r>
            <w:r>
              <w:rPr>
                <w:rFonts w:hint="eastAsia" w:cs="宋体"/>
                <w:bCs/>
                <w:lang w:bidi="ar"/>
              </w:rPr>
              <w:t>投标人应确保年开机率在</w:t>
            </w:r>
            <w:r>
              <w:rPr>
                <w:bCs/>
                <w:lang w:bidi="ar"/>
              </w:rPr>
              <w:t>95%</w:t>
            </w:r>
            <w:r>
              <w:rPr>
                <w:rFonts w:hint="eastAsia" w:cs="宋体"/>
                <w:lang w:bidi="ar"/>
              </w:rPr>
              <w:t>（含</w:t>
            </w:r>
            <w:r>
              <w:rPr>
                <w:lang w:bidi="ar"/>
              </w:rPr>
              <w:t>95%</w:t>
            </w:r>
            <w:r>
              <w:rPr>
                <w:rFonts w:hint="eastAsia" w:cs="宋体"/>
                <w:lang w:bidi="ar"/>
              </w:rPr>
              <w:t>）</w:t>
            </w:r>
            <w:r>
              <w:rPr>
                <w:rFonts w:hint="eastAsia" w:cs="宋体"/>
                <w:bCs/>
                <w:lang w:bidi="ar"/>
              </w:rPr>
              <w:t>以上</w:t>
            </w:r>
            <w:r>
              <w:rPr>
                <w:bCs/>
                <w:lang w:bidi="ar"/>
              </w:rPr>
              <w:t xml:space="preserve">, </w:t>
            </w:r>
            <w:r>
              <w:rPr>
                <w:rFonts w:hint="eastAsia" w:cs="宋体"/>
                <w:bCs/>
                <w:lang w:bidi="ar"/>
              </w:rPr>
              <w:t>若不能达到此开机率，将作以下处理：</w:t>
            </w:r>
            <w:r>
              <w:rPr>
                <w:bCs/>
                <w:lang w:bidi="ar"/>
              </w:rPr>
              <w:t xml:space="preserve">a. </w:t>
            </w:r>
            <w:r>
              <w:rPr>
                <w:rFonts w:hint="eastAsia" w:cs="宋体"/>
                <w:bCs/>
                <w:lang w:bidi="ar"/>
              </w:rPr>
              <w:t>年开机率在</w:t>
            </w:r>
            <w:r>
              <w:rPr>
                <w:bCs/>
                <w:lang w:bidi="ar"/>
              </w:rPr>
              <w:t>90</w:t>
            </w:r>
            <w:r>
              <w:rPr>
                <w:rFonts w:hint="eastAsia" w:cs="宋体"/>
                <w:lang w:bidi="ar"/>
              </w:rPr>
              <w:t>（含</w:t>
            </w:r>
            <w:r>
              <w:rPr>
                <w:lang w:bidi="ar"/>
              </w:rPr>
              <w:t>90%</w:t>
            </w:r>
            <w:r>
              <w:rPr>
                <w:rFonts w:hint="eastAsia" w:cs="宋体"/>
                <w:lang w:bidi="ar"/>
              </w:rPr>
              <w:t>）</w:t>
            </w:r>
            <w:r>
              <w:rPr>
                <w:bCs/>
                <w:lang w:bidi="ar"/>
              </w:rPr>
              <w:t>-95%</w:t>
            </w:r>
            <w:r>
              <w:rPr>
                <w:rFonts w:hint="eastAsia" w:cs="宋体"/>
                <w:bCs/>
                <w:lang w:bidi="ar"/>
              </w:rPr>
              <w:t>之间按一赔</w:t>
            </w:r>
            <w:r>
              <w:rPr>
                <w:bCs/>
                <w:u w:val="single"/>
                <w:lang w:bidi="ar"/>
              </w:rPr>
              <w:t xml:space="preserve">2  </w:t>
            </w:r>
            <w:r>
              <w:rPr>
                <w:rFonts w:hint="eastAsia" w:cs="宋体"/>
                <w:bCs/>
                <w:lang w:bidi="ar"/>
              </w:rPr>
              <w:t>延长保修期；</w:t>
            </w:r>
            <w:r>
              <w:rPr>
                <w:bCs/>
                <w:lang w:bidi="ar"/>
              </w:rPr>
              <w:t xml:space="preserve">b. </w:t>
            </w:r>
            <w:r>
              <w:rPr>
                <w:rFonts w:hint="eastAsia" w:cs="宋体"/>
                <w:bCs/>
                <w:lang w:bidi="ar"/>
              </w:rPr>
              <w:t>年开机率在</w:t>
            </w:r>
            <w:r>
              <w:rPr>
                <w:bCs/>
                <w:lang w:bidi="ar"/>
              </w:rPr>
              <w:t>85</w:t>
            </w:r>
            <w:r>
              <w:rPr>
                <w:rFonts w:hint="eastAsia" w:cs="宋体"/>
                <w:lang w:bidi="ar"/>
              </w:rPr>
              <w:t>（含</w:t>
            </w:r>
            <w:r>
              <w:rPr>
                <w:lang w:bidi="ar"/>
              </w:rPr>
              <w:t>85%</w:t>
            </w:r>
            <w:r>
              <w:rPr>
                <w:rFonts w:hint="eastAsia" w:cs="宋体"/>
                <w:lang w:bidi="ar"/>
              </w:rPr>
              <w:t>）</w:t>
            </w:r>
            <w:r>
              <w:rPr>
                <w:bCs/>
                <w:lang w:bidi="ar"/>
              </w:rPr>
              <w:t>-90%</w:t>
            </w:r>
            <w:r>
              <w:rPr>
                <w:rFonts w:hint="eastAsia" w:cs="宋体"/>
                <w:bCs/>
                <w:lang w:bidi="ar"/>
              </w:rPr>
              <w:t>之间按一赔</w:t>
            </w:r>
            <w:r>
              <w:rPr>
                <w:bCs/>
                <w:u w:val="single"/>
                <w:lang w:bidi="ar"/>
              </w:rPr>
              <w:t xml:space="preserve"> 3</w:t>
            </w:r>
            <w:r>
              <w:rPr>
                <w:rFonts w:hint="eastAsia" w:cs="宋体"/>
                <w:bCs/>
                <w:lang w:bidi="ar"/>
              </w:rPr>
              <w:t>延长保修期；</w:t>
            </w:r>
            <w:r>
              <w:rPr>
                <w:bCs/>
                <w:lang w:bidi="ar"/>
              </w:rPr>
              <w:t xml:space="preserve">c. </w:t>
            </w:r>
            <w:r>
              <w:rPr>
                <w:rFonts w:hint="eastAsia" w:cs="宋体"/>
                <w:bCs/>
                <w:lang w:bidi="ar"/>
              </w:rPr>
              <w:t>年开机率低于</w:t>
            </w:r>
            <w:r>
              <w:rPr>
                <w:bCs/>
                <w:lang w:bidi="ar"/>
              </w:rPr>
              <w:t>85%</w:t>
            </w:r>
            <w:r>
              <w:rPr>
                <w:rFonts w:hint="eastAsia" w:cs="宋体"/>
                <w:bCs/>
                <w:lang w:bidi="ar"/>
              </w:rPr>
              <w:t>，投标人必须无条件更换新机，并重新计算保修期，以及赔偿用户的直接经济损失和间接经济损失。注：年开机率</w:t>
            </w:r>
            <w:r>
              <w:rPr>
                <w:bCs/>
                <w:lang w:bidi="ar"/>
              </w:rPr>
              <w:t>=</w:t>
            </w:r>
            <w:r>
              <w:rPr>
                <w:rFonts w:hint="eastAsia" w:cs="宋体"/>
                <w:bCs/>
                <w:lang w:bidi="ar"/>
              </w:rPr>
              <w:t>（</w:t>
            </w:r>
            <w:r>
              <w:rPr>
                <w:bCs/>
                <w:lang w:bidi="ar"/>
              </w:rPr>
              <w:t>365-</w:t>
            </w:r>
            <w:r>
              <w:rPr>
                <w:rFonts w:hint="eastAsia" w:cs="宋体"/>
                <w:bCs/>
                <w:lang w:bidi="ar"/>
              </w:rPr>
              <w:t>停机天数）</w:t>
            </w:r>
            <w:r>
              <w:rPr>
                <w:bCs/>
                <w:lang w:bidi="ar"/>
              </w:rPr>
              <w:t>/365</w:t>
            </w:r>
            <w:r>
              <w:rPr>
                <w:rFonts w:hint="eastAsia" w:cs="宋体"/>
                <w:bCs/>
                <w:lang w:bidi="ar"/>
              </w:rPr>
              <w:t>）</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25244414">
            <w:pPr>
              <w:rPr>
                <w:bCs/>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7B5467C9">
            <w:pPr>
              <w:rPr>
                <w:bCs/>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vAlign w:val="center"/>
          </w:tcPr>
          <w:p w14:paraId="701E96E2">
            <w:pPr>
              <w:rPr>
                <w:bCs/>
                <w:lang w:bidi="ar"/>
              </w:rPr>
            </w:pPr>
          </w:p>
        </w:tc>
      </w:tr>
      <w:tr w14:paraId="24E7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73DE1039">
            <w:pPr>
              <w:jc w:val="center"/>
              <w:rPr>
                <w:bCs/>
              </w:rPr>
            </w:pPr>
            <w:r>
              <w:rPr>
                <w:bCs/>
                <w:lang w:bidi="ar"/>
              </w:rPr>
              <w:t>3</w:t>
            </w: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14:paraId="292148DA">
            <w:pPr>
              <w:rPr>
                <w:b/>
              </w:rPr>
            </w:pPr>
            <w:r>
              <w:rPr>
                <w:rFonts w:hint="eastAsia" w:cs="宋体"/>
                <w:lang w:bidi="ar"/>
              </w:rPr>
              <w:t>其他</w:t>
            </w:r>
          </w:p>
        </w:tc>
        <w:tc>
          <w:tcPr>
            <w:tcW w:w="5612" w:type="dxa"/>
            <w:tcBorders>
              <w:top w:val="single" w:color="auto" w:sz="4" w:space="0"/>
              <w:left w:val="single" w:color="auto" w:sz="4" w:space="0"/>
              <w:bottom w:val="single" w:color="auto" w:sz="4" w:space="0"/>
              <w:right w:val="single" w:color="auto" w:sz="4" w:space="0"/>
            </w:tcBorders>
            <w:shd w:val="clear" w:color="auto" w:fill="auto"/>
            <w:vAlign w:val="center"/>
          </w:tcPr>
          <w:p w14:paraId="7CF4ADA1">
            <w:pPr>
              <w:rPr>
                <w:b/>
              </w:rPr>
            </w:pPr>
            <w:r>
              <w:rPr>
                <w:rFonts w:hint="eastAsia" w:cs="宋体"/>
                <w:bCs/>
                <w:szCs w:val="21"/>
                <w:lang w:bidi="ar"/>
              </w:rPr>
              <w:t>投标人应按其投标文件中的承诺，进行其他售后服务工作。</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51B602E8">
            <w:pPr>
              <w:rPr>
                <w:rFonts w:cs="宋体"/>
                <w:bCs/>
                <w:szCs w:val="21"/>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4E9A5D37">
            <w:pPr>
              <w:rPr>
                <w:rFonts w:cs="宋体"/>
                <w:bCs/>
                <w:szCs w:val="21"/>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vAlign w:val="center"/>
          </w:tcPr>
          <w:p w14:paraId="12F6E624">
            <w:pPr>
              <w:rPr>
                <w:rFonts w:cs="宋体"/>
                <w:bCs/>
                <w:szCs w:val="21"/>
                <w:lang w:bidi="ar"/>
              </w:rPr>
            </w:pPr>
          </w:p>
        </w:tc>
      </w:tr>
      <w:tr w14:paraId="23E3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29" w:type="dxa"/>
            <w:gridSpan w:val="6"/>
            <w:tcBorders>
              <w:top w:val="single" w:color="auto" w:sz="4" w:space="0"/>
              <w:left w:val="single" w:color="auto" w:sz="4" w:space="0"/>
              <w:bottom w:val="single" w:color="auto" w:sz="4" w:space="0"/>
              <w:right w:val="single" w:color="auto" w:sz="4" w:space="0"/>
            </w:tcBorders>
            <w:shd w:val="clear" w:color="auto" w:fill="auto"/>
          </w:tcPr>
          <w:p w14:paraId="69DB79FE">
            <w:pPr>
              <w:rPr>
                <w:rFonts w:cs="宋体"/>
                <w:b/>
                <w:lang w:bidi="ar"/>
              </w:rPr>
            </w:pPr>
            <w:r>
              <w:rPr>
                <w:rFonts w:hint="eastAsia" w:cs="宋体"/>
                <w:b/>
                <w:lang w:bidi="ar"/>
              </w:rPr>
              <w:t>（二）免费保修期外售后服务要求</w:t>
            </w:r>
          </w:p>
        </w:tc>
      </w:tr>
      <w:tr w14:paraId="7F27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321357">
            <w:pPr>
              <w:jc w:val="center"/>
              <w:rPr>
                <w:bCs/>
              </w:rPr>
            </w:pPr>
            <w:r>
              <w:rPr>
                <w:bCs/>
                <w:lang w:bidi="ar"/>
              </w:rPr>
              <w:t>1</w:t>
            </w:r>
          </w:p>
        </w:tc>
        <w:tc>
          <w:tcPr>
            <w:tcW w:w="9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1CDDC6">
            <w:pPr>
              <w:jc w:val="center"/>
              <w:rPr>
                <w:b/>
              </w:rPr>
            </w:pPr>
            <w:r>
              <w:rPr>
                <w:rFonts w:hint="eastAsia" w:ascii="宋体" w:hAnsi="宋体" w:cs="宋体"/>
                <w:b/>
                <w:kern w:val="0"/>
                <w:szCs w:val="21"/>
                <w:lang w:bidi="ar"/>
              </w:rPr>
              <w:t>维修零配件、消耗品和延续保修合同的报价</w:t>
            </w:r>
          </w:p>
        </w:tc>
        <w:tc>
          <w:tcPr>
            <w:tcW w:w="5612" w:type="dxa"/>
            <w:tcBorders>
              <w:top w:val="single" w:color="auto" w:sz="4" w:space="0"/>
              <w:left w:val="single" w:color="auto" w:sz="4" w:space="0"/>
              <w:bottom w:val="single" w:color="auto" w:sz="4" w:space="0"/>
              <w:right w:val="single" w:color="auto" w:sz="4" w:space="0"/>
            </w:tcBorders>
            <w:shd w:val="clear" w:color="auto" w:fill="auto"/>
          </w:tcPr>
          <w:p w14:paraId="6474E7CB">
            <w:pPr>
              <w:spacing w:line="300" w:lineRule="exact"/>
              <w:rPr>
                <w:b/>
              </w:rPr>
            </w:pPr>
            <w:r>
              <w:rPr>
                <w:rFonts w:hint="eastAsia" w:ascii="宋体" w:hAnsi="宋体" w:cs="宋体"/>
                <w:kern w:val="0"/>
                <w:szCs w:val="21"/>
                <w:lang w:bidi="ar"/>
              </w:rPr>
              <w:t>1.1由设备制造商提供售后服务，</w:t>
            </w:r>
            <w:r>
              <w:rPr>
                <w:rFonts w:hint="eastAsia" w:ascii="宋体" w:hAnsi="宋体" w:cs="宋体"/>
                <w:bCs/>
                <w:kern w:val="0"/>
                <w:szCs w:val="21"/>
                <w:u w:val="single"/>
                <w:lang w:bidi="ar"/>
              </w:rPr>
              <w:t xml:space="preserve"> 4 </w:t>
            </w:r>
            <w:r>
              <w:rPr>
                <w:rFonts w:hint="eastAsia" w:ascii="宋体" w:hAnsi="宋体" w:cs="宋体"/>
                <w:kern w:val="0"/>
                <w:szCs w:val="21"/>
                <w:lang w:bidi="ar"/>
              </w:rPr>
              <w:t>小时内响应，</w:t>
            </w:r>
            <w:r>
              <w:rPr>
                <w:rFonts w:hint="eastAsia" w:ascii="宋体" w:hAnsi="宋体" w:cs="宋体"/>
                <w:bCs/>
                <w:kern w:val="0"/>
                <w:szCs w:val="21"/>
                <w:u w:val="single"/>
                <w:lang w:bidi="ar"/>
              </w:rPr>
              <w:t xml:space="preserve">  24  </w:t>
            </w:r>
            <w:r>
              <w:rPr>
                <w:rFonts w:hint="eastAsia" w:ascii="宋体" w:hAnsi="宋体" w:cs="宋体"/>
                <w:kern w:val="0"/>
                <w:szCs w:val="21"/>
                <w:lang w:bidi="ar"/>
              </w:rPr>
              <w:t>小时维修到位（不可抗力情况除外）。消耗品和零配件供应及时，特殊情况下可提供备用机。</w:t>
            </w:r>
          </w:p>
        </w:tc>
        <w:tc>
          <w:tcPr>
            <w:tcW w:w="725" w:type="dxa"/>
            <w:tcBorders>
              <w:top w:val="single" w:color="auto" w:sz="4" w:space="0"/>
              <w:left w:val="single" w:color="auto" w:sz="4" w:space="0"/>
              <w:bottom w:val="single" w:color="auto" w:sz="4" w:space="0"/>
              <w:right w:val="single" w:color="auto" w:sz="4" w:space="0"/>
            </w:tcBorders>
            <w:shd w:val="clear" w:color="auto" w:fill="auto"/>
          </w:tcPr>
          <w:p w14:paraId="73ED421E">
            <w:pPr>
              <w:spacing w:line="300" w:lineRule="exact"/>
              <w:rPr>
                <w:rFonts w:ascii="宋体" w:hAnsi="宋体" w:cs="宋体"/>
                <w:kern w:val="0"/>
                <w:szCs w:val="21"/>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700E5DE6">
            <w:pPr>
              <w:spacing w:line="300" w:lineRule="exact"/>
              <w:rPr>
                <w:rFonts w:ascii="宋体" w:hAnsi="宋体" w:cs="宋体"/>
                <w:kern w:val="0"/>
                <w:szCs w:val="21"/>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tcPr>
          <w:p w14:paraId="72353B0F">
            <w:pPr>
              <w:spacing w:line="300" w:lineRule="exact"/>
              <w:rPr>
                <w:rFonts w:ascii="宋体" w:hAnsi="宋体" w:cs="宋体"/>
                <w:kern w:val="0"/>
                <w:szCs w:val="21"/>
                <w:lang w:bidi="ar"/>
              </w:rPr>
            </w:pPr>
          </w:p>
        </w:tc>
      </w:tr>
      <w:tr w14:paraId="72DD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4D0F73">
            <w:pPr>
              <w:rPr>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5689D1">
            <w:pPr>
              <w:rPr>
                <w:sz w:val="20"/>
                <w:szCs w:val="20"/>
              </w:rPr>
            </w:pPr>
          </w:p>
        </w:tc>
        <w:tc>
          <w:tcPr>
            <w:tcW w:w="5612" w:type="dxa"/>
            <w:tcBorders>
              <w:top w:val="single" w:color="auto" w:sz="4" w:space="0"/>
              <w:left w:val="single" w:color="auto" w:sz="4" w:space="0"/>
              <w:bottom w:val="single" w:color="auto" w:sz="4" w:space="0"/>
              <w:right w:val="single" w:color="auto" w:sz="4" w:space="0"/>
            </w:tcBorders>
            <w:shd w:val="clear" w:color="auto" w:fill="auto"/>
          </w:tcPr>
          <w:p w14:paraId="6DF1E500">
            <w:pPr>
              <w:spacing w:line="300" w:lineRule="exact"/>
              <w:rPr>
                <w:b/>
              </w:rPr>
            </w:pPr>
            <w:r>
              <w:rPr>
                <w:rFonts w:hint="eastAsia" w:ascii="宋体" w:hAnsi="宋体" w:cs="宋体"/>
                <w:kern w:val="0"/>
                <w:szCs w:val="21"/>
                <w:lang w:bidi="ar"/>
              </w:rPr>
              <w:t>1.2保修期满后，投标人应以优惠价供应维修零配件、消耗品和延续保修合同。价格最高的前5项零配件、消耗品和延续保修合同的报价明细应当填写于《零配件、消耗品和延续保修合同报价明清单》中。</w:t>
            </w:r>
          </w:p>
        </w:tc>
        <w:tc>
          <w:tcPr>
            <w:tcW w:w="725" w:type="dxa"/>
            <w:tcBorders>
              <w:top w:val="single" w:color="auto" w:sz="4" w:space="0"/>
              <w:left w:val="single" w:color="auto" w:sz="4" w:space="0"/>
              <w:bottom w:val="single" w:color="auto" w:sz="4" w:space="0"/>
              <w:right w:val="single" w:color="auto" w:sz="4" w:space="0"/>
            </w:tcBorders>
            <w:shd w:val="clear" w:color="auto" w:fill="auto"/>
          </w:tcPr>
          <w:p w14:paraId="73EB152D">
            <w:pPr>
              <w:spacing w:line="300" w:lineRule="exact"/>
              <w:rPr>
                <w:rFonts w:ascii="宋体" w:hAnsi="宋体" w:cs="宋体"/>
                <w:kern w:val="0"/>
                <w:szCs w:val="21"/>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1C985A02">
            <w:pPr>
              <w:spacing w:line="300" w:lineRule="exact"/>
              <w:rPr>
                <w:rFonts w:ascii="宋体" w:hAnsi="宋体" w:cs="宋体"/>
                <w:kern w:val="0"/>
                <w:szCs w:val="21"/>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tcPr>
          <w:p w14:paraId="1BC1BF8B">
            <w:pPr>
              <w:spacing w:line="300" w:lineRule="exact"/>
              <w:rPr>
                <w:rFonts w:ascii="宋体" w:hAnsi="宋体" w:cs="宋体"/>
                <w:kern w:val="0"/>
                <w:szCs w:val="21"/>
                <w:lang w:bidi="ar"/>
              </w:rPr>
            </w:pPr>
          </w:p>
        </w:tc>
      </w:tr>
      <w:tr w14:paraId="4A49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3B7C3D">
            <w:pPr>
              <w:rPr>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1A1AC8">
            <w:pPr>
              <w:rPr>
                <w:sz w:val="20"/>
                <w:szCs w:val="20"/>
              </w:rPr>
            </w:pPr>
          </w:p>
        </w:tc>
        <w:tc>
          <w:tcPr>
            <w:tcW w:w="5612" w:type="dxa"/>
            <w:tcBorders>
              <w:top w:val="single" w:color="auto" w:sz="4" w:space="0"/>
              <w:left w:val="single" w:color="auto" w:sz="4" w:space="0"/>
              <w:bottom w:val="single" w:color="auto" w:sz="4" w:space="0"/>
              <w:right w:val="single" w:color="auto" w:sz="4" w:space="0"/>
            </w:tcBorders>
            <w:shd w:val="clear" w:color="auto" w:fill="auto"/>
          </w:tcPr>
          <w:p w14:paraId="148256B5">
            <w:pPr>
              <w:spacing w:line="300" w:lineRule="exact"/>
              <w:rPr>
                <w:b/>
              </w:rPr>
            </w:pPr>
            <w:r>
              <w:rPr>
                <w:rFonts w:hint="eastAsia" w:ascii="宋体" w:hAnsi="宋体" w:cs="宋体"/>
                <w:kern w:val="0"/>
                <w:szCs w:val="21"/>
                <w:lang w:bidi="ar"/>
              </w:rPr>
              <w:t>1.3采购人可与投标人就优惠价进行谈判，但优惠价不得高于投标人在投标文件的《零配件、消耗品和延续保修合同报价明清单》中承诺的维修零配件、消耗品和延续保修合同的报价。</w:t>
            </w:r>
          </w:p>
        </w:tc>
        <w:tc>
          <w:tcPr>
            <w:tcW w:w="725" w:type="dxa"/>
            <w:tcBorders>
              <w:top w:val="single" w:color="auto" w:sz="4" w:space="0"/>
              <w:left w:val="single" w:color="auto" w:sz="4" w:space="0"/>
              <w:bottom w:val="single" w:color="auto" w:sz="4" w:space="0"/>
              <w:right w:val="single" w:color="auto" w:sz="4" w:space="0"/>
            </w:tcBorders>
            <w:shd w:val="clear" w:color="auto" w:fill="auto"/>
          </w:tcPr>
          <w:p w14:paraId="67450E61">
            <w:pPr>
              <w:spacing w:line="300" w:lineRule="exact"/>
              <w:rPr>
                <w:rFonts w:ascii="宋体" w:hAnsi="宋体" w:cs="宋体"/>
                <w:kern w:val="0"/>
                <w:szCs w:val="21"/>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5F459B05">
            <w:pPr>
              <w:spacing w:line="300" w:lineRule="exact"/>
              <w:rPr>
                <w:rFonts w:ascii="宋体" w:hAnsi="宋体" w:cs="宋体"/>
                <w:kern w:val="0"/>
                <w:szCs w:val="21"/>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tcPr>
          <w:p w14:paraId="0C58EB5B">
            <w:pPr>
              <w:spacing w:line="300" w:lineRule="exact"/>
              <w:rPr>
                <w:rFonts w:ascii="宋体" w:hAnsi="宋体" w:cs="宋体"/>
                <w:kern w:val="0"/>
                <w:szCs w:val="21"/>
                <w:lang w:bidi="ar"/>
              </w:rPr>
            </w:pPr>
          </w:p>
        </w:tc>
      </w:tr>
      <w:tr w14:paraId="5DBB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A624D9">
            <w:pPr>
              <w:rPr>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E04E2F">
            <w:pPr>
              <w:rPr>
                <w:sz w:val="20"/>
                <w:szCs w:val="20"/>
              </w:rPr>
            </w:pPr>
          </w:p>
        </w:tc>
        <w:tc>
          <w:tcPr>
            <w:tcW w:w="5612" w:type="dxa"/>
            <w:tcBorders>
              <w:top w:val="single" w:color="auto" w:sz="4" w:space="0"/>
              <w:left w:val="single" w:color="auto" w:sz="4" w:space="0"/>
              <w:bottom w:val="single" w:color="auto" w:sz="4" w:space="0"/>
              <w:right w:val="single" w:color="auto" w:sz="4" w:space="0"/>
            </w:tcBorders>
            <w:shd w:val="clear" w:color="auto" w:fill="auto"/>
          </w:tcPr>
          <w:p w14:paraId="12242124">
            <w:pPr>
              <w:rPr>
                <w:b/>
              </w:rPr>
            </w:pPr>
            <w:r>
              <w:rPr>
                <w:rFonts w:hint="eastAsia" w:ascii="宋体" w:hAnsi="宋体" w:cs="宋体"/>
                <w:kern w:val="0"/>
                <w:szCs w:val="21"/>
                <w:lang w:bidi="ar"/>
              </w:rPr>
              <w:t>1.4设备制造商维修的货物经采购人验收合格，且设备制造商提供维修专用发票后，采购人支付维修费用。</w:t>
            </w:r>
          </w:p>
        </w:tc>
        <w:tc>
          <w:tcPr>
            <w:tcW w:w="725" w:type="dxa"/>
            <w:tcBorders>
              <w:top w:val="single" w:color="auto" w:sz="4" w:space="0"/>
              <w:left w:val="single" w:color="auto" w:sz="4" w:space="0"/>
              <w:bottom w:val="single" w:color="auto" w:sz="4" w:space="0"/>
              <w:right w:val="single" w:color="auto" w:sz="4" w:space="0"/>
            </w:tcBorders>
            <w:shd w:val="clear" w:color="auto" w:fill="auto"/>
          </w:tcPr>
          <w:p w14:paraId="0F18212C">
            <w:pPr>
              <w:rPr>
                <w:rFonts w:ascii="宋体" w:hAnsi="宋体" w:cs="宋体"/>
                <w:kern w:val="0"/>
                <w:szCs w:val="21"/>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2BBD4637">
            <w:pPr>
              <w:rPr>
                <w:rFonts w:ascii="宋体" w:hAnsi="宋体" w:cs="宋体"/>
                <w:kern w:val="0"/>
                <w:szCs w:val="21"/>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tcPr>
          <w:p w14:paraId="173B6C6C">
            <w:pPr>
              <w:rPr>
                <w:rFonts w:ascii="宋体" w:hAnsi="宋体" w:cs="宋体"/>
                <w:kern w:val="0"/>
                <w:szCs w:val="21"/>
                <w:lang w:bidi="ar"/>
              </w:rPr>
            </w:pPr>
          </w:p>
        </w:tc>
      </w:tr>
      <w:tr w14:paraId="7B04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CC6FD2">
            <w:pPr>
              <w:rPr>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EAB3F8">
            <w:pPr>
              <w:rPr>
                <w:sz w:val="20"/>
                <w:szCs w:val="20"/>
              </w:rPr>
            </w:pPr>
          </w:p>
        </w:tc>
        <w:tc>
          <w:tcPr>
            <w:tcW w:w="5612" w:type="dxa"/>
            <w:tcBorders>
              <w:top w:val="single" w:color="auto" w:sz="4" w:space="0"/>
              <w:left w:val="single" w:color="auto" w:sz="4" w:space="0"/>
              <w:bottom w:val="single" w:color="auto" w:sz="4" w:space="0"/>
              <w:right w:val="single" w:color="auto" w:sz="4" w:space="0"/>
            </w:tcBorders>
            <w:shd w:val="clear" w:color="auto" w:fill="auto"/>
          </w:tcPr>
          <w:p w14:paraId="1706DB22">
            <w:pPr>
              <w:rPr>
                <w:b/>
              </w:rPr>
            </w:pPr>
            <w:r>
              <w:rPr>
                <w:rFonts w:hint="eastAsia" w:ascii="宋体" w:hAnsi="宋体" w:cs="宋体"/>
                <w:kern w:val="0"/>
                <w:szCs w:val="21"/>
                <w:lang w:bidi="ar"/>
              </w:rPr>
              <w:t>1.5投标人及设备制造商不得以任何理由不按时进行维修，不得要求采购人购买所谓“保修服务”（即：不论设备有无故障先买保修服务），不得在设备中嵌设任何不利于采购人使用与维修设备的障碍。</w:t>
            </w:r>
          </w:p>
        </w:tc>
        <w:tc>
          <w:tcPr>
            <w:tcW w:w="725" w:type="dxa"/>
            <w:tcBorders>
              <w:top w:val="single" w:color="auto" w:sz="4" w:space="0"/>
              <w:left w:val="single" w:color="auto" w:sz="4" w:space="0"/>
              <w:bottom w:val="single" w:color="auto" w:sz="4" w:space="0"/>
              <w:right w:val="single" w:color="auto" w:sz="4" w:space="0"/>
            </w:tcBorders>
            <w:shd w:val="clear" w:color="auto" w:fill="auto"/>
          </w:tcPr>
          <w:p w14:paraId="7D115701">
            <w:pPr>
              <w:rPr>
                <w:rFonts w:ascii="宋体" w:hAnsi="宋体" w:cs="宋体"/>
                <w:kern w:val="0"/>
                <w:szCs w:val="21"/>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1D43AF49">
            <w:pPr>
              <w:rPr>
                <w:rFonts w:ascii="宋体" w:hAnsi="宋体" w:cs="宋体"/>
                <w:kern w:val="0"/>
                <w:szCs w:val="21"/>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tcPr>
          <w:p w14:paraId="48A848FA">
            <w:pPr>
              <w:rPr>
                <w:rFonts w:ascii="宋体" w:hAnsi="宋体" w:cs="宋体"/>
                <w:kern w:val="0"/>
                <w:szCs w:val="21"/>
                <w:lang w:bidi="ar"/>
              </w:rPr>
            </w:pPr>
          </w:p>
        </w:tc>
      </w:tr>
      <w:tr w14:paraId="0C25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29" w:type="dxa"/>
            <w:gridSpan w:val="6"/>
            <w:tcBorders>
              <w:top w:val="single" w:color="auto" w:sz="4" w:space="0"/>
              <w:left w:val="single" w:color="auto" w:sz="4" w:space="0"/>
              <w:bottom w:val="single" w:color="auto" w:sz="4" w:space="0"/>
              <w:right w:val="single" w:color="auto" w:sz="4" w:space="0"/>
            </w:tcBorders>
            <w:shd w:val="clear" w:color="auto" w:fill="auto"/>
          </w:tcPr>
          <w:p w14:paraId="77C643D8">
            <w:pPr>
              <w:rPr>
                <w:rFonts w:cs="宋体"/>
                <w:b/>
                <w:lang w:bidi="ar"/>
              </w:rPr>
            </w:pPr>
            <w:r>
              <w:rPr>
                <w:rFonts w:hint="eastAsia" w:cs="宋体"/>
                <w:b/>
                <w:lang w:bidi="ar"/>
              </w:rPr>
              <w:t>（三）其他商务要求</w:t>
            </w:r>
          </w:p>
        </w:tc>
      </w:tr>
      <w:tr w14:paraId="4C88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F69663">
            <w:pPr>
              <w:jc w:val="center"/>
              <w:rPr>
                <w:bCs/>
              </w:rPr>
            </w:pPr>
            <w:r>
              <w:rPr>
                <w:bCs/>
                <w:lang w:bidi="ar"/>
              </w:rPr>
              <w:t>1</w:t>
            </w:r>
          </w:p>
        </w:tc>
        <w:tc>
          <w:tcPr>
            <w:tcW w:w="9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F42664">
            <w:r>
              <w:rPr>
                <w:rFonts w:hint="eastAsia" w:cs="宋体"/>
                <w:lang w:bidi="ar"/>
              </w:rPr>
              <w:t>关于交货</w:t>
            </w:r>
          </w:p>
        </w:tc>
        <w:tc>
          <w:tcPr>
            <w:tcW w:w="5612" w:type="dxa"/>
            <w:tcBorders>
              <w:top w:val="single" w:color="auto" w:sz="4" w:space="0"/>
              <w:left w:val="single" w:color="auto" w:sz="4" w:space="0"/>
              <w:bottom w:val="single" w:color="auto" w:sz="4" w:space="0"/>
              <w:right w:val="single" w:color="auto" w:sz="4" w:space="0"/>
            </w:tcBorders>
            <w:shd w:val="clear" w:color="auto" w:fill="auto"/>
          </w:tcPr>
          <w:p w14:paraId="0C717651">
            <w:pPr>
              <w:rPr>
                <w:bCs/>
                <w:szCs w:val="21"/>
              </w:rPr>
            </w:pPr>
            <w:r>
              <w:rPr>
                <w:bCs/>
                <w:szCs w:val="21"/>
                <w:lang w:bidi="ar"/>
              </w:rPr>
              <w:t>1.1</w:t>
            </w:r>
            <w:r>
              <w:rPr>
                <w:rFonts w:hint="eastAsia" w:cs="宋体"/>
                <w:bCs/>
                <w:szCs w:val="21"/>
                <w:lang w:bidi="ar"/>
              </w:rPr>
              <w:t>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c>
          <w:tcPr>
            <w:tcW w:w="725" w:type="dxa"/>
            <w:tcBorders>
              <w:top w:val="single" w:color="auto" w:sz="4" w:space="0"/>
              <w:left w:val="single" w:color="auto" w:sz="4" w:space="0"/>
              <w:bottom w:val="single" w:color="auto" w:sz="4" w:space="0"/>
              <w:right w:val="single" w:color="auto" w:sz="4" w:space="0"/>
            </w:tcBorders>
            <w:shd w:val="clear" w:color="auto" w:fill="auto"/>
          </w:tcPr>
          <w:p w14:paraId="77D4A670">
            <w:pPr>
              <w:rPr>
                <w:bCs/>
                <w:szCs w:val="21"/>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34020C8D">
            <w:pPr>
              <w:rPr>
                <w:bCs/>
                <w:szCs w:val="21"/>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tcPr>
          <w:p w14:paraId="4DA84C6C">
            <w:pPr>
              <w:rPr>
                <w:bCs/>
                <w:szCs w:val="21"/>
                <w:lang w:bidi="ar"/>
              </w:rPr>
            </w:pPr>
          </w:p>
        </w:tc>
      </w:tr>
      <w:tr w14:paraId="7F6A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3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28FBF7">
            <w:pPr>
              <w:rPr>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56F220">
            <w:pPr>
              <w:rPr>
                <w:sz w:val="20"/>
                <w:szCs w:val="20"/>
              </w:rPr>
            </w:pPr>
          </w:p>
        </w:tc>
        <w:tc>
          <w:tcPr>
            <w:tcW w:w="5612" w:type="dxa"/>
            <w:tcBorders>
              <w:top w:val="single" w:color="auto" w:sz="4" w:space="0"/>
              <w:left w:val="single" w:color="auto" w:sz="4" w:space="0"/>
              <w:bottom w:val="single" w:color="auto" w:sz="4" w:space="0"/>
              <w:right w:val="single" w:color="auto" w:sz="4" w:space="0"/>
            </w:tcBorders>
            <w:shd w:val="clear" w:color="auto" w:fill="auto"/>
          </w:tcPr>
          <w:p w14:paraId="7E935C5C">
            <w:pPr>
              <w:rPr>
                <w:bCs/>
                <w:szCs w:val="21"/>
              </w:rPr>
            </w:pPr>
            <w:r>
              <w:rPr>
                <w:bCs/>
                <w:szCs w:val="21"/>
                <w:lang w:bidi="ar"/>
              </w:rPr>
              <w:t>1.2</w:t>
            </w:r>
            <w:r>
              <w:rPr>
                <w:rFonts w:hint="eastAsia" w:ascii="宋体" w:hAnsi="宋体" w:cs="宋体"/>
                <w:spacing w:val="-3"/>
                <w:szCs w:val="21"/>
                <w:lang w:bidi="ar"/>
              </w:rPr>
              <w:t>提供的货物应当为全新、经检验合格的产品。产品如需要计量检定的应提供相关计量检定部门出具的合法检定报告。其中，进口设备必须具有</w:t>
            </w:r>
            <w:r>
              <w:rPr>
                <w:rFonts w:hint="eastAsia" w:ascii="宋体" w:hAnsi="宋体" w:cs="宋体"/>
                <w:kern w:val="0"/>
                <w:szCs w:val="21"/>
                <w:lang w:bidi="ar"/>
              </w:rPr>
              <w:t>报关证明</w:t>
            </w:r>
            <w:r>
              <w:rPr>
                <w:rFonts w:hint="eastAsia" w:ascii="宋体" w:hAnsi="宋体" w:cs="宋体"/>
                <w:spacing w:val="-3"/>
                <w:szCs w:val="21"/>
                <w:lang w:bidi="ar"/>
              </w:rPr>
              <w:t>文件、</w:t>
            </w:r>
            <w:r>
              <w:rPr>
                <w:rFonts w:hint="eastAsia" w:ascii="宋体" w:hAnsi="宋体" w:cs="宋体"/>
                <w:kern w:val="0"/>
                <w:szCs w:val="21"/>
                <w:lang w:bidi="ar"/>
              </w:rPr>
              <w:t>原产地证明和</w:t>
            </w:r>
            <w:r>
              <w:rPr>
                <w:rFonts w:hint="eastAsia" w:ascii="宋体" w:hAnsi="宋体" w:cs="宋体"/>
                <w:spacing w:val="-3"/>
                <w:szCs w:val="21"/>
                <w:lang w:bidi="ar"/>
              </w:rPr>
              <w:t>商检合格证明文件。</w:t>
            </w:r>
          </w:p>
        </w:tc>
        <w:tc>
          <w:tcPr>
            <w:tcW w:w="725" w:type="dxa"/>
            <w:tcBorders>
              <w:top w:val="single" w:color="auto" w:sz="4" w:space="0"/>
              <w:left w:val="single" w:color="auto" w:sz="4" w:space="0"/>
              <w:bottom w:val="single" w:color="auto" w:sz="4" w:space="0"/>
              <w:right w:val="single" w:color="auto" w:sz="4" w:space="0"/>
            </w:tcBorders>
            <w:shd w:val="clear" w:color="auto" w:fill="auto"/>
          </w:tcPr>
          <w:p w14:paraId="764B3219">
            <w:pPr>
              <w:rPr>
                <w:bCs/>
                <w:szCs w:val="21"/>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3DCDF2E0">
            <w:pPr>
              <w:rPr>
                <w:bCs/>
                <w:szCs w:val="21"/>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tcPr>
          <w:p w14:paraId="20EB56B7">
            <w:pPr>
              <w:rPr>
                <w:bCs/>
                <w:szCs w:val="21"/>
                <w:lang w:bidi="ar"/>
              </w:rPr>
            </w:pPr>
          </w:p>
        </w:tc>
      </w:tr>
      <w:tr w14:paraId="2AB8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3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0D55DF">
            <w:pPr>
              <w:rPr>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A421CD">
            <w:pPr>
              <w:rPr>
                <w:sz w:val="20"/>
                <w:szCs w:val="20"/>
              </w:rPr>
            </w:pPr>
          </w:p>
        </w:tc>
        <w:tc>
          <w:tcPr>
            <w:tcW w:w="5612" w:type="dxa"/>
            <w:tcBorders>
              <w:top w:val="single" w:color="auto" w:sz="4" w:space="0"/>
              <w:left w:val="single" w:color="auto" w:sz="4" w:space="0"/>
              <w:bottom w:val="single" w:color="auto" w:sz="4" w:space="0"/>
              <w:right w:val="single" w:color="auto" w:sz="4" w:space="0"/>
            </w:tcBorders>
            <w:shd w:val="clear" w:color="auto" w:fill="auto"/>
          </w:tcPr>
          <w:p w14:paraId="1EB1B4DA">
            <w:pPr>
              <w:rPr>
                <w:bCs/>
                <w:szCs w:val="21"/>
              </w:rPr>
            </w:pPr>
            <w:r>
              <w:rPr>
                <w:rFonts w:hint="eastAsia" w:cs="宋体"/>
                <w:bCs/>
                <w:szCs w:val="21"/>
                <w:lang w:bidi="ar"/>
              </w:rPr>
              <w:t>★</w:t>
            </w:r>
            <w:r>
              <w:rPr>
                <w:bCs/>
                <w:szCs w:val="21"/>
                <w:lang w:bidi="ar"/>
              </w:rPr>
              <w:t>1.3</w:t>
            </w:r>
            <w:r>
              <w:rPr>
                <w:rFonts w:hint="eastAsia" w:cs="宋体"/>
                <w:bCs/>
                <w:szCs w:val="21"/>
                <w:lang w:bidi="ar"/>
              </w:rPr>
              <w:t>签订合同后</w:t>
            </w:r>
            <w:r>
              <w:rPr>
                <w:bCs/>
                <w:szCs w:val="21"/>
                <w:u w:val="single"/>
                <w:lang w:bidi="ar"/>
              </w:rPr>
              <w:t xml:space="preserve"> 45  </w:t>
            </w:r>
            <w:r>
              <w:rPr>
                <w:rFonts w:hint="eastAsia" w:cs="宋体"/>
                <w:bCs/>
                <w:szCs w:val="21"/>
                <w:lang w:bidi="ar"/>
              </w:rPr>
              <w:t>天（日历日）内交货。交货地址：</w:t>
            </w:r>
            <w:r>
              <w:rPr>
                <w:rFonts w:hint="eastAsia" w:cs="宋体"/>
                <w:lang w:bidi="ar"/>
              </w:rPr>
              <w:t>深圳市眼科医院</w:t>
            </w:r>
          </w:p>
        </w:tc>
        <w:tc>
          <w:tcPr>
            <w:tcW w:w="725" w:type="dxa"/>
            <w:tcBorders>
              <w:top w:val="single" w:color="auto" w:sz="4" w:space="0"/>
              <w:left w:val="single" w:color="auto" w:sz="4" w:space="0"/>
              <w:bottom w:val="single" w:color="auto" w:sz="4" w:space="0"/>
              <w:right w:val="single" w:color="auto" w:sz="4" w:space="0"/>
            </w:tcBorders>
            <w:shd w:val="clear" w:color="auto" w:fill="auto"/>
          </w:tcPr>
          <w:p w14:paraId="2273E0F2">
            <w:pPr>
              <w:rPr>
                <w:rFonts w:cs="宋体"/>
                <w:bCs/>
                <w:szCs w:val="21"/>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52895DE8">
            <w:pPr>
              <w:rPr>
                <w:rFonts w:cs="宋体"/>
                <w:bCs/>
                <w:szCs w:val="21"/>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tcPr>
          <w:p w14:paraId="7AE47DBF">
            <w:pPr>
              <w:rPr>
                <w:rFonts w:cs="宋体"/>
                <w:bCs/>
                <w:szCs w:val="21"/>
                <w:lang w:bidi="ar"/>
              </w:rPr>
            </w:pPr>
          </w:p>
        </w:tc>
      </w:tr>
      <w:tr w14:paraId="470FD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7D5232">
            <w:pPr>
              <w:jc w:val="center"/>
              <w:rPr>
                <w:bCs/>
              </w:rPr>
            </w:pPr>
            <w:r>
              <w:rPr>
                <w:bCs/>
                <w:lang w:bidi="ar"/>
              </w:rPr>
              <w:t>2</w:t>
            </w:r>
          </w:p>
        </w:tc>
        <w:tc>
          <w:tcPr>
            <w:tcW w:w="9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C71472">
            <w:r>
              <w:rPr>
                <w:rFonts w:hint="eastAsia" w:cs="宋体"/>
                <w:lang w:bidi="ar"/>
              </w:rPr>
              <w:t>运输、安装调试及验收</w:t>
            </w:r>
          </w:p>
        </w:tc>
        <w:tc>
          <w:tcPr>
            <w:tcW w:w="5612" w:type="dxa"/>
            <w:tcBorders>
              <w:top w:val="single" w:color="auto" w:sz="4" w:space="0"/>
              <w:left w:val="single" w:color="auto" w:sz="4" w:space="0"/>
              <w:bottom w:val="single" w:color="auto" w:sz="4" w:space="0"/>
              <w:right w:val="single" w:color="auto" w:sz="4" w:space="0"/>
            </w:tcBorders>
            <w:shd w:val="clear" w:color="auto" w:fill="auto"/>
          </w:tcPr>
          <w:p w14:paraId="07680972">
            <w:pPr>
              <w:spacing w:line="340" w:lineRule="exact"/>
              <w:rPr>
                <w:bCs/>
                <w:szCs w:val="21"/>
              </w:rPr>
            </w:pPr>
            <w:r>
              <w:rPr>
                <w:bCs/>
                <w:szCs w:val="21"/>
                <w:lang w:bidi="ar"/>
              </w:rPr>
              <w:t>2.1</w:t>
            </w:r>
            <w:r>
              <w:rPr>
                <w:rFonts w:hint="eastAsia" w:cs="宋体"/>
                <w:bCs/>
                <w:szCs w:val="21"/>
                <w:lang w:bidi="ar"/>
              </w:rPr>
              <w:t>投标人负责将货物安全无损运抵采购人指定地点</w:t>
            </w:r>
            <w:r>
              <w:rPr>
                <w:bCs/>
                <w:szCs w:val="21"/>
                <w:lang w:bidi="ar"/>
              </w:rPr>
              <w:t>,</w:t>
            </w:r>
            <w:r>
              <w:rPr>
                <w:rFonts w:hint="eastAsia" w:cs="宋体"/>
                <w:bCs/>
                <w:szCs w:val="21"/>
                <w:lang w:bidi="ar"/>
              </w:rPr>
              <w:t>并承担设备的包装、运输、保险、装卸、安装调试、培训、商检及计量检测、关税、增值税和进口代理等费用。</w:t>
            </w:r>
          </w:p>
        </w:tc>
        <w:tc>
          <w:tcPr>
            <w:tcW w:w="725" w:type="dxa"/>
            <w:tcBorders>
              <w:top w:val="single" w:color="auto" w:sz="4" w:space="0"/>
              <w:left w:val="single" w:color="auto" w:sz="4" w:space="0"/>
              <w:bottom w:val="single" w:color="auto" w:sz="4" w:space="0"/>
              <w:right w:val="single" w:color="auto" w:sz="4" w:space="0"/>
            </w:tcBorders>
            <w:shd w:val="clear" w:color="auto" w:fill="auto"/>
          </w:tcPr>
          <w:p w14:paraId="3D3F1E73">
            <w:pPr>
              <w:spacing w:line="340" w:lineRule="exact"/>
              <w:rPr>
                <w:bCs/>
                <w:szCs w:val="21"/>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397FF8EB">
            <w:pPr>
              <w:spacing w:line="340" w:lineRule="exact"/>
              <w:rPr>
                <w:bCs/>
                <w:szCs w:val="21"/>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tcPr>
          <w:p w14:paraId="7D7D32B9">
            <w:pPr>
              <w:spacing w:line="340" w:lineRule="exact"/>
              <w:rPr>
                <w:bCs/>
                <w:szCs w:val="21"/>
                <w:lang w:bidi="ar"/>
              </w:rPr>
            </w:pPr>
          </w:p>
        </w:tc>
      </w:tr>
      <w:tr w14:paraId="4004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BF4E76">
            <w:pPr>
              <w:rPr>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31E347">
            <w:pPr>
              <w:rPr>
                <w:sz w:val="20"/>
                <w:szCs w:val="20"/>
              </w:rPr>
            </w:pPr>
          </w:p>
        </w:tc>
        <w:tc>
          <w:tcPr>
            <w:tcW w:w="5612" w:type="dxa"/>
            <w:tcBorders>
              <w:top w:val="single" w:color="auto" w:sz="4" w:space="0"/>
              <w:left w:val="single" w:color="auto" w:sz="4" w:space="0"/>
              <w:bottom w:val="single" w:color="auto" w:sz="4" w:space="0"/>
              <w:right w:val="single" w:color="auto" w:sz="4" w:space="0"/>
            </w:tcBorders>
            <w:shd w:val="clear" w:color="auto" w:fill="auto"/>
          </w:tcPr>
          <w:p w14:paraId="78E8EF89">
            <w:pPr>
              <w:spacing w:line="340" w:lineRule="exact"/>
              <w:rPr>
                <w:bCs/>
                <w:szCs w:val="21"/>
              </w:rPr>
            </w:pPr>
            <w:r>
              <w:rPr>
                <w:bCs/>
                <w:szCs w:val="21"/>
                <w:lang w:bidi="ar"/>
              </w:rPr>
              <w:t>2.2</w:t>
            </w:r>
            <w:r>
              <w:rPr>
                <w:rFonts w:hint="eastAsia" w:cs="宋体"/>
                <w:bCs/>
                <w:szCs w:val="21"/>
                <w:lang w:bidi="ar"/>
              </w:rPr>
              <w:t>由采购人按合同和招标、投标文件约定的要求和标准及中华人民共和国现行的验收规范和评定标准进行交货验收。</w:t>
            </w:r>
          </w:p>
        </w:tc>
        <w:tc>
          <w:tcPr>
            <w:tcW w:w="725" w:type="dxa"/>
            <w:tcBorders>
              <w:top w:val="single" w:color="auto" w:sz="4" w:space="0"/>
              <w:left w:val="single" w:color="auto" w:sz="4" w:space="0"/>
              <w:bottom w:val="single" w:color="auto" w:sz="4" w:space="0"/>
              <w:right w:val="single" w:color="auto" w:sz="4" w:space="0"/>
            </w:tcBorders>
            <w:shd w:val="clear" w:color="auto" w:fill="auto"/>
          </w:tcPr>
          <w:p w14:paraId="1B3A4552">
            <w:pPr>
              <w:spacing w:line="340" w:lineRule="exact"/>
              <w:rPr>
                <w:bCs/>
                <w:szCs w:val="21"/>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258219A8">
            <w:pPr>
              <w:spacing w:line="340" w:lineRule="exact"/>
              <w:rPr>
                <w:bCs/>
                <w:szCs w:val="21"/>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tcPr>
          <w:p w14:paraId="0B1F04B9">
            <w:pPr>
              <w:spacing w:line="340" w:lineRule="exact"/>
              <w:rPr>
                <w:bCs/>
                <w:szCs w:val="21"/>
                <w:lang w:bidi="ar"/>
              </w:rPr>
            </w:pPr>
          </w:p>
        </w:tc>
      </w:tr>
      <w:tr w14:paraId="7585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3841C0">
            <w:pPr>
              <w:rPr>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3F304D">
            <w:pPr>
              <w:rPr>
                <w:sz w:val="20"/>
                <w:szCs w:val="20"/>
              </w:rPr>
            </w:pPr>
          </w:p>
        </w:tc>
        <w:tc>
          <w:tcPr>
            <w:tcW w:w="5612" w:type="dxa"/>
            <w:tcBorders>
              <w:top w:val="single" w:color="auto" w:sz="4" w:space="0"/>
              <w:left w:val="single" w:color="auto" w:sz="4" w:space="0"/>
              <w:bottom w:val="single" w:color="auto" w:sz="4" w:space="0"/>
              <w:right w:val="single" w:color="auto" w:sz="4" w:space="0"/>
            </w:tcBorders>
            <w:shd w:val="clear" w:color="auto" w:fill="auto"/>
          </w:tcPr>
          <w:p w14:paraId="0C2CD3BE">
            <w:pPr>
              <w:spacing w:line="340" w:lineRule="exact"/>
              <w:rPr>
                <w:bCs/>
                <w:szCs w:val="21"/>
              </w:rPr>
            </w:pPr>
            <w:r>
              <w:rPr>
                <w:bCs/>
                <w:szCs w:val="21"/>
                <w:lang w:bidi="ar"/>
              </w:rPr>
              <w:t xml:space="preserve">2.3 </w:t>
            </w:r>
            <w:r>
              <w:rPr>
                <w:rFonts w:hint="eastAsia" w:cs="宋体"/>
                <w:bCs/>
                <w:szCs w:val="21"/>
                <w:lang w:bidi="ar"/>
              </w:rPr>
              <w:t>投标人货物经过双方检验认可后，签署验收报告，产品保修期自验收合格之日起算，由投标人提供产品保修文件。</w:t>
            </w:r>
          </w:p>
        </w:tc>
        <w:tc>
          <w:tcPr>
            <w:tcW w:w="725" w:type="dxa"/>
            <w:tcBorders>
              <w:top w:val="single" w:color="auto" w:sz="4" w:space="0"/>
              <w:left w:val="single" w:color="auto" w:sz="4" w:space="0"/>
              <w:bottom w:val="single" w:color="auto" w:sz="4" w:space="0"/>
              <w:right w:val="single" w:color="auto" w:sz="4" w:space="0"/>
            </w:tcBorders>
            <w:shd w:val="clear" w:color="auto" w:fill="auto"/>
          </w:tcPr>
          <w:p w14:paraId="2EC3C45D">
            <w:pPr>
              <w:spacing w:line="340" w:lineRule="exact"/>
              <w:rPr>
                <w:bCs/>
                <w:szCs w:val="21"/>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2751014C">
            <w:pPr>
              <w:spacing w:line="340" w:lineRule="exact"/>
              <w:rPr>
                <w:bCs/>
                <w:szCs w:val="21"/>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tcPr>
          <w:p w14:paraId="69AB8E75">
            <w:pPr>
              <w:spacing w:line="340" w:lineRule="exact"/>
              <w:rPr>
                <w:bCs/>
                <w:szCs w:val="21"/>
                <w:lang w:bidi="ar"/>
              </w:rPr>
            </w:pPr>
          </w:p>
        </w:tc>
      </w:tr>
      <w:tr w14:paraId="2964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6289AA">
            <w:pPr>
              <w:rPr>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47F77B">
            <w:pPr>
              <w:rPr>
                <w:sz w:val="20"/>
                <w:szCs w:val="20"/>
              </w:rPr>
            </w:pPr>
          </w:p>
        </w:tc>
        <w:tc>
          <w:tcPr>
            <w:tcW w:w="5612" w:type="dxa"/>
            <w:tcBorders>
              <w:top w:val="single" w:color="auto" w:sz="4" w:space="0"/>
              <w:left w:val="single" w:color="auto" w:sz="4" w:space="0"/>
              <w:bottom w:val="single" w:color="auto" w:sz="4" w:space="0"/>
              <w:right w:val="single" w:color="auto" w:sz="4" w:space="0"/>
            </w:tcBorders>
            <w:shd w:val="clear" w:color="auto" w:fill="auto"/>
          </w:tcPr>
          <w:p w14:paraId="1BEDF06B">
            <w:pPr>
              <w:spacing w:line="340" w:lineRule="exact"/>
              <w:rPr>
                <w:bCs/>
                <w:szCs w:val="21"/>
              </w:rPr>
            </w:pPr>
            <w:r>
              <w:rPr>
                <w:bCs/>
                <w:szCs w:val="21"/>
                <w:lang w:bidi="ar"/>
              </w:rPr>
              <w:t>2.4</w:t>
            </w:r>
            <w:r>
              <w:rPr>
                <w:rFonts w:hint="eastAsia" w:cs="宋体"/>
                <w:bCs/>
                <w:szCs w:val="21"/>
                <w:lang w:bidi="ar"/>
              </w:rPr>
              <w:t>当满足以下条件时，采购人才向中标人签发货物验收报告：</w:t>
            </w:r>
          </w:p>
          <w:p w14:paraId="122CFE55">
            <w:pPr>
              <w:rPr>
                <w:bCs/>
                <w:szCs w:val="21"/>
              </w:rPr>
            </w:pPr>
            <w:r>
              <w:rPr>
                <w:rFonts w:hint="eastAsia" w:cs="宋体"/>
                <w:bCs/>
                <w:szCs w:val="21"/>
                <w:lang w:bidi="ar"/>
              </w:rPr>
              <w:t>（</w:t>
            </w:r>
            <w:r>
              <w:rPr>
                <w:bCs/>
                <w:szCs w:val="21"/>
                <w:lang w:bidi="ar"/>
              </w:rPr>
              <w:t>1</w:t>
            </w:r>
            <w:r>
              <w:rPr>
                <w:rFonts w:hint="eastAsia" w:cs="宋体"/>
                <w:bCs/>
                <w:szCs w:val="21"/>
                <w:lang w:bidi="ar"/>
              </w:rPr>
              <w:t>）设备全新</w:t>
            </w:r>
            <w:r>
              <w:rPr>
                <w:bCs/>
                <w:szCs w:val="21"/>
                <w:lang w:bidi="ar"/>
              </w:rPr>
              <w:t>,</w:t>
            </w:r>
            <w:r>
              <w:rPr>
                <w:rFonts w:hint="eastAsia" w:cs="宋体"/>
                <w:bCs/>
                <w:szCs w:val="21"/>
                <w:lang w:bidi="ar"/>
              </w:rPr>
              <w:t>外观无伤痕变形或明显修饰痕迹。</w:t>
            </w:r>
          </w:p>
          <w:p w14:paraId="6325C4F7">
            <w:pPr>
              <w:rPr>
                <w:bCs/>
                <w:szCs w:val="21"/>
              </w:rPr>
            </w:pPr>
            <w:r>
              <w:rPr>
                <w:rFonts w:hint="eastAsia" w:cs="宋体"/>
                <w:bCs/>
                <w:szCs w:val="21"/>
                <w:lang w:bidi="ar"/>
              </w:rPr>
              <w:t>（</w:t>
            </w:r>
            <w:r>
              <w:rPr>
                <w:bCs/>
                <w:szCs w:val="21"/>
                <w:lang w:bidi="ar"/>
              </w:rPr>
              <w:t>2</w:t>
            </w:r>
            <w:r>
              <w:rPr>
                <w:rFonts w:hint="eastAsia" w:cs="宋体"/>
                <w:bCs/>
                <w:szCs w:val="21"/>
                <w:lang w:bidi="ar"/>
              </w:rPr>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3B021983">
            <w:pPr>
              <w:rPr>
                <w:bCs/>
                <w:szCs w:val="21"/>
              </w:rPr>
            </w:pPr>
            <w:r>
              <w:rPr>
                <w:rFonts w:hint="eastAsia" w:cs="宋体"/>
                <w:bCs/>
                <w:szCs w:val="21"/>
                <w:lang w:bidi="ar"/>
              </w:rPr>
              <w:t>（</w:t>
            </w:r>
            <w:r>
              <w:rPr>
                <w:bCs/>
                <w:szCs w:val="21"/>
                <w:lang w:bidi="ar"/>
              </w:rPr>
              <w:t>3</w:t>
            </w:r>
            <w:r>
              <w:rPr>
                <w:rFonts w:hint="eastAsia" w:cs="宋体"/>
                <w:bCs/>
                <w:szCs w:val="21"/>
                <w:lang w:bidi="ar"/>
              </w:rPr>
              <w:t>）技术文件资料、备件等已按规定数量移交完毕。</w:t>
            </w:r>
          </w:p>
          <w:p w14:paraId="5A999200">
            <w:pPr>
              <w:rPr>
                <w:bCs/>
                <w:szCs w:val="21"/>
              </w:rPr>
            </w:pPr>
            <w:r>
              <w:rPr>
                <w:rFonts w:hint="eastAsia" w:cs="宋体"/>
                <w:bCs/>
                <w:szCs w:val="21"/>
                <w:lang w:bidi="ar"/>
              </w:rPr>
              <w:t>（</w:t>
            </w:r>
            <w:r>
              <w:rPr>
                <w:bCs/>
                <w:szCs w:val="21"/>
                <w:lang w:bidi="ar"/>
              </w:rPr>
              <w:t>4</w:t>
            </w:r>
            <w:r>
              <w:rPr>
                <w:rFonts w:hint="eastAsia" w:cs="宋体"/>
                <w:bCs/>
                <w:szCs w:val="21"/>
                <w:lang w:bidi="ar"/>
              </w:rPr>
              <w:t>）按照招标书要求及投标文件提供的技术要求验收必须合格。</w:t>
            </w:r>
          </w:p>
          <w:p w14:paraId="5082FAEB">
            <w:pPr>
              <w:spacing w:line="340" w:lineRule="exact"/>
              <w:rPr>
                <w:bCs/>
                <w:szCs w:val="21"/>
              </w:rPr>
            </w:pPr>
            <w:r>
              <w:rPr>
                <w:rFonts w:hint="eastAsia" w:cs="宋体"/>
                <w:bCs/>
                <w:szCs w:val="21"/>
                <w:lang w:bidi="ar"/>
              </w:rPr>
              <w:t>（</w:t>
            </w:r>
            <w:r>
              <w:rPr>
                <w:bCs/>
                <w:szCs w:val="21"/>
                <w:lang w:bidi="ar"/>
              </w:rPr>
              <w:t>5</w:t>
            </w:r>
            <w:r>
              <w:rPr>
                <w:rFonts w:hint="eastAsia" w:cs="宋体"/>
                <w:bCs/>
                <w:szCs w:val="21"/>
                <w:lang w:bidi="ar"/>
              </w:rPr>
              <w:t>）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14:paraId="4BE0D8F2">
            <w:pPr>
              <w:spacing w:line="340" w:lineRule="exact"/>
              <w:rPr>
                <w:bCs/>
                <w:szCs w:val="21"/>
              </w:rPr>
            </w:pPr>
            <w:r>
              <w:rPr>
                <w:rFonts w:hint="eastAsia" w:cs="宋体"/>
                <w:bCs/>
                <w:szCs w:val="21"/>
                <w:lang w:bidi="ar"/>
              </w:rPr>
              <w:t>（</w:t>
            </w:r>
            <w:r>
              <w:rPr>
                <w:bCs/>
                <w:szCs w:val="21"/>
                <w:lang w:bidi="ar"/>
              </w:rPr>
              <w:t>6</w:t>
            </w:r>
            <w:r>
              <w:rPr>
                <w:rFonts w:hint="eastAsia" w:cs="宋体"/>
                <w:bCs/>
                <w:szCs w:val="21"/>
                <w:lang w:bidi="ar"/>
              </w:rPr>
              <w:t>）货物具备产品合格证。</w:t>
            </w:r>
          </w:p>
          <w:p w14:paraId="0BEF9203">
            <w:pPr>
              <w:spacing w:line="340" w:lineRule="exact"/>
              <w:rPr>
                <w:bCs/>
                <w:szCs w:val="21"/>
              </w:rPr>
            </w:pPr>
            <w:r>
              <w:rPr>
                <w:rFonts w:hint="eastAsia" w:cs="宋体"/>
                <w:bCs/>
                <w:szCs w:val="21"/>
                <w:lang w:bidi="ar"/>
              </w:rPr>
              <w:t>（</w:t>
            </w:r>
            <w:r>
              <w:rPr>
                <w:bCs/>
                <w:szCs w:val="21"/>
                <w:lang w:bidi="ar"/>
              </w:rPr>
              <w:t>7</w:t>
            </w:r>
            <w:r>
              <w:rPr>
                <w:rFonts w:hint="eastAsia" w:cs="宋体"/>
                <w:bCs/>
                <w:szCs w:val="21"/>
                <w:lang w:bidi="ar"/>
              </w:rPr>
              <w:t>）在货物安装调试合格后，所有技术指标达到技术规范书要求，经验收合格后，双方共同签署验收报告。</w:t>
            </w:r>
          </w:p>
        </w:tc>
        <w:tc>
          <w:tcPr>
            <w:tcW w:w="725" w:type="dxa"/>
            <w:tcBorders>
              <w:top w:val="single" w:color="auto" w:sz="4" w:space="0"/>
              <w:left w:val="single" w:color="auto" w:sz="4" w:space="0"/>
              <w:bottom w:val="single" w:color="auto" w:sz="4" w:space="0"/>
              <w:right w:val="single" w:color="auto" w:sz="4" w:space="0"/>
            </w:tcBorders>
            <w:shd w:val="clear" w:color="auto" w:fill="auto"/>
          </w:tcPr>
          <w:p w14:paraId="00C12541">
            <w:pPr>
              <w:spacing w:line="340" w:lineRule="exact"/>
              <w:rPr>
                <w:rFonts w:cs="宋体"/>
                <w:bCs/>
                <w:szCs w:val="21"/>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0CBEEFE1">
            <w:pPr>
              <w:spacing w:line="340" w:lineRule="exact"/>
              <w:rPr>
                <w:rFonts w:cs="宋体"/>
                <w:bCs/>
                <w:szCs w:val="21"/>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tcPr>
          <w:p w14:paraId="1405463C">
            <w:pPr>
              <w:spacing w:line="340" w:lineRule="exact"/>
              <w:rPr>
                <w:rFonts w:cs="宋体"/>
                <w:bCs/>
                <w:szCs w:val="21"/>
                <w:lang w:bidi="ar"/>
              </w:rPr>
            </w:pPr>
          </w:p>
        </w:tc>
      </w:tr>
      <w:tr w14:paraId="2CAD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117F83">
            <w:pPr>
              <w:jc w:val="center"/>
              <w:rPr>
                <w:bCs/>
              </w:rPr>
            </w:pPr>
            <w:r>
              <w:rPr>
                <w:bCs/>
                <w:lang w:bidi="ar"/>
              </w:rPr>
              <w:t>3</w:t>
            </w:r>
          </w:p>
        </w:tc>
        <w:tc>
          <w:tcPr>
            <w:tcW w:w="9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556E97">
            <w:pPr>
              <w:jc w:val="center"/>
            </w:pPr>
            <w:r>
              <w:rPr>
                <w:rFonts w:hint="eastAsia" w:cs="宋体"/>
                <w:lang w:bidi="ar"/>
              </w:rPr>
              <w:t>关于违约</w:t>
            </w:r>
          </w:p>
        </w:tc>
        <w:tc>
          <w:tcPr>
            <w:tcW w:w="5612" w:type="dxa"/>
            <w:tcBorders>
              <w:top w:val="single" w:color="auto" w:sz="4" w:space="0"/>
              <w:left w:val="single" w:color="auto" w:sz="4" w:space="0"/>
              <w:bottom w:val="single" w:color="auto" w:sz="4" w:space="0"/>
              <w:right w:val="single" w:color="auto" w:sz="4" w:space="0"/>
            </w:tcBorders>
            <w:shd w:val="clear" w:color="auto" w:fill="auto"/>
          </w:tcPr>
          <w:p w14:paraId="1E805636">
            <w:pPr>
              <w:rPr>
                <w:b/>
              </w:rPr>
            </w:pPr>
            <w:r>
              <w:rPr>
                <w:b/>
                <w:lang w:bidi="ar"/>
              </w:rPr>
              <w:t>3.1</w:t>
            </w:r>
            <w:r>
              <w:rPr>
                <w:rFonts w:hint="eastAsia" w:ascii="宋体" w:hAnsi="宋体" w:cs="宋体"/>
                <w:bCs/>
                <w:kern w:val="0"/>
                <w:szCs w:val="21"/>
                <w:lang w:bidi="ar"/>
              </w:rPr>
              <w:t>如投标人未按照投标文件中承诺的时间交货或提供服务，投标人应承担延期交货和延期服务的违约责任，并赔偿采购人因此造成的实际经济损失。实际经济损失超出履约保证金额，采购人有权终止合同。</w:t>
            </w:r>
          </w:p>
        </w:tc>
        <w:tc>
          <w:tcPr>
            <w:tcW w:w="725" w:type="dxa"/>
            <w:tcBorders>
              <w:top w:val="single" w:color="auto" w:sz="4" w:space="0"/>
              <w:left w:val="single" w:color="auto" w:sz="4" w:space="0"/>
              <w:bottom w:val="single" w:color="auto" w:sz="4" w:space="0"/>
              <w:right w:val="single" w:color="auto" w:sz="4" w:space="0"/>
            </w:tcBorders>
            <w:shd w:val="clear" w:color="auto" w:fill="auto"/>
          </w:tcPr>
          <w:p w14:paraId="3C780C0E">
            <w:pPr>
              <w:rPr>
                <w:b/>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64733A48">
            <w:pPr>
              <w:rPr>
                <w:b/>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tcPr>
          <w:p w14:paraId="338FBF5D">
            <w:pPr>
              <w:rPr>
                <w:b/>
                <w:lang w:bidi="ar"/>
              </w:rPr>
            </w:pPr>
          </w:p>
        </w:tc>
      </w:tr>
      <w:tr w14:paraId="1747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AA696D">
            <w:pPr>
              <w:rPr>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9B2AEE">
            <w:pPr>
              <w:rPr>
                <w:sz w:val="20"/>
                <w:szCs w:val="20"/>
              </w:rPr>
            </w:pPr>
          </w:p>
        </w:tc>
        <w:tc>
          <w:tcPr>
            <w:tcW w:w="5612" w:type="dxa"/>
            <w:tcBorders>
              <w:top w:val="single" w:color="auto" w:sz="4" w:space="0"/>
              <w:left w:val="single" w:color="auto" w:sz="4" w:space="0"/>
              <w:bottom w:val="single" w:color="auto" w:sz="4" w:space="0"/>
              <w:right w:val="single" w:color="auto" w:sz="4" w:space="0"/>
            </w:tcBorders>
            <w:shd w:val="clear" w:color="auto" w:fill="auto"/>
          </w:tcPr>
          <w:p w14:paraId="6ECAA601">
            <w:pPr>
              <w:rPr>
                <w:b/>
                <w:color w:val="FF0000"/>
              </w:rPr>
            </w:pPr>
            <w:r>
              <w:rPr>
                <w:b/>
                <w:lang w:bidi="ar"/>
              </w:rPr>
              <w:t>3.2</w:t>
            </w:r>
            <w:r>
              <w:rPr>
                <w:rFonts w:hint="eastAsia" w:ascii="宋体" w:hAnsi="宋体" w:cs="宋体"/>
                <w:bCs/>
                <w:kern w:val="0"/>
                <w:szCs w:val="21"/>
                <w:lang w:bidi="ar"/>
              </w:rPr>
              <w:t>投标人所交设备的品种、型号、规格、质量、功能、技术参数等方面不能实质性满足招标文件要约的，采购人有权拒绝收货，投标人向采购人偿付项目采购金额千分之</w:t>
            </w:r>
            <w:r>
              <w:rPr>
                <w:rFonts w:hint="eastAsia" w:ascii="宋体" w:hAnsi="宋体" w:cs="宋体"/>
                <w:bCs/>
                <w:kern w:val="0"/>
                <w:szCs w:val="21"/>
                <w:u w:val="single"/>
                <w:lang w:bidi="ar"/>
              </w:rPr>
              <w:t xml:space="preserve">  十  </w:t>
            </w:r>
            <w:r>
              <w:rPr>
                <w:rFonts w:hint="eastAsia" w:ascii="宋体" w:hAnsi="宋体" w:cs="宋体"/>
                <w:bCs/>
                <w:kern w:val="0"/>
                <w:szCs w:val="21"/>
                <w:lang w:bidi="ar"/>
              </w:rPr>
              <w:t>的违约金；造成严重后果的，根据《深圳经济特区政府采购条例》第五十七条第（二）款规定，由主管部门对中标人进行处罚。</w:t>
            </w:r>
          </w:p>
        </w:tc>
        <w:tc>
          <w:tcPr>
            <w:tcW w:w="725" w:type="dxa"/>
            <w:tcBorders>
              <w:top w:val="single" w:color="auto" w:sz="4" w:space="0"/>
              <w:left w:val="single" w:color="auto" w:sz="4" w:space="0"/>
              <w:bottom w:val="single" w:color="auto" w:sz="4" w:space="0"/>
              <w:right w:val="single" w:color="auto" w:sz="4" w:space="0"/>
            </w:tcBorders>
            <w:shd w:val="clear" w:color="auto" w:fill="auto"/>
          </w:tcPr>
          <w:p w14:paraId="6F4F6162">
            <w:pPr>
              <w:rPr>
                <w:b/>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5357D187">
            <w:pPr>
              <w:rPr>
                <w:b/>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tcPr>
          <w:p w14:paraId="6B0E1BA8">
            <w:pPr>
              <w:rPr>
                <w:b/>
                <w:lang w:bidi="ar"/>
              </w:rPr>
            </w:pPr>
          </w:p>
        </w:tc>
      </w:tr>
      <w:tr w14:paraId="4F4D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742BDC">
            <w:pPr>
              <w:rPr>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C35A81">
            <w:pPr>
              <w:rPr>
                <w:sz w:val="20"/>
                <w:szCs w:val="20"/>
              </w:rPr>
            </w:pPr>
          </w:p>
        </w:tc>
        <w:tc>
          <w:tcPr>
            <w:tcW w:w="5612" w:type="dxa"/>
            <w:tcBorders>
              <w:top w:val="single" w:color="auto" w:sz="4" w:space="0"/>
              <w:left w:val="single" w:color="auto" w:sz="4" w:space="0"/>
              <w:bottom w:val="single" w:color="auto" w:sz="4" w:space="0"/>
              <w:right w:val="single" w:color="auto" w:sz="4" w:space="0"/>
            </w:tcBorders>
            <w:shd w:val="clear" w:color="auto" w:fill="auto"/>
          </w:tcPr>
          <w:p w14:paraId="4B7400EC">
            <w:pPr>
              <w:rPr>
                <w:bCs/>
              </w:rPr>
            </w:pPr>
            <w:r>
              <w:rPr>
                <w:bCs/>
                <w:lang w:bidi="ar"/>
              </w:rPr>
              <w:t>3.3</w:t>
            </w:r>
            <w:r>
              <w:rPr>
                <w:rFonts w:hint="eastAsia" w:ascii="宋体" w:hAnsi="宋体" w:cs="宋体"/>
                <w:bCs/>
                <w:kern w:val="0"/>
                <w:szCs w:val="21"/>
                <w:lang w:bidi="ar"/>
              </w:rPr>
              <w:t>投标人不能交付设备的，投标人向采购人偿付项目采购金额千分之</w:t>
            </w:r>
            <w:r>
              <w:rPr>
                <w:rFonts w:hint="eastAsia" w:ascii="宋体" w:hAnsi="宋体" w:cs="宋体"/>
                <w:bCs/>
                <w:kern w:val="0"/>
                <w:szCs w:val="21"/>
                <w:u w:val="single"/>
                <w:lang w:bidi="ar"/>
              </w:rPr>
              <w:t xml:space="preserve">  十  </w:t>
            </w:r>
            <w:r>
              <w:rPr>
                <w:rFonts w:hint="eastAsia" w:ascii="宋体" w:hAnsi="宋体" w:cs="宋体"/>
                <w:bCs/>
                <w:kern w:val="0"/>
                <w:szCs w:val="21"/>
                <w:lang w:bidi="ar"/>
              </w:rPr>
              <w:t>的违约金；造成严重后果的，根据《深圳经济特区政府采购条例》第五十七条第（二）款规定，由主管部门对中标人进行处罚。</w:t>
            </w:r>
          </w:p>
        </w:tc>
        <w:tc>
          <w:tcPr>
            <w:tcW w:w="725" w:type="dxa"/>
            <w:tcBorders>
              <w:top w:val="single" w:color="auto" w:sz="4" w:space="0"/>
              <w:left w:val="single" w:color="auto" w:sz="4" w:space="0"/>
              <w:bottom w:val="single" w:color="auto" w:sz="4" w:space="0"/>
              <w:right w:val="single" w:color="auto" w:sz="4" w:space="0"/>
            </w:tcBorders>
            <w:shd w:val="clear" w:color="auto" w:fill="auto"/>
          </w:tcPr>
          <w:p w14:paraId="3C543387">
            <w:pPr>
              <w:rPr>
                <w:bCs/>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05499B10">
            <w:pPr>
              <w:rPr>
                <w:bCs/>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tcPr>
          <w:p w14:paraId="73CE6031">
            <w:pPr>
              <w:rPr>
                <w:bCs/>
                <w:lang w:bidi="ar"/>
              </w:rPr>
            </w:pPr>
          </w:p>
        </w:tc>
      </w:tr>
      <w:tr w14:paraId="518B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6464EF">
            <w:pPr>
              <w:rPr>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80FEE3">
            <w:pPr>
              <w:rPr>
                <w:sz w:val="20"/>
                <w:szCs w:val="20"/>
              </w:rPr>
            </w:pPr>
          </w:p>
        </w:tc>
        <w:tc>
          <w:tcPr>
            <w:tcW w:w="5612" w:type="dxa"/>
            <w:tcBorders>
              <w:top w:val="single" w:color="auto" w:sz="4" w:space="0"/>
              <w:left w:val="single" w:color="auto" w:sz="4" w:space="0"/>
              <w:bottom w:val="single" w:color="auto" w:sz="4" w:space="0"/>
              <w:right w:val="single" w:color="auto" w:sz="4" w:space="0"/>
            </w:tcBorders>
            <w:shd w:val="clear" w:color="auto" w:fill="auto"/>
          </w:tcPr>
          <w:p w14:paraId="66BF310A">
            <w:pPr>
              <w:rPr>
                <w:bCs/>
              </w:rPr>
            </w:pPr>
            <w:r>
              <w:rPr>
                <w:bCs/>
                <w:lang w:bidi="ar"/>
              </w:rPr>
              <w:t>3.4</w:t>
            </w:r>
            <w:r>
              <w:rPr>
                <w:rFonts w:hint="eastAsia" w:ascii="宋体" w:hAnsi="宋体" w:cs="宋体"/>
                <w:bCs/>
                <w:kern w:val="0"/>
                <w:szCs w:val="21"/>
                <w:lang w:bidi="ar"/>
              </w:rPr>
              <w:t>投标人逾期未交设备的，投标人向采购人每日偿付设备款千分之</w:t>
            </w:r>
            <w:r>
              <w:rPr>
                <w:rFonts w:hint="eastAsia" w:ascii="宋体" w:hAnsi="宋体" w:cs="宋体"/>
                <w:bCs/>
                <w:kern w:val="0"/>
                <w:szCs w:val="21"/>
                <w:u w:val="single"/>
                <w:lang w:bidi="ar"/>
              </w:rPr>
              <w:t xml:space="preserve"> 十  </w:t>
            </w:r>
            <w:r>
              <w:rPr>
                <w:rFonts w:hint="eastAsia" w:ascii="宋体" w:hAnsi="宋体" w:cs="宋体"/>
                <w:bCs/>
                <w:kern w:val="0"/>
                <w:szCs w:val="21"/>
                <w:lang w:bidi="ar"/>
              </w:rPr>
              <w:t>的违约金。</w:t>
            </w:r>
          </w:p>
        </w:tc>
        <w:tc>
          <w:tcPr>
            <w:tcW w:w="725" w:type="dxa"/>
            <w:tcBorders>
              <w:top w:val="single" w:color="auto" w:sz="4" w:space="0"/>
              <w:left w:val="single" w:color="auto" w:sz="4" w:space="0"/>
              <w:bottom w:val="single" w:color="auto" w:sz="4" w:space="0"/>
              <w:right w:val="single" w:color="auto" w:sz="4" w:space="0"/>
            </w:tcBorders>
            <w:shd w:val="clear" w:color="auto" w:fill="auto"/>
          </w:tcPr>
          <w:p w14:paraId="4FC94006">
            <w:pPr>
              <w:rPr>
                <w:bCs/>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76A9F587">
            <w:pPr>
              <w:rPr>
                <w:bCs/>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tcPr>
          <w:p w14:paraId="713D2397">
            <w:pPr>
              <w:rPr>
                <w:bCs/>
                <w:lang w:bidi="ar"/>
              </w:rPr>
            </w:pPr>
          </w:p>
        </w:tc>
      </w:tr>
      <w:tr w14:paraId="251A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EC0720">
            <w:pPr>
              <w:rPr>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DA41C6">
            <w:pPr>
              <w:rPr>
                <w:sz w:val="20"/>
                <w:szCs w:val="20"/>
              </w:rPr>
            </w:pPr>
          </w:p>
        </w:tc>
        <w:tc>
          <w:tcPr>
            <w:tcW w:w="5612" w:type="dxa"/>
            <w:tcBorders>
              <w:top w:val="single" w:color="auto" w:sz="4" w:space="0"/>
              <w:left w:val="single" w:color="auto" w:sz="4" w:space="0"/>
              <w:bottom w:val="single" w:color="auto" w:sz="4" w:space="0"/>
              <w:right w:val="single" w:color="auto" w:sz="4" w:space="0"/>
            </w:tcBorders>
            <w:shd w:val="clear" w:color="auto" w:fill="auto"/>
          </w:tcPr>
          <w:p w14:paraId="361A1907">
            <w:pPr>
              <w:rPr>
                <w:rFonts w:ascii="宋体" w:hAnsi="宋体" w:cs="宋体"/>
                <w:bCs/>
                <w:kern w:val="0"/>
                <w:szCs w:val="21"/>
              </w:rPr>
            </w:pPr>
            <w:r>
              <w:rPr>
                <w:rFonts w:hint="eastAsia" w:ascii="宋体" w:hAnsi="宋体" w:cs="宋体"/>
                <w:bCs/>
                <w:kern w:val="0"/>
                <w:szCs w:val="21"/>
                <w:lang w:bidi="ar"/>
              </w:rPr>
              <w:t>3.5违约金先从由投标人履约保证金中扣除，若有不足部分则由中标人补齐。</w:t>
            </w:r>
          </w:p>
        </w:tc>
        <w:tc>
          <w:tcPr>
            <w:tcW w:w="725" w:type="dxa"/>
            <w:tcBorders>
              <w:top w:val="single" w:color="auto" w:sz="4" w:space="0"/>
              <w:left w:val="single" w:color="auto" w:sz="4" w:space="0"/>
              <w:bottom w:val="single" w:color="auto" w:sz="4" w:space="0"/>
              <w:right w:val="single" w:color="auto" w:sz="4" w:space="0"/>
            </w:tcBorders>
            <w:shd w:val="clear" w:color="auto" w:fill="auto"/>
          </w:tcPr>
          <w:p w14:paraId="223F020E">
            <w:pPr>
              <w:rPr>
                <w:rFonts w:ascii="宋体" w:hAnsi="宋体" w:cs="宋体"/>
                <w:bCs/>
                <w:kern w:val="0"/>
                <w:szCs w:val="21"/>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663E84C3">
            <w:pPr>
              <w:rPr>
                <w:rFonts w:ascii="宋体" w:hAnsi="宋体" w:cs="宋体"/>
                <w:bCs/>
                <w:kern w:val="0"/>
                <w:szCs w:val="21"/>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tcPr>
          <w:p w14:paraId="07781718">
            <w:pPr>
              <w:rPr>
                <w:rFonts w:ascii="宋体" w:hAnsi="宋体" w:cs="宋体"/>
                <w:bCs/>
                <w:kern w:val="0"/>
                <w:szCs w:val="21"/>
                <w:lang w:bidi="ar"/>
              </w:rPr>
            </w:pPr>
          </w:p>
        </w:tc>
      </w:tr>
      <w:tr w14:paraId="2220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0ED78D">
            <w:pPr>
              <w:rPr>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6FE968">
            <w:pPr>
              <w:rPr>
                <w:sz w:val="20"/>
                <w:szCs w:val="20"/>
              </w:rPr>
            </w:pPr>
          </w:p>
        </w:tc>
        <w:tc>
          <w:tcPr>
            <w:tcW w:w="5612" w:type="dxa"/>
            <w:tcBorders>
              <w:top w:val="single" w:color="auto" w:sz="4" w:space="0"/>
              <w:left w:val="single" w:color="auto" w:sz="4" w:space="0"/>
              <w:bottom w:val="single" w:color="auto" w:sz="4" w:space="0"/>
              <w:right w:val="single" w:color="auto" w:sz="4" w:space="0"/>
            </w:tcBorders>
            <w:shd w:val="clear" w:color="auto" w:fill="auto"/>
          </w:tcPr>
          <w:p w14:paraId="2C5A0290">
            <w:pPr>
              <w:rPr>
                <w:bCs/>
              </w:rPr>
            </w:pPr>
            <w:r>
              <w:rPr>
                <w:bCs/>
                <w:lang w:bidi="ar"/>
              </w:rPr>
              <w:t>3.6</w:t>
            </w:r>
            <w:r>
              <w:rPr>
                <w:rFonts w:hint="eastAsia" w:cs="宋体"/>
                <w:bCs/>
                <w:lang w:bidi="ar"/>
              </w:rPr>
              <w:t>中标人逾期交货的，将被没收履约保证金并按主管部门相关规定处理。</w:t>
            </w:r>
          </w:p>
        </w:tc>
        <w:tc>
          <w:tcPr>
            <w:tcW w:w="725" w:type="dxa"/>
            <w:tcBorders>
              <w:top w:val="single" w:color="auto" w:sz="4" w:space="0"/>
              <w:left w:val="single" w:color="auto" w:sz="4" w:space="0"/>
              <w:bottom w:val="single" w:color="auto" w:sz="4" w:space="0"/>
              <w:right w:val="single" w:color="auto" w:sz="4" w:space="0"/>
            </w:tcBorders>
            <w:shd w:val="clear" w:color="auto" w:fill="auto"/>
          </w:tcPr>
          <w:p w14:paraId="1421289B">
            <w:pPr>
              <w:rPr>
                <w:bCs/>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571F7110">
            <w:pPr>
              <w:rPr>
                <w:bCs/>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tcPr>
          <w:p w14:paraId="6C4159D6">
            <w:pPr>
              <w:rPr>
                <w:bCs/>
                <w:lang w:bidi="ar"/>
              </w:rPr>
            </w:pPr>
          </w:p>
        </w:tc>
      </w:tr>
      <w:tr w14:paraId="30DF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B2D3E7">
            <w:pPr>
              <w:rPr>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78164A">
            <w:pPr>
              <w:rPr>
                <w:sz w:val="20"/>
                <w:szCs w:val="20"/>
              </w:rPr>
            </w:pPr>
          </w:p>
        </w:tc>
        <w:tc>
          <w:tcPr>
            <w:tcW w:w="5612" w:type="dxa"/>
            <w:tcBorders>
              <w:top w:val="single" w:color="auto" w:sz="4" w:space="0"/>
              <w:left w:val="single" w:color="auto" w:sz="4" w:space="0"/>
              <w:bottom w:val="single" w:color="auto" w:sz="4" w:space="0"/>
              <w:right w:val="single" w:color="auto" w:sz="4" w:space="0"/>
            </w:tcBorders>
            <w:shd w:val="clear" w:color="auto" w:fill="auto"/>
          </w:tcPr>
          <w:p w14:paraId="42FBF8C3">
            <w:pPr>
              <w:rPr>
                <w:bCs/>
              </w:rPr>
            </w:pPr>
            <w:r>
              <w:rPr>
                <w:bCs/>
                <w:lang w:bidi="ar"/>
              </w:rPr>
              <w:t>3.7</w:t>
            </w:r>
            <w:r>
              <w:rPr>
                <w:rFonts w:hint="eastAsia" w:cs="宋体"/>
                <w:bCs/>
                <w:lang w:bidi="ar"/>
              </w:rPr>
              <w:t>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c>
          <w:tcPr>
            <w:tcW w:w="725" w:type="dxa"/>
            <w:tcBorders>
              <w:top w:val="single" w:color="auto" w:sz="4" w:space="0"/>
              <w:left w:val="single" w:color="auto" w:sz="4" w:space="0"/>
              <w:bottom w:val="single" w:color="auto" w:sz="4" w:space="0"/>
              <w:right w:val="single" w:color="auto" w:sz="4" w:space="0"/>
            </w:tcBorders>
            <w:shd w:val="clear" w:color="auto" w:fill="auto"/>
          </w:tcPr>
          <w:p w14:paraId="57832F8C">
            <w:pPr>
              <w:rPr>
                <w:bCs/>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5EC3FE7A">
            <w:pPr>
              <w:rPr>
                <w:bCs/>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tcPr>
          <w:p w14:paraId="20066863">
            <w:pPr>
              <w:rPr>
                <w:bCs/>
                <w:lang w:bidi="ar"/>
              </w:rPr>
            </w:pPr>
          </w:p>
        </w:tc>
      </w:tr>
      <w:tr w14:paraId="704C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042CD7BE">
            <w:pPr>
              <w:jc w:val="center"/>
              <w:rPr>
                <w:bCs/>
              </w:rPr>
            </w:pPr>
            <w:r>
              <w:rPr>
                <w:bCs/>
                <w:lang w:bidi="ar"/>
              </w:rPr>
              <w:t>4</w:t>
            </w: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14:paraId="475D3D02">
            <w:pPr>
              <w:jc w:val="center"/>
            </w:pPr>
            <w:r>
              <w:rPr>
                <w:rFonts w:hint="eastAsia" w:cs="宋体"/>
                <w:lang w:bidi="ar"/>
              </w:rPr>
              <w:t>关于付款</w:t>
            </w:r>
          </w:p>
        </w:tc>
        <w:tc>
          <w:tcPr>
            <w:tcW w:w="5612" w:type="dxa"/>
            <w:tcBorders>
              <w:top w:val="single" w:color="auto" w:sz="4" w:space="0"/>
              <w:left w:val="single" w:color="auto" w:sz="4" w:space="0"/>
              <w:bottom w:val="single" w:color="auto" w:sz="4" w:space="0"/>
              <w:right w:val="single" w:color="auto" w:sz="4" w:space="0"/>
            </w:tcBorders>
            <w:shd w:val="clear" w:color="auto" w:fill="auto"/>
          </w:tcPr>
          <w:p w14:paraId="5EFA5D47">
            <w:pPr>
              <w:rPr>
                <w:b/>
              </w:rPr>
            </w:pPr>
            <w:r>
              <w:rPr>
                <w:rFonts w:hint="eastAsia" w:cs="宋体"/>
                <w:bCs/>
                <w:szCs w:val="21"/>
                <w:lang w:bidi="ar"/>
              </w:rPr>
              <w:t>合同签订后，在设备安装完成经采购人验收合格后，中标人提供全额合法有效发票后，采购人在</w:t>
            </w:r>
            <w:r>
              <w:rPr>
                <w:bCs/>
                <w:szCs w:val="21"/>
                <w:u w:val="single"/>
                <w:lang w:bidi="ar"/>
              </w:rPr>
              <w:t>30</w:t>
            </w:r>
            <w:r>
              <w:rPr>
                <w:rFonts w:hint="eastAsia" w:cs="宋体"/>
                <w:bCs/>
                <w:szCs w:val="21"/>
                <w:lang w:bidi="ar"/>
              </w:rPr>
              <w:t>工作日内付中标人全额货款，采购人因财政审批导致迟延付款的，不视为甲方违约，中标人仍应按照本合同约定履行义务。</w:t>
            </w:r>
          </w:p>
        </w:tc>
        <w:tc>
          <w:tcPr>
            <w:tcW w:w="725" w:type="dxa"/>
            <w:tcBorders>
              <w:top w:val="single" w:color="auto" w:sz="4" w:space="0"/>
              <w:left w:val="single" w:color="auto" w:sz="4" w:space="0"/>
              <w:bottom w:val="single" w:color="auto" w:sz="4" w:space="0"/>
              <w:right w:val="single" w:color="auto" w:sz="4" w:space="0"/>
            </w:tcBorders>
            <w:shd w:val="clear" w:color="auto" w:fill="auto"/>
          </w:tcPr>
          <w:p w14:paraId="45D947AE">
            <w:pPr>
              <w:rPr>
                <w:rFonts w:cs="宋体"/>
                <w:bCs/>
                <w:szCs w:val="21"/>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3B9FC4B7">
            <w:pPr>
              <w:rPr>
                <w:rFonts w:cs="宋体"/>
                <w:bCs/>
                <w:szCs w:val="21"/>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tcPr>
          <w:p w14:paraId="7B4A6689">
            <w:pPr>
              <w:rPr>
                <w:rFonts w:cs="宋体"/>
                <w:bCs/>
                <w:szCs w:val="21"/>
                <w:lang w:bidi="ar"/>
              </w:rPr>
            </w:pPr>
          </w:p>
        </w:tc>
      </w:tr>
      <w:tr w14:paraId="625B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442DEE46">
            <w:pPr>
              <w:jc w:val="center"/>
              <w:rPr>
                <w:bCs/>
              </w:rPr>
            </w:pPr>
            <w:r>
              <w:rPr>
                <w:bCs/>
                <w:lang w:bidi="ar"/>
              </w:rPr>
              <w:t>5</w:t>
            </w: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14:paraId="311AB97D">
            <w:pPr>
              <w:jc w:val="center"/>
            </w:pPr>
            <w:r>
              <w:rPr>
                <w:rFonts w:hint="eastAsia" w:cs="宋体"/>
                <w:lang w:bidi="ar"/>
              </w:rPr>
              <w:t>报价要求</w:t>
            </w:r>
          </w:p>
        </w:tc>
        <w:tc>
          <w:tcPr>
            <w:tcW w:w="5612" w:type="dxa"/>
            <w:tcBorders>
              <w:top w:val="single" w:color="auto" w:sz="4" w:space="0"/>
              <w:left w:val="single" w:color="auto" w:sz="4" w:space="0"/>
              <w:bottom w:val="single" w:color="auto" w:sz="4" w:space="0"/>
              <w:right w:val="single" w:color="auto" w:sz="4" w:space="0"/>
            </w:tcBorders>
            <w:shd w:val="clear" w:color="auto" w:fill="auto"/>
          </w:tcPr>
          <w:p w14:paraId="694AC3E1">
            <w:pPr>
              <w:rPr>
                <w:bCs/>
                <w:szCs w:val="21"/>
              </w:rPr>
            </w:pPr>
            <w:r>
              <w:rPr>
                <w:rFonts w:hint="eastAsia" w:cs="宋体"/>
                <w:bCs/>
                <w:szCs w:val="21"/>
                <w:lang w:bidi="ar"/>
              </w:rPr>
              <w:t>投标总价必须是完成该项目的一切费用总和，包括设备费、运输费、装卸费、保险费、技术培训费、设备安装费、调试费、售后服务费、国家规定的各项税费等全部费用；</w:t>
            </w:r>
            <w:r>
              <w:rPr>
                <w:bCs/>
                <w:szCs w:val="21"/>
                <w:lang w:bidi="ar"/>
              </w:rPr>
              <w:t xml:space="preserve"> </w:t>
            </w:r>
          </w:p>
        </w:tc>
        <w:tc>
          <w:tcPr>
            <w:tcW w:w="725" w:type="dxa"/>
            <w:tcBorders>
              <w:top w:val="single" w:color="auto" w:sz="4" w:space="0"/>
              <w:left w:val="single" w:color="auto" w:sz="4" w:space="0"/>
              <w:bottom w:val="single" w:color="auto" w:sz="4" w:space="0"/>
              <w:right w:val="single" w:color="auto" w:sz="4" w:space="0"/>
            </w:tcBorders>
            <w:shd w:val="clear" w:color="auto" w:fill="auto"/>
          </w:tcPr>
          <w:p w14:paraId="744975E9">
            <w:pPr>
              <w:rPr>
                <w:rFonts w:cs="宋体"/>
                <w:bCs/>
                <w:szCs w:val="21"/>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413D706B">
            <w:pPr>
              <w:rPr>
                <w:rFonts w:cs="宋体"/>
                <w:bCs/>
                <w:szCs w:val="21"/>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tcPr>
          <w:p w14:paraId="6D0E8D9D">
            <w:pPr>
              <w:rPr>
                <w:rFonts w:cs="宋体"/>
                <w:bCs/>
                <w:szCs w:val="21"/>
                <w:lang w:bidi="ar"/>
              </w:rPr>
            </w:pPr>
          </w:p>
        </w:tc>
      </w:tr>
      <w:tr w14:paraId="694F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4" w:type="dxa"/>
            <w:tcBorders>
              <w:top w:val="single" w:color="auto" w:sz="4" w:space="0"/>
              <w:left w:val="single" w:color="auto" w:sz="4" w:space="0"/>
              <w:bottom w:val="single" w:color="auto" w:sz="4" w:space="0"/>
              <w:right w:val="single" w:color="auto" w:sz="4" w:space="0"/>
            </w:tcBorders>
            <w:shd w:val="clear" w:color="auto" w:fill="auto"/>
            <w:vAlign w:val="center"/>
          </w:tcPr>
          <w:p w14:paraId="71ABFB5B">
            <w:pPr>
              <w:jc w:val="center"/>
              <w:rPr>
                <w:b/>
                <w:color w:val="FF0000"/>
              </w:rPr>
            </w:pPr>
            <w:r>
              <w:rPr>
                <w:b/>
                <w:color w:val="FF0000"/>
                <w:lang w:bidi="ar"/>
              </w:rPr>
              <w:t>6</w:t>
            </w:r>
          </w:p>
        </w:tc>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14:paraId="6DD6BB1B">
            <w:pPr>
              <w:jc w:val="center"/>
              <w:rPr>
                <w:b/>
                <w:color w:val="FF0000"/>
              </w:rPr>
            </w:pPr>
            <w:r>
              <w:rPr>
                <w:rFonts w:hint="eastAsia" w:cs="宋体"/>
                <w:b/>
                <w:color w:val="FF0000"/>
                <w:lang w:bidi="ar"/>
              </w:rPr>
              <w:t>项目（产品）要求</w:t>
            </w:r>
          </w:p>
        </w:tc>
        <w:tc>
          <w:tcPr>
            <w:tcW w:w="5612" w:type="dxa"/>
            <w:tcBorders>
              <w:top w:val="single" w:color="auto" w:sz="4" w:space="0"/>
              <w:left w:val="single" w:color="auto" w:sz="4" w:space="0"/>
              <w:bottom w:val="single" w:color="auto" w:sz="4" w:space="0"/>
              <w:right w:val="single" w:color="auto" w:sz="4" w:space="0"/>
            </w:tcBorders>
            <w:shd w:val="clear" w:color="auto" w:fill="auto"/>
          </w:tcPr>
          <w:p w14:paraId="61D4EE1F">
            <w:pPr>
              <w:rPr>
                <w:b/>
                <w:color w:val="FF0000"/>
              </w:rPr>
            </w:pPr>
            <w:r>
              <w:rPr>
                <w:rFonts w:hint="eastAsia" w:cs="宋体"/>
                <w:b/>
                <w:color w:val="FF0000"/>
                <w:lang w:bidi="ar"/>
              </w:rPr>
              <w:t>★</w:t>
            </w:r>
            <w:r>
              <w:rPr>
                <w:b/>
                <w:color w:val="FF0000"/>
                <w:lang w:bidi="ar"/>
              </w:rPr>
              <w:t>6.1</w:t>
            </w:r>
            <w:r>
              <w:rPr>
                <w:rFonts w:hint="eastAsia" w:cs="宋体"/>
                <w:b/>
                <w:color w:val="FF0000"/>
                <w:lang w:bidi="ar"/>
              </w:rPr>
              <w:t>若所投产品为进口，则投标人必须提供由设备制造商或授权的中国总代理签署的合法有效的保修、维修承诺函（免费保修期满足招标文件要求）扫描件，原件备查；若所投产品为国产产品，则无需提供。</w:t>
            </w:r>
          </w:p>
        </w:tc>
        <w:tc>
          <w:tcPr>
            <w:tcW w:w="725" w:type="dxa"/>
            <w:tcBorders>
              <w:top w:val="single" w:color="auto" w:sz="4" w:space="0"/>
              <w:left w:val="single" w:color="auto" w:sz="4" w:space="0"/>
              <w:bottom w:val="single" w:color="auto" w:sz="4" w:space="0"/>
              <w:right w:val="single" w:color="auto" w:sz="4" w:space="0"/>
            </w:tcBorders>
            <w:shd w:val="clear" w:color="auto" w:fill="auto"/>
          </w:tcPr>
          <w:p w14:paraId="40C00A15">
            <w:pPr>
              <w:rPr>
                <w:rFonts w:cs="宋体"/>
                <w:b/>
                <w:color w:val="FF0000"/>
                <w:lang w:bidi="ar"/>
              </w:rPr>
            </w:pPr>
          </w:p>
        </w:tc>
        <w:tc>
          <w:tcPr>
            <w:tcW w:w="638" w:type="dxa"/>
            <w:tcBorders>
              <w:top w:val="single" w:color="auto" w:sz="4" w:space="0"/>
              <w:left w:val="single" w:color="auto" w:sz="4" w:space="0"/>
              <w:bottom w:val="single" w:color="auto" w:sz="4" w:space="0"/>
              <w:right w:val="single" w:color="auto" w:sz="4" w:space="0"/>
            </w:tcBorders>
            <w:shd w:val="clear" w:color="auto" w:fill="auto"/>
          </w:tcPr>
          <w:p w14:paraId="224F93E8">
            <w:pPr>
              <w:rPr>
                <w:rFonts w:cs="宋体"/>
                <w:b/>
                <w:color w:val="FF0000"/>
                <w:lang w:bidi="ar"/>
              </w:rPr>
            </w:pPr>
          </w:p>
        </w:tc>
        <w:tc>
          <w:tcPr>
            <w:tcW w:w="334" w:type="dxa"/>
            <w:tcBorders>
              <w:top w:val="single" w:color="auto" w:sz="4" w:space="0"/>
              <w:left w:val="single" w:color="auto" w:sz="4" w:space="0"/>
              <w:bottom w:val="single" w:color="auto" w:sz="4" w:space="0"/>
              <w:right w:val="single" w:color="auto" w:sz="4" w:space="0"/>
            </w:tcBorders>
            <w:shd w:val="clear" w:color="auto" w:fill="auto"/>
          </w:tcPr>
          <w:p w14:paraId="61EA01AC">
            <w:pPr>
              <w:rPr>
                <w:rFonts w:cs="宋体"/>
                <w:b/>
                <w:color w:val="FF0000"/>
                <w:lang w:bidi="ar"/>
              </w:rPr>
            </w:pPr>
          </w:p>
        </w:tc>
      </w:tr>
    </w:tbl>
    <w:p w14:paraId="18D46E3F">
      <w:pPr>
        <w:rPr>
          <w:sz w:val="24"/>
        </w:rPr>
      </w:pPr>
    </w:p>
    <w:p w14:paraId="289623E1">
      <w:pPr>
        <w:rPr>
          <w:sz w:val="24"/>
        </w:rPr>
      </w:pPr>
    </w:p>
    <w:p w14:paraId="22EB4309">
      <w:pPr>
        <w:pStyle w:val="3"/>
        <w:jc w:val="center"/>
        <w:rPr>
          <w:rFonts w:ascii="黑体" w:eastAsia="黑体"/>
          <w:b w:val="0"/>
          <w:sz w:val="24"/>
          <w:szCs w:val="24"/>
        </w:rPr>
      </w:pPr>
      <w:bookmarkStart w:id="79" w:name="_Hlk72260576"/>
      <w:r>
        <w:rPr>
          <w:rFonts w:hint="eastAsia" w:ascii="黑体" w:eastAsia="黑体"/>
          <w:b w:val="0"/>
          <w:sz w:val="24"/>
          <w:szCs w:val="24"/>
        </w:rPr>
        <w:t>六、项目实施方案</w:t>
      </w:r>
    </w:p>
    <w:p w14:paraId="36777102">
      <w:pPr>
        <w:rPr>
          <w:sz w:val="24"/>
        </w:rPr>
      </w:pPr>
      <w:r>
        <w:rPr>
          <w:rFonts w:hint="eastAsia"/>
          <w:sz w:val="24"/>
        </w:rPr>
        <w:t>主要内容应包括</w:t>
      </w:r>
      <w:r>
        <w:rPr>
          <w:rFonts w:hint="eastAsia"/>
          <w:color w:val="FF0000"/>
          <w:sz w:val="24"/>
        </w:rPr>
        <w:t>(根据项目实际情况适当调整内容)</w:t>
      </w:r>
      <w:r>
        <w:rPr>
          <w:rFonts w:hint="eastAsia"/>
          <w:sz w:val="24"/>
        </w:rPr>
        <w:t>：</w:t>
      </w:r>
    </w:p>
    <w:p w14:paraId="1F37312C">
      <w:pPr>
        <w:rPr>
          <w:sz w:val="24"/>
        </w:rPr>
      </w:pPr>
    </w:p>
    <w:p w14:paraId="2366177D">
      <w:pPr>
        <w:rPr>
          <w:sz w:val="24"/>
        </w:rPr>
      </w:pPr>
      <w:r>
        <w:rPr>
          <w:rFonts w:hint="eastAsia"/>
          <w:sz w:val="24"/>
        </w:rPr>
        <w:t>1、项目实施方案、维修维护方案</w:t>
      </w:r>
    </w:p>
    <w:p w14:paraId="1E9FDA39">
      <w:pPr>
        <w:rPr>
          <w:sz w:val="24"/>
        </w:rPr>
      </w:pPr>
      <w:r>
        <w:rPr>
          <w:sz w:val="24"/>
        </w:rPr>
        <w:t>2</w:t>
      </w:r>
      <w:r>
        <w:rPr>
          <w:rFonts w:hint="eastAsia"/>
          <w:sz w:val="24"/>
        </w:rPr>
        <w:t>、其他相关配套措施</w:t>
      </w:r>
    </w:p>
    <w:p w14:paraId="75837EF1">
      <w:pPr>
        <w:rPr>
          <w:sz w:val="24"/>
        </w:rPr>
      </w:pPr>
      <w:r>
        <w:rPr>
          <w:rFonts w:hint="eastAsia"/>
          <w:sz w:val="24"/>
        </w:rPr>
        <w:t>3、实施进度表</w:t>
      </w:r>
    </w:p>
    <w:p w14:paraId="50A9D345">
      <w:pPr>
        <w:rPr>
          <w:b/>
          <w:bCs/>
          <w:color w:val="FF0000"/>
          <w:sz w:val="24"/>
        </w:rPr>
      </w:pPr>
      <w:r>
        <w:rPr>
          <w:rFonts w:hint="eastAsia"/>
          <w:b/>
          <w:bCs/>
          <w:color w:val="FF0000"/>
          <w:sz w:val="24"/>
        </w:rPr>
        <w:t>（备注：该部分须与投标文件其他部分内容应当相呼应，不得前后矛盾。）</w:t>
      </w:r>
    </w:p>
    <w:p w14:paraId="1E1AD150">
      <w:pPr>
        <w:rPr>
          <w:b/>
          <w:bCs/>
          <w:color w:val="FF0000"/>
          <w:sz w:val="24"/>
        </w:rPr>
      </w:pPr>
    </w:p>
    <w:bookmarkEnd w:id="79"/>
    <w:p w14:paraId="05DCBC56">
      <w:pPr>
        <w:pStyle w:val="3"/>
        <w:jc w:val="center"/>
        <w:rPr>
          <w:rFonts w:ascii="黑体" w:eastAsia="黑体"/>
          <w:b w:val="0"/>
          <w:sz w:val="24"/>
          <w:szCs w:val="24"/>
        </w:rPr>
      </w:pPr>
      <w:r>
        <w:rPr>
          <w:rFonts w:hint="eastAsia" w:ascii="黑体" w:eastAsia="黑体"/>
          <w:b w:val="0"/>
          <w:sz w:val="24"/>
          <w:szCs w:val="24"/>
        </w:rPr>
        <w:t>七、售后服务方案</w:t>
      </w:r>
    </w:p>
    <w:p w14:paraId="0031F3A8">
      <w:pPr>
        <w:rPr>
          <w:sz w:val="24"/>
        </w:rPr>
      </w:pPr>
    </w:p>
    <w:p w14:paraId="175D214A">
      <w:pPr>
        <w:rPr>
          <w:sz w:val="24"/>
        </w:rPr>
      </w:pPr>
      <w:r>
        <w:rPr>
          <w:rFonts w:hint="eastAsia"/>
          <w:sz w:val="24"/>
        </w:rPr>
        <w:t>主要内容应包括</w:t>
      </w:r>
      <w:r>
        <w:rPr>
          <w:sz w:val="24"/>
        </w:rPr>
        <w:t>(</w:t>
      </w:r>
      <w:r>
        <w:rPr>
          <w:rFonts w:hint="eastAsia"/>
          <w:sz w:val="24"/>
        </w:rPr>
        <w:t>根据项目实际情况适当调整内容</w:t>
      </w:r>
      <w:r>
        <w:rPr>
          <w:sz w:val="24"/>
        </w:rPr>
        <w:t>)</w:t>
      </w:r>
      <w:r>
        <w:rPr>
          <w:rFonts w:hint="eastAsia"/>
          <w:sz w:val="24"/>
        </w:rPr>
        <w:t>：</w:t>
      </w:r>
    </w:p>
    <w:p w14:paraId="6AD2E2A2">
      <w:pPr>
        <w:rPr>
          <w:sz w:val="24"/>
        </w:rPr>
      </w:pPr>
      <w:r>
        <w:rPr>
          <w:sz w:val="24"/>
        </w:rPr>
        <w:t>1</w:t>
      </w:r>
      <w:r>
        <w:rPr>
          <w:rFonts w:hint="eastAsia"/>
          <w:sz w:val="24"/>
        </w:rPr>
        <w:t>、免费保修期；</w:t>
      </w:r>
    </w:p>
    <w:p w14:paraId="374D4563">
      <w:pPr>
        <w:rPr>
          <w:sz w:val="24"/>
        </w:rPr>
      </w:pPr>
      <w:r>
        <w:rPr>
          <w:sz w:val="24"/>
        </w:rPr>
        <w:t>2</w:t>
      </w:r>
      <w:r>
        <w:rPr>
          <w:rFonts w:hint="eastAsia"/>
          <w:sz w:val="24"/>
        </w:rPr>
        <w:t>、故障或技术支持响应时间；</w:t>
      </w:r>
    </w:p>
    <w:p w14:paraId="2A6BBF9B">
      <w:pPr>
        <w:rPr>
          <w:sz w:val="24"/>
        </w:rPr>
      </w:pPr>
      <w:r>
        <w:rPr>
          <w:sz w:val="24"/>
        </w:rPr>
        <w:t>3</w:t>
      </w:r>
      <w:r>
        <w:rPr>
          <w:rFonts w:hint="eastAsia"/>
          <w:sz w:val="24"/>
        </w:rPr>
        <w:t>、投标人承诺的其他维修维护方案、措施</w:t>
      </w:r>
    </w:p>
    <w:p w14:paraId="02A27295">
      <w:pPr>
        <w:rPr>
          <w:sz w:val="24"/>
        </w:rPr>
      </w:pPr>
      <w:r>
        <w:rPr>
          <w:sz w:val="24"/>
        </w:rPr>
        <w:t>4</w:t>
      </w:r>
      <w:r>
        <w:rPr>
          <w:rFonts w:hint="eastAsia"/>
          <w:sz w:val="24"/>
        </w:rPr>
        <w:t>、质量保证及违约承诺。</w:t>
      </w:r>
    </w:p>
    <w:p w14:paraId="2D12665E">
      <w:pPr>
        <w:rPr>
          <w:b/>
          <w:color w:val="FF0000"/>
          <w:sz w:val="24"/>
        </w:rPr>
      </w:pPr>
      <w:r>
        <w:rPr>
          <w:rFonts w:hint="eastAsia"/>
          <w:b/>
          <w:color w:val="FF0000"/>
          <w:sz w:val="24"/>
        </w:rPr>
        <w:t>（备注：该部分须与“商务需求”承诺的内容相呼应，不得前后矛盾。）</w:t>
      </w:r>
    </w:p>
    <w:p w14:paraId="35EDEC62">
      <w:pPr>
        <w:rPr>
          <w:b/>
          <w:bCs/>
          <w:sz w:val="24"/>
        </w:rPr>
      </w:pPr>
    </w:p>
    <w:p w14:paraId="039239FB">
      <w:pPr>
        <w:pStyle w:val="3"/>
        <w:jc w:val="center"/>
        <w:rPr>
          <w:rFonts w:ascii="黑体" w:eastAsia="黑体"/>
          <w:b w:val="0"/>
          <w:bCs w:val="0"/>
          <w:sz w:val="24"/>
          <w:szCs w:val="20"/>
        </w:rPr>
      </w:pPr>
      <w:r>
        <w:rPr>
          <w:rFonts w:hint="eastAsia" w:ascii="黑体" w:eastAsia="黑体"/>
          <w:b w:val="0"/>
          <w:bCs w:val="0"/>
          <w:sz w:val="24"/>
          <w:szCs w:val="20"/>
        </w:rPr>
        <w:t>八、</w:t>
      </w:r>
      <w:bookmarkStart w:id="80" w:name="_Hlk72062872"/>
      <w:r>
        <w:rPr>
          <w:rFonts w:hint="eastAsia" w:ascii="黑体" w:eastAsia="黑体"/>
          <w:b w:val="0"/>
          <w:bCs w:val="0"/>
          <w:sz w:val="24"/>
          <w:szCs w:val="20"/>
        </w:rPr>
        <w:t>投标人认为需要加以说明的其他内容</w:t>
      </w:r>
      <w:bookmarkEnd w:id="80"/>
    </w:p>
    <w:p w14:paraId="1BC70583">
      <w:pPr>
        <w:rPr>
          <w:b/>
          <w:sz w:val="22"/>
        </w:rPr>
      </w:pPr>
    </w:p>
    <w:p w14:paraId="3D2B3653">
      <w:pPr>
        <w:outlineLvl w:val="3"/>
        <w:rPr>
          <w:rFonts w:ascii="黑体" w:hAnsi="宋体" w:eastAsia="黑体"/>
          <w:bCs/>
          <w:kern w:val="0"/>
          <w:sz w:val="24"/>
          <w:szCs w:val="32"/>
        </w:rPr>
      </w:pPr>
      <w:r>
        <w:rPr>
          <w:rFonts w:hint="eastAsia" w:ascii="黑体" w:hAnsi="宋体" w:eastAsia="黑体"/>
          <w:bCs/>
          <w:kern w:val="0"/>
          <w:sz w:val="24"/>
          <w:szCs w:val="32"/>
        </w:rPr>
        <w:t>（一）技术保障措施（可选）</w:t>
      </w:r>
    </w:p>
    <w:p w14:paraId="3DCFEFC9">
      <w:pPr>
        <w:rPr>
          <w:b/>
          <w:bCs/>
          <w:color w:val="FF0000"/>
        </w:rPr>
      </w:pPr>
      <w:r>
        <w:rPr>
          <w:rFonts w:hint="eastAsia"/>
          <w:b/>
          <w:bCs/>
          <w:color w:val="FF0000"/>
        </w:rPr>
        <w:t>（特别提示：投标人须按本招标文件评标信息中“技术保障措施”这一评审因素要求，提供证明资料）</w:t>
      </w:r>
    </w:p>
    <w:p w14:paraId="6D2EBF7E">
      <w:pPr>
        <w:outlineLvl w:val="3"/>
        <w:rPr>
          <w:rFonts w:ascii="黑体" w:hAnsi="宋体" w:eastAsia="黑体"/>
          <w:bCs/>
          <w:kern w:val="0"/>
          <w:sz w:val="24"/>
          <w:szCs w:val="32"/>
        </w:rPr>
      </w:pPr>
    </w:p>
    <w:p w14:paraId="35753DEF">
      <w:pPr>
        <w:outlineLvl w:val="3"/>
        <w:rPr>
          <w:b/>
          <w:sz w:val="22"/>
        </w:rPr>
      </w:pPr>
      <w:r>
        <w:rPr>
          <w:rFonts w:hint="eastAsia"/>
          <w:b/>
          <w:sz w:val="22"/>
        </w:rPr>
        <w:t>（二）投标人认为需提供的其他证明文件</w:t>
      </w:r>
    </w:p>
    <w:p w14:paraId="6DD5C8B9"/>
    <w:p w14:paraId="3D824550"/>
    <w:p w14:paraId="49A9DB50">
      <w:pPr>
        <w:pStyle w:val="5"/>
      </w:pPr>
      <w:r>
        <w:rPr>
          <w:rFonts w:hint="eastAsia"/>
        </w:rPr>
        <w:t>第五章  合同条款及格式</w:t>
      </w:r>
    </w:p>
    <w:p w14:paraId="144F7052">
      <w:pPr>
        <w:ind w:firstLine="411" w:firstLineChars="196"/>
      </w:pPr>
    </w:p>
    <w:p w14:paraId="4694AE9D">
      <w:pPr>
        <w:jc w:val="center"/>
      </w:pPr>
      <w:bookmarkStart w:id="81" w:name="_Hlk72574405"/>
      <w:bookmarkStart w:id="82" w:name="_Hlk72260917"/>
      <w:r>
        <w:rPr>
          <w:rFonts w:hint="eastAsia"/>
          <w:b/>
          <w:sz w:val="24"/>
        </w:rPr>
        <w:t>（仅供参考，具体以项目需求及采购结果为准）</w:t>
      </w:r>
      <w:bookmarkEnd w:id="81"/>
    </w:p>
    <w:p w14:paraId="50FB990C">
      <w:pPr>
        <w:rPr>
          <w:rFonts w:ascii="宋体" w:hAnsi="宋体"/>
          <w:b/>
          <w:bCs/>
          <w:szCs w:val="21"/>
        </w:rPr>
      </w:pPr>
      <w:r>
        <w:rPr>
          <w:rFonts w:hint="eastAsia" w:ascii="宋体" w:hAnsi="宋体"/>
          <w:b/>
          <w:bCs/>
          <w:szCs w:val="21"/>
        </w:rPr>
        <w:t>甲方：</w:t>
      </w:r>
    </w:p>
    <w:p w14:paraId="5F2B3D4B">
      <w:pPr>
        <w:rPr>
          <w:rFonts w:ascii="宋体" w:hAnsi="宋体"/>
          <w:szCs w:val="21"/>
        </w:rPr>
      </w:pPr>
      <w:bookmarkStart w:id="83" w:name="_Hlk75014453"/>
      <w:r>
        <w:rPr>
          <w:rFonts w:hint="eastAsia" w:ascii="宋体" w:hAnsi="宋体"/>
          <w:szCs w:val="21"/>
        </w:rPr>
        <w:t>地址：</w:t>
      </w:r>
    </w:p>
    <w:p w14:paraId="18DB6195">
      <w:pPr>
        <w:rPr>
          <w:rFonts w:ascii="宋体" w:hAnsi="宋体"/>
          <w:szCs w:val="21"/>
        </w:rPr>
      </w:pPr>
      <w:r>
        <w:rPr>
          <w:rFonts w:hint="eastAsia" w:ascii="宋体" w:hAnsi="宋体"/>
          <w:szCs w:val="21"/>
        </w:rPr>
        <w:t>联系人：</w:t>
      </w:r>
    </w:p>
    <w:p w14:paraId="333B43DB">
      <w:pPr>
        <w:rPr>
          <w:rFonts w:ascii="宋体" w:hAnsi="宋体"/>
          <w:b/>
          <w:bCs/>
          <w:szCs w:val="21"/>
        </w:rPr>
      </w:pPr>
      <w:r>
        <w:rPr>
          <w:rFonts w:hint="eastAsia" w:ascii="宋体" w:hAnsi="宋体"/>
          <w:szCs w:val="21"/>
        </w:rPr>
        <w:t>联系电话：</w:t>
      </w:r>
      <w:bookmarkEnd w:id="83"/>
    </w:p>
    <w:p w14:paraId="03A70147">
      <w:pPr>
        <w:rPr>
          <w:rFonts w:ascii="宋体" w:hAnsi="宋体"/>
          <w:b/>
          <w:bCs/>
          <w:szCs w:val="21"/>
        </w:rPr>
      </w:pPr>
    </w:p>
    <w:p w14:paraId="38E8B6AB">
      <w:pPr>
        <w:rPr>
          <w:rFonts w:ascii="宋体" w:hAnsi="宋体"/>
          <w:b/>
          <w:bCs/>
          <w:szCs w:val="21"/>
        </w:rPr>
      </w:pPr>
      <w:r>
        <w:rPr>
          <w:rFonts w:hint="eastAsia" w:ascii="宋体" w:hAnsi="宋体"/>
          <w:b/>
          <w:bCs/>
          <w:szCs w:val="21"/>
        </w:rPr>
        <w:t>乙方：</w:t>
      </w:r>
      <w:bookmarkEnd w:id="82"/>
    </w:p>
    <w:p w14:paraId="52B48899">
      <w:pPr>
        <w:rPr>
          <w:rFonts w:ascii="宋体" w:hAnsi="宋体"/>
          <w:szCs w:val="21"/>
        </w:rPr>
      </w:pPr>
      <w:r>
        <w:rPr>
          <w:rFonts w:hint="eastAsia" w:ascii="宋体" w:hAnsi="宋体"/>
          <w:szCs w:val="21"/>
        </w:rPr>
        <w:t>地址：</w:t>
      </w:r>
    </w:p>
    <w:p w14:paraId="72E9448C">
      <w:pPr>
        <w:rPr>
          <w:rFonts w:ascii="宋体" w:hAnsi="宋体"/>
          <w:szCs w:val="21"/>
        </w:rPr>
      </w:pPr>
      <w:r>
        <w:rPr>
          <w:rFonts w:hint="eastAsia" w:ascii="宋体" w:hAnsi="宋体"/>
          <w:szCs w:val="21"/>
        </w:rPr>
        <w:t>联系人：</w:t>
      </w:r>
    </w:p>
    <w:p w14:paraId="79F7AF6F">
      <w:pPr>
        <w:rPr>
          <w:rFonts w:ascii="宋体" w:hAnsi="宋体"/>
          <w:szCs w:val="21"/>
        </w:rPr>
      </w:pPr>
      <w:r>
        <w:rPr>
          <w:rFonts w:hint="eastAsia" w:ascii="宋体" w:hAnsi="宋体"/>
          <w:szCs w:val="21"/>
        </w:rPr>
        <w:t>联系电话：</w:t>
      </w:r>
    </w:p>
    <w:p w14:paraId="2E1229D7">
      <w:pPr>
        <w:rPr>
          <w:rFonts w:ascii="宋体" w:hAnsi="宋体"/>
          <w:szCs w:val="21"/>
        </w:rPr>
      </w:pPr>
    </w:p>
    <w:p w14:paraId="09DBE1F8">
      <w:pPr>
        <w:spacing w:line="360" w:lineRule="auto"/>
        <w:ind w:firstLine="560"/>
        <w:jc w:val="left"/>
        <w:rPr>
          <w:szCs w:val="21"/>
        </w:rPr>
      </w:pPr>
      <w:bookmarkStart w:id="84" w:name="_Hlk72574434"/>
      <w:r>
        <w:rPr>
          <w:rFonts w:hint="eastAsia"/>
          <w:szCs w:val="21"/>
        </w:rPr>
        <w:t>根据深圳公共资源交易中心（深圳交易集团有限公司政府采购业务分公司）号项目结果，</w:t>
      </w:r>
      <w:r>
        <w:rPr>
          <w:rFonts w:hint="eastAsia" w:ascii="宋体" w:hAnsi="宋体"/>
          <w:szCs w:val="21"/>
        </w:rPr>
        <w:t>*</w:t>
      </w:r>
      <w:r>
        <w:rPr>
          <w:rFonts w:ascii="宋体" w:hAnsi="宋体"/>
          <w:szCs w:val="21"/>
        </w:rPr>
        <w:t>**</w:t>
      </w:r>
      <w:r>
        <w:rPr>
          <w:rFonts w:hint="eastAsia" w:ascii="宋体" w:hAnsi="宋体"/>
          <w:szCs w:val="21"/>
        </w:rPr>
        <w:t>单位为中标人</w:t>
      </w:r>
      <w:r>
        <w:rPr>
          <w:rFonts w:hint="eastAsia"/>
          <w:szCs w:val="21"/>
        </w:rPr>
        <w:t>。</w:t>
      </w:r>
      <w:bookmarkEnd w:id="84"/>
      <w:r>
        <w:rPr>
          <w:rFonts w:hint="eastAsia"/>
          <w:szCs w:val="21"/>
        </w:rPr>
        <w:t>按照《中华人民共和国民法典》（第三编 合同）和《深圳经济特区政府采购条例》，经深圳市（以下简称甲方）和单位（以下简称乙方）协商，达成以下合同条款：</w:t>
      </w:r>
    </w:p>
    <w:p w14:paraId="537897CC">
      <w:pPr>
        <w:spacing w:line="360" w:lineRule="auto"/>
        <w:ind w:firstLine="560"/>
        <w:jc w:val="left"/>
        <w:outlineLvl w:val="0"/>
        <w:rPr>
          <w:b/>
          <w:szCs w:val="21"/>
        </w:rPr>
      </w:pPr>
      <w:r>
        <w:rPr>
          <w:rFonts w:hint="eastAsia"/>
          <w:b/>
          <w:szCs w:val="21"/>
        </w:rPr>
        <w:t>第一条  合同标的</w:t>
      </w:r>
    </w:p>
    <w:p w14:paraId="5464497F">
      <w:pPr>
        <w:spacing w:line="360" w:lineRule="auto"/>
        <w:ind w:firstLine="560"/>
        <w:jc w:val="left"/>
        <w:rPr>
          <w:szCs w:val="21"/>
        </w:rPr>
      </w:pPr>
      <w:r>
        <w:rPr>
          <w:rFonts w:hint="eastAsia"/>
          <w:szCs w:val="21"/>
        </w:rPr>
        <w:t>乙方根据甲方需求提供下列货物：</w:t>
      </w:r>
    </w:p>
    <w:p w14:paraId="2664658E">
      <w:pPr>
        <w:spacing w:line="360" w:lineRule="auto"/>
        <w:ind w:firstLine="560"/>
        <w:jc w:val="left"/>
        <w:rPr>
          <w:szCs w:val="21"/>
        </w:rPr>
      </w:pPr>
      <w:r>
        <w:rPr>
          <w:rFonts w:hint="eastAsia"/>
          <w:szCs w:val="21"/>
        </w:rPr>
        <w:t>货物名称、规格及数量详见。</w:t>
      </w:r>
    </w:p>
    <w:p w14:paraId="7498B8F2">
      <w:pPr>
        <w:spacing w:line="360" w:lineRule="auto"/>
        <w:ind w:firstLine="560"/>
        <w:jc w:val="left"/>
        <w:outlineLvl w:val="0"/>
        <w:rPr>
          <w:b/>
          <w:szCs w:val="21"/>
        </w:rPr>
      </w:pPr>
      <w:r>
        <w:rPr>
          <w:rFonts w:hint="eastAsia"/>
          <w:b/>
          <w:szCs w:val="21"/>
        </w:rPr>
        <w:t>第二条  合同价款</w:t>
      </w:r>
    </w:p>
    <w:p w14:paraId="21FC1D3E">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14:paraId="5FFA9AC7">
      <w:pPr>
        <w:numPr>
          <w:ilvl w:val="0"/>
          <w:numId w:val="10"/>
        </w:numPr>
        <w:spacing w:line="360" w:lineRule="auto"/>
        <w:ind w:firstLine="560"/>
        <w:jc w:val="left"/>
        <w:outlineLvl w:val="0"/>
        <w:rPr>
          <w:b/>
          <w:szCs w:val="21"/>
        </w:rPr>
      </w:pPr>
      <w:r>
        <w:rPr>
          <w:rFonts w:hint="eastAsia"/>
          <w:b/>
          <w:szCs w:val="21"/>
        </w:rPr>
        <w:t>履行期限</w:t>
      </w:r>
    </w:p>
    <w:p w14:paraId="2C10BA88">
      <w:pPr>
        <w:spacing w:line="360" w:lineRule="auto"/>
        <w:ind w:firstLine="560"/>
        <w:jc w:val="left"/>
        <w:rPr>
          <w:b/>
          <w:szCs w:val="21"/>
        </w:rPr>
      </w:pPr>
      <w:r>
        <w:rPr>
          <w:rFonts w:hint="eastAsia"/>
          <w:bCs/>
          <w:szCs w:val="21"/>
        </w:rPr>
        <w:t>乙方应于本合同签订之日其日内将符合要求的产品向甲方交付（含安装调试），但乙方交付前应向书面通知甲方并征得甲方同意。</w:t>
      </w:r>
    </w:p>
    <w:p w14:paraId="18D0BF03">
      <w:pPr>
        <w:numPr>
          <w:ilvl w:val="0"/>
          <w:numId w:val="10"/>
        </w:numPr>
        <w:spacing w:line="360" w:lineRule="auto"/>
        <w:ind w:firstLine="560"/>
        <w:jc w:val="left"/>
        <w:outlineLvl w:val="0"/>
        <w:rPr>
          <w:b/>
          <w:szCs w:val="21"/>
        </w:rPr>
      </w:pPr>
      <w:r>
        <w:rPr>
          <w:rFonts w:hint="eastAsia"/>
          <w:b/>
          <w:szCs w:val="21"/>
        </w:rPr>
        <w:t>权利保证</w:t>
      </w:r>
    </w:p>
    <w:p w14:paraId="1B3C9422">
      <w:pPr>
        <w:spacing w:line="360" w:lineRule="auto"/>
        <w:ind w:firstLine="560"/>
        <w:jc w:val="left"/>
        <w:rPr>
          <w:rFonts w:ascii="宋体" w:hAnsi="宋体"/>
          <w:szCs w:val="21"/>
        </w:rPr>
      </w:pPr>
      <w:r>
        <w:rPr>
          <w:rFonts w:hint="eastAsia" w:ascii="宋体" w:hAnsi="宋体"/>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E0B9F1C">
      <w:pPr>
        <w:spacing w:line="360" w:lineRule="auto"/>
        <w:ind w:firstLine="560"/>
        <w:jc w:val="left"/>
        <w:outlineLvl w:val="0"/>
        <w:rPr>
          <w:b/>
          <w:szCs w:val="21"/>
        </w:rPr>
      </w:pPr>
      <w:r>
        <w:rPr>
          <w:rFonts w:hint="eastAsia"/>
          <w:b/>
          <w:szCs w:val="21"/>
        </w:rPr>
        <w:t>第五条  质量保证</w:t>
      </w:r>
    </w:p>
    <w:p w14:paraId="1EE3EF4F">
      <w:pPr>
        <w:spacing w:line="360" w:lineRule="auto"/>
        <w:ind w:firstLine="560"/>
        <w:jc w:val="left"/>
        <w:rPr>
          <w:rFonts w:ascii="宋体" w:hAnsi="宋体"/>
          <w:szCs w:val="21"/>
        </w:rPr>
      </w:pPr>
      <w:r>
        <w:rPr>
          <w:rFonts w:hint="eastAsia" w:ascii="宋体" w:hAnsi="宋体"/>
          <w:szCs w:val="21"/>
        </w:rPr>
        <w:t>1、乙方所提供的货物的技术规格符合招标文件规定的技术规格，货物符合中华人民共和国的设计和制造生产标准或行业标准。</w:t>
      </w:r>
    </w:p>
    <w:p w14:paraId="2960602C">
      <w:pPr>
        <w:spacing w:line="360" w:lineRule="auto"/>
        <w:ind w:firstLine="560"/>
        <w:jc w:val="left"/>
        <w:rPr>
          <w:rFonts w:ascii="宋体" w:hAnsi="宋体"/>
          <w:szCs w:val="21"/>
        </w:rPr>
      </w:pPr>
      <w:r>
        <w:rPr>
          <w:rFonts w:hint="eastAsia" w:ascii="宋体" w:hAnsi="宋体"/>
          <w:szCs w:val="21"/>
        </w:rPr>
        <w:t>2、乙方应保证货物是全新、未使用过的原装合格正品（包括零部件），并完全符合甲方要求的质量、规格和性能的要求。如货物安装或配置了软件的，乙方保证相关软件均为正版软件。</w:t>
      </w:r>
    </w:p>
    <w:p w14:paraId="715653D8">
      <w:pPr>
        <w:spacing w:line="360" w:lineRule="auto"/>
        <w:ind w:firstLine="560"/>
        <w:jc w:val="left"/>
        <w:rPr>
          <w:rFonts w:ascii="宋体" w:hAnsi="宋体"/>
          <w:szCs w:val="21"/>
        </w:rPr>
      </w:pPr>
      <w:r>
        <w:rPr>
          <w:rFonts w:hint="eastAsia" w:ascii="宋体" w:hAnsi="宋体"/>
          <w:szCs w:val="21"/>
        </w:rPr>
        <w:t>3、乙方保证交货时一并提供货物的质量合格凭证或文件。</w:t>
      </w:r>
    </w:p>
    <w:p w14:paraId="17DB79D6">
      <w:pPr>
        <w:spacing w:line="360" w:lineRule="auto"/>
        <w:ind w:firstLine="560"/>
        <w:jc w:val="left"/>
        <w:rPr>
          <w:b/>
          <w:szCs w:val="21"/>
        </w:rPr>
      </w:pPr>
      <w:r>
        <w:rPr>
          <w:rFonts w:hint="eastAsia"/>
          <w:b/>
          <w:szCs w:val="21"/>
        </w:rPr>
        <w:t>第六条  交货和验收</w:t>
      </w:r>
    </w:p>
    <w:p w14:paraId="59DDBDAA">
      <w:pPr>
        <w:spacing w:line="360" w:lineRule="auto"/>
        <w:ind w:firstLine="560"/>
        <w:jc w:val="left"/>
        <w:rPr>
          <w:rFonts w:ascii="宋体" w:hAnsi="宋体"/>
          <w:szCs w:val="21"/>
        </w:rPr>
      </w:pPr>
      <w:r>
        <w:rPr>
          <w:rFonts w:hint="eastAsia" w:ascii="宋体" w:hAnsi="宋体"/>
          <w:szCs w:val="21"/>
        </w:rPr>
        <w:t>1、乙方应按照本合同或招投标文件规定的时间和方式向甲方交付货物，交货地点由甲方指定。因交货产生的费用由乙方自行承担。</w:t>
      </w:r>
    </w:p>
    <w:p w14:paraId="2AC20211">
      <w:pPr>
        <w:spacing w:line="360" w:lineRule="auto"/>
        <w:ind w:firstLine="560"/>
        <w:jc w:val="left"/>
        <w:rPr>
          <w:rFonts w:ascii="宋体" w:hAnsi="宋体"/>
          <w:szCs w:val="21"/>
        </w:rPr>
      </w:pPr>
      <w:r>
        <w:rPr>
          <w:rFonts w:hint="eastAsia" w:ascii="宋体" w:hAnsi="宋体"/>
          <w:szCs w:val="21"/>
        </w:rPr>
        <w:t>2、乙方交付的货物应当完全符合招投标文件所规定的货物、数量、质量和规格要求。乙方提供的货物不符合招投标文件和合同规定的，甲方有权拒收货物，由此引起的风险，由乙方承担。</w:t>
      </w:r>
    </w:p>
    <w:p w14:paraId="6FD621CF">
      <w:pPr>
        <w:spacing w:line="360" w:lineRule="auto"/>
        <w:ind w:firstLine="560"/>
        <w:jc w:val="left"/>
        <w:rPr>
          <w:rFonts w:ascii="宋体" w:hAnsi="宋体"/>
          <w:szCs w:val="21"/>
        </w:rPr>
      </w:pPr>
      <w:r>
        <w:rPr>
          <w:rFonts w:hint="eastAsia" w:ascii="宋体" w:hAnsi="宋体"/>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4DC0806">
      <w:pPr>
        <w:spacing w:line="360" w:lineRule="auto"/>
        <w:ind w:firstLine="560"/>
        <w:jc w:val="left"/>
        <w:rPr>
          <w:rFonts w:ascii="宋体" w:hAnsi="宋体"/>
          <w:szCs w:val="21"/>
        </w:rPr>
      </w:pPr>
      <w:r>
        <w:rPr>
          <w:rFonts w:hint="eastAsia" w:ascii="宋体" w:hAnsi="宋体"/>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14:paraId="082C918B">
      <w:pPr>
        <w:spacing w:line="360" w:lineRule="auto"/>
        <w:ind w:firstLine="560"/>
        <w:jc w:val="left"/>
        <w:rPr>
          <w:rFonts w:ascii="宋体" w:hAnsi="宋体"/>
          <w:szCs w:val="21"/>
        </w:rPr>
      </w:pPr>
      <w:r>
        <w:rPr>
          <w:rFonts w:hint="eastAsia" w:ascii="宋体" w:hAnsi="宋体"/>
          <w:szCs w:val="21"/>
        </w:rPr>
        <w:t>5、货物的所有权和灭失的风险自乙方将货物交付给甲方时转移。</w:t>
      </w:r>
    </w:p>
    <w:p w14:paraId="30D8404A">
      <w:pPr>
        <w:spacing w:line="360" w:lineRule="auto"/>
        <w:ind w:firstLine="560"/>
        <w:jc w:val="left"/>
        <w:outlineLvl w:val="0"/>
        <w:rPr>
          <w:b/>
          <w:szCs w:val="21"/>
        </w:rPr>
      </w:pPr>
      <w:r>
        <w:rPr>
          <w:rFonts w:hint="eastAsia"/>
          <w:b/>
          <w:szCs w:val="21"/>
        </w:rPr>
        <w:t>第七条  保修及其他服务</w:t>
      </w:r>
    </w:p>
    <w:p w14:paraId="73271299">
      <w:pPr>
        <w:spacing w:line="360" w:lineRule="auto"/>
        <w:ind w:firstLine="560"/>
        <w:jc w:val="left"/>
        <w:rPr>
          <w:rFonts w:ascii="宋体" w:hAnsi="宋体"/>
          <w:szCs w:val="21"/>
        </w:rPr>
      </w:pPr>
      <w:r>
        <w:rPr>
          <w:rFonts w:hint="eastAsia" w:ascii="宋体" w:hAnsi="宋体"/>
          <w:szCs w:val="21"/>
        </w:rPr>
        <w:t>1、乙方应按照国家有关法律法规规章和“三包”规定和招标文件的要求及乙方在投标文件的相关承诺提供保修及其他服务。</w:t>
      </w:r>
    </w:p>
    <w:p w14:paraId="3D016EDE">
      <w:pPr>
        <w:spacing w:line="360" w:lineRule="auto"/>
        <w:ind w:firstLine="560"/>
        <w:jc w:val="left"/>
        <w:rPr>
          <w:rFonts w:ascii="宋体" w:hAnsi="宋体"/>
          <w:szCs w:val="21"/>
        </w:rPr>
      </w:pPr>
      <w:r>
        <w:rPr>
          <w:rFonts w:hint="eastAsia" w:ascii="宋体" w:hAnsi="宋体"/>
          <w:szCs w:val="21"/>
        </w:rPr>
        <w:t>2、</w:t>
      </w:r>
      <w:r>
        <w:rPr>
          <w:rFonts w:ascii="宋体" w:hAnsi="宋体"/>
          <w:szCs w:val="21"/>
        </w:rPr>
        <w:t>保修期内，乙方负责对其提供的货物进行维修和系统维护，不再收取任何费用。</w:t>
      </w:r>
      <w:r>
        <w:rPr>
          <w:rFonts w:hint="eastAsia" w:ascii="宋体" w:hAnsi="宋体"/>
          <w:szCs w:val="21"/>
        </w:rPr>
        <w:t>所有货物保修服务方式均为乙方上门保修，即由乙方派员到货物使用现场维修，由此产生的一切费用均由乙方承担。保修期后的货物维护另行协商。</w:t>
      </w:r>
    </w:p>
    <w:p w14:paraId="7B071B14">
      <w:pPr>
        <w:spacing w:line="360" w:lineRule="auto"/>
        <w:ind w:firstLine="560"/>
        <w:jc w:val="left"/>
        <w:rPr>
          <w:rFonts w:ascii="宋体" w:hAnsi="宋体"/>
          <w:szCs w:val="21"/>
        </w:rPr>
      </w:pPr>
      <w:r>
        <w:rPr>
          <w:rFonts w:hint="eastAsia" w:ascii="宋体" w:hAnsi="宋体"/>
          <w:szCs w:val="21"/>
        </w:rPr>
        <w:t>3、在甲方提出维修要求后，乙方应于  小时内响应，  小时维修到位，并在  小时内消除故障。消耗品和零配件供应及时，特殊情况下可提供备用机。</w:t>
      </w:r>
    </w:p>
    <w:p w14:paraId="5AA6C5B3">
      <w:pPr>
        <w:spacing w:line="360" w:lineRule="auto"/>
        <w:ind w:firstLine="560"/>
        <w:jc w:val="left"/>
        <w:outlineLvl w:val="0"/>
        <w:rPr>
          <w:b/>
          <w:szCs w:val="21"/>
        </w:rPr>
      </w:pPr>
      <w:r>
        <w:rPr>
          <w:rFonts w:hint="eastAsia"/>
          <w:b/>
          <w:szCs w:val="21"/>
        </w:rPr>
        <w:t>第八条 保密条款</w:t>
      </w:r>
    </w:p>
    <w:p w14:paraId="4AFB528C">
      <w:pPr>
        <w:spacing w:line="360" w:lineRule="auto"/>
        <w:ind w:firstLine="420" w:firstLineChars="200"/>
        <w:jc w:val="left"/>
        <w:rPr>
          <w:bCs/>
          <w:szCs w:val="21"/>
        </w:rPr>
      </w:pPr>
      <w:r>
        <w:rPr>
          <w:bCs/>
          <w:szCs w:val="21"/>
        </w:rPr>
        <w:t>1</w:t>
      </w:r>
      <w:r>
        <w:rPr>
          <w:rFonts w:hint="eastAsia"/>
          <w:bCs/>
          <w:szCs w:val="21"/>
        </w:rPr>
        <w:t>、乙方对在本合同履行中获取或者知悉甲方提供的资料、信息负有保密义务。</w:t>
      </w:r>
    </w:p>
    <w:p w14:paraId="269A9BA1">
      <w:pPr>
        <w:spacing w:line="360" w:lineRule="auto"/>
        <w:ind w:firstLine="560"/>
        <w:jc w:val="left"/>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14:paraId="14513001">
      <w:pPr>
        <w:spacing w:line="360" w:lineRule="auto"/>
        <w:ind w:firstLine="560"/>
        <w:jc w:val="left"/>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14:paraId="09AB58E7">
      <w:pPr>
        <w:spacing w:line="360" w:lineRule="auto"/>
        <w:ind w:firstLine="560"/>
        <w:jc w:val="left"/>
        <w:outlineLvl w:val="0"/>
        <w:rPr>
          <w:b/>
          <w:szCs w:val="21"/>
        </w:rPr>
      </w:pPr>
      <w:r>
        <w:rPr>
          <w:rFonts w:hint="eastAsia"/>
          <w:b/>
          <w:szCs w:val="21"/>
        </w:rPr>
        <w:t>第九条  履约保证金</w:t>
      </w:r>
    </w:p>
    <w:p w14:paraId="0D7E54C9">
      <w:pPr>
        <w:spacing w:line="360" w:lineRule="auto"/>
        <w:ind w:firstLine="560"/>
        <w:jc w:val="left"/>
        <w:rPr>
          <w:rFonts w:ascii="宋体" w:hAnsi="宋体"/>
          <w:szCs w:val="21"/>
        </w:rPr>
      </w:pPr>
      <w:r>
        <w:rPr>
          <w:rFonts w:hint="eastAsia" w:ascii="宋体" w:hAnsi="宋体"/>
          <w:szCs w:val="21"/>
        </w:rPr>
        <w:t>1、乙方应在签订本合同之日，向甲方或甲方指定的机构提交履约保证金_________元。</w:t>
      </w:r>
    </w:p>
    <w:p w14:paraId="428765B5">
      <w:pPr>
        <w:spacing w:line="360" w:lineRule="auto"/>
        <w:ind w:firstLine="560"/>
        <w:jc w:val="left"/>
        <w:rPr>
          <w:rFonts w:ascii="宋体" w:hAnsi="宋体"/>
          <w:szCs w:val="21"/>
        </w:rPr>
      </w:pPr>
      <w:r>
        <w:rPr>
          <w:rFonts w:hint="eastAsia" w:ascii="宋体" w:hAnsi="宋体"/>
          <w:szCs w:val="21"/>
        </w:rPr>
        <w:t>2、如乙方未能履行合同规定的义务，甲方有权从履约保证金中取得补偿。</w:t>
      </w:r>
    </w:p>
    <w:p w14:paraId="5F559D8E">
      <w:pPr>
        <w:spacing w:line="360" w:lineRule="auto"/>
        <w:ind w:firstLine="560"/>
        <w:jc w:val="left"/>
        <w:rPr>
          <w:rFonts w:ascii="宋体" w:hAnsi="宋体"/>
          <w:szCs w:val="21"/>
        </w:rPr>
      </w:pPr>
      <w:r>
        <w:rPr>
          <w:rFonts w:hint="eastAsia" w:ascii="宋体" w:hAnsi="宋体"/>
          <w:szCs w:val="21"/>
        </w:rPr>
        <w:t>3、甲方在乙方履行完毕本合同项下全部义务后______天内无息退还乙方。</w:t>
      </w:r>
    </w:p>
    <w:p w14:paraId="728A3164">
      <w:pPr>
        <w:numPr>
          <w:ilvl w:val="255"/>
          <w:numId w:val="0"/>
        </w:numPr>
        <w:spacing w:line="360" w:lineRule="auto"/>
        <w:ind w:firstLine="422" w:firstLineChars="200"/>
        <w:jc w:val="left"/>
        <w:outlineLvl w:val="0"/>
        <w:rPr>
          <w:b/>
          <w:szCs w:val="21"/>
        </w:rPr>
      </w:pPr>
      <w:r>
        <w:rPr>
          <w:rFonts w:hint="eastAsia"/>
          <w:b/>
          <w:szCs w:val="21"/>
        </w:rPr>
        <w:t>第十条  货款支付</w:t>
      </w:r>
    </w:p>
    <w:p w14:paraId="3A95BD3E">
      <w:pPr>
        <w:spacing w:line="360" w:lineRule="auto"/>
        <w:jc w:val="left"/>
        <w:rPr>
          <w:b/>
          <w:szCs w:val="21"/>
          <w:u w:val="single"/>
        </w:rPr>
      </w:pPr>
      <w:r>
        <w:rPr>
          <w:rFonts w:hint="eastAsia"/>
          <w:b/>
          <w:szCs w:val="21"/>
          <w:u w:val="single"/>
        </w:rPr>
        <w:t>（详见商务要求）</w:t>
      </w:r>
    </w:p>
    <w:p w14:paraId="1D89CD5D">
      <w:pPr>
        <w:spacing w:line="360" w:lineRule="auto"/>
        <w:ind w:firstLine="560"/>
        <w:jc w:val="left"/>
        <w:rPr>
          <w:szCs w:val="21"/>
        </w:rPr>
      </w:pPr>
    </w:p>
    <w:p w14:paraId="4A983A75">
      <w:pPr>
        <w:spacing w:line="360" w:lineRule="auto"/>
        <w:ind w:firstLine="422" w:firstLineChars="200"/>
        <w:jc w:val="left"/>
        <w:outlineLvl w:val="0"/>
        <w:rPr>
          <w:b/>
          <w:szCs w:val="21"/>
        </w:rPr>
      </w:pPr>
      <w:r>
        <w:rPr>
          <w:rFonts w:hint="eastAsia"/>
          <w:b/>
          <w:szCs w:val="21"/>
        </w:rPr>
        <w:t>第十一条 违约责任</w:t>
      </w:r>
      <w:r>
        <w:rPr>
          <w:rFonts w:hint="eastAsia"/>
          <w:b/>
          <w:szCs w:val="21"/>
          <w:u w:val="single"/>
        </w:rPr>
        <w:t>（详见商务要求）</w:t>
      </w:r>
    </w:p>
    <w:p w14:paraId="4D0773E5">
      <w:pPr>
        <w:spacing w:line="360" w:lineRule="auto"/>
        <w:ind w:firstLine="560"/>
        <w:jc w:val="left"/>
        <w:rPr>
          <w:rFonts w:ascii="宋体" w:hAnsi="宋体"/>
          <w:szCs w:val="21"/>
        </w:rPr>
      </w:pPr>
      <w:r>
        <w:rPr>
          <w:rFonts w:hint="eastAsia" w:ascii="宋体" w:hAnsi="宋体"/>
          <w:szCs w:val="21"/>
        </w:rPr>
        <w:t>１、甲方无正当理由拒收货物、拒付货物款的，由甲方向乙方偿付合同总价的【】%违约金。</w:t>
      </w:r>
    </w:p>
    <w:p w14:paraId="31F5E66B">
      <w:pPr>
        <w:spacing w:line="360" w:lineRule="auto"/>
        <w:ind w:firstLine="560"/>
        <w:jc w:val="left"/>
        <w:rPr>
          <w:rFonts w:ascii="宋体" w:hAnsi="宋体"/>
          <w:szCs w:val="21"/>
        </w:rPr>
      </w:pPr>
      <w:r>
        <w:rPr>
          <w:rFonts w:hint="eastAsia" w:ascii="宋体" w:hAnsi="宋体"/>
          <w:szCs w:val="21"/>
        </w:rPr>
        <w:t>２、甲方未按合同规定的期限向乙方支付货款的，每逾期1天甲方向乙方偿付欠款总额的【】‰滞纳金，但累计滞纳金总额不超过欠款总额的【】% 。</w:t>
      </w:r>
    </w:p>
    <w:p w14:paraId="419562A0">
      <w:pPr>
        <w:spacing w:line="360" w:lineRule="auto"/>
        <w:ind w:firstLine="560"/>
        <w:jc w:val="left"/>
        <w:rPr>
          <w:rFonts w:ascii="宋体" w:hAnsi="宋体"/>
          <w:szCs w:val="21"/>
        </w:rPr>
      </w:pPr>
      <w:r>
        <w:rPr>
          <w:rFonts w:hint="eastAsia" w:ascii="宋体" w:hAnsi="宋体"/>
          <w:szCs w:val="21"/>
        </w:rPr>
        <w:t>３、</w:t>
      </w:r>
      <w:r>
        <w:rPr>
          <w:rFonts w:ascii="宋体" w:hAnsi="宋体"/>
          <w:szCs w:val="21"/>
        </w:rPr>
        <w:t>乙方逾期交付货物的，每逾期1天，乙方向甲方偿付逾期交货部分货款总额的</w:t>
      </w:r>
      <w:r>
        <w:rPr>
          <w:rFonts w:hint="eastAsia" w:ascii="宋体" w:hAnsi="宋体"/>
          <w:szCs w:val="21"/>
        </w:rPr>
        <w:t>【】</w:t>
      </w:r>
      <w:r>
        <w:rPr>
          <w:rFonts w:ascii="宋体" w:hAnsi="宋体"/>
          <w:szCs w:val="21"/>
        </w:rPr>
        <w:t>‰的滞纳金</w:t>
      </w:r>
      <w:r>
        <w:rPr>
          <w:rFonts w:hint="eastAsia" w:ascii="宋体" w:hAnsi="宋体"/>
          <w:szCs w:val="21"/>
        </w:rPr>
        <w:t>。如乙方逾期交货达天，甲方有权解除合同，履约保证金不予退回，同时乙方应向甲方支付合同总价【】％的违约金。</w:t>
      </w:r>
    </w:p>
    <w:p w14:paraId="1AF5601B">
      <w:pPr>
        <w:spacing w:line="360" w:lineRule="auto"/>
        <w:ind w:firstLine="560"/>
        <w:jc w:val="left"/>
        <w:rPr>
          <w:rFonts w:ascii="宋体" w:hAnsi="宋体"/>
          <w:szCs w:val="21"/>
        </w:rPr>
      </w:pPr>
      <w:r>
        <w:rPr>
          <w:rFonts w:hint="eastAsia" w:ascii="宋体" w:hAnsi="宋体"/>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hint="eastAsia" w:ascii="宋体" w:hAnsi="宋体"/>
          <w:szCs w:val="21"/>
        </w:rPr>
        <w:t>或更换</w:t>
      </w:r>
      <w:r>
        <w:rPr>
          <w:rFonts w:ascii="宋体" w:hAnsi="宋体"/>
          <w:szCs w:val="21"/>
        </w:rPr>
        <w:t>，货物仍不能达到合同约定</w:t>
      </w:r>
      <w:r>
        <w:rPr>
          <w:rFonts w:hint="eastAsia" w:ascii="宋体" w:hAnsi="宋体"/>
          <w:szCs w:val="21"/>
        </w:rPr>
        <w:t>的</w:t>
      </w:r>
      <w:r>
        <w:rPr>
          <w:rFonts w:ascii="宋体" w:hAnsi="宋体"/>
          <w:szCs w:val="21"/>
        </w:rPr>
        <w:t>质量标准，甲方有权退货，乙方</w:t>
      </w:r>
      <w:r>
        <w:rPr>
          <w:rFonts w:hint="eastAsia" w:ascii="宋体" w:hAnsi="宋体"/>
          <w:szCs w:val="21"/>
        </w:rPr>
        <w:t>应</w:t>
      </w:r>
      <w:r>
        <w:rPr>
          <w:rFonts w:ascii="宋体" w:hAnsi="宋体"/>
          <w:szCs w:val="21"/>
        </w:rPr>
        <w:t>退回全部货款</w:t>
      </w:r>
      <w:r>
        <w:rPr>
          <w:rFonts w:hint="eastAsia" w:ascii="宋体" w:hAnsi="宋体"/>
          <w:szCs w:val="21"/>
        </w:rPr>
        <w:t>并</w:t>
      </w:r>
      <w:r>
        <w:rPr>
          <w:rFonts w:ascii="宋体" w:hAnsi="宋体"/>
          <w:szCs w:val="21"/>
        </w:rPr>
        <w:t>赔偿甲方因此遭受的损失。</w:t>
      </w:r>
    </w:p>
    <w:p w14:paraId="5274A654">
      <w:pPr>
        <w:spacing w:line="360" w:lineRule="auto"/>
        <w:ind w:firstLine="560"/>
        <w:jc w:val="left"/>
        <w:rPr>
          <w:rFonts w:ascii="宋体" w:hAnsi="宋体"/>
          <w:szCs w:val="21"/>
        </w:rPr>
      </w:pPr>
      <w:r>
        <w:rPr>
          <w:rFonts w:hint="eastAsia" w:ascii="宋体" w:hAnsi="宋体"/>
          <w:szCs w:val="21"/>
        </w:rPr>
        <w:t>6.</w:t>
      </w:r>
      <w:bookmarkStart w:id="85" w:name="_Hlk75014743"/>
      <w:r>
        <w:rPr>
          <w:rFonts w:hint="eastAsia" w:ascii="宋体" w:hAnsi="宋体"/>
          <w:szCs w:val="21"/>
        </w:rPr>
        <w:t>乙方违反本合同约定的保密义务，甲方有权要求乙方按合同总额【】%支付违约金；造成不良影响或对甲方造成损失的，甲方有权要求乙方消除影响，承担赔偿责任，并有权解除合同。</w:t>
      </w:r>
      <w:bookmarkEnd w:id="85"/>
    </w:p>
    <w:p w14:paraId="601DB908">
      <w:pPr>
        <w:spacing w:line="360" w:lineRule="auto"/>
        <w:ind w:firstLine="560"/>
        <w:jc w:val="left"/>
        <w:rPr>
          <w:rFonts w:ascii="宋体" w:hAnsi="宋体"/>
          <w:szCs w:val="21"/>
        </w:rPr>
      </w:pPr>
      <w:r>
        <w:rPr>
          <w:rFonts w:hint="eastAsia" w:ascii="宋体" w:hAnsi="宋体"/>
          <w:szCs w:val="21"/>
        </w:rPr>
        <w:t>7、</w:t>
      </w:r>
      <w:bookmarkStart w:id="86" w:name="_Hlk75015079"/>
      <w:r>
        <w:rPr>
          <w:rFonts w:hint="eastAsia" w:ascii="宋体" w:hAnsi="宋体"/>
          <w:szCs w:val="21"/>
        </w:rPr>
        <w:t>因乙方提供的产品受到侵权指控或者引发法律纠纷，影响甲方正常使用或者导致合同目的不能实现的，甲方有权要求乙方按合同总额【】%支付违约金，并有权解除合同。</w:t>
      </w:r>
      <w:bookmarkEnd w:id="86"/>
    </w:p>
    <w:p w14:paraId="6F5063E9">
      <w:pPr>
        <w:spacing w:line="360" w:lineRule="auto"/>
        <w:ind w:firstLine="560"/>
        <w:jc w:val="left"/>
        <w:rPr>
          <w:rFonts w:ascii="宋体" w:hAnsi="宋体"/>
          <w:szCs w:val="21"/>
        </w:rPr>
      </w:pPr>
      <w:r>
        <w:rPr>
          <w:rFonts w:hint="eastAsia" w:ascii="宋体" w:hAnsi="宋体"/>
          <w:szCs w:val="21"/>
        </w:rPr>
        <w:t>8、乙方未履行本合同项下的其他义务或违反其在投标文件中的相关承诺的，应按合同总价款的【】%向甲方承担违约责任。</w:t>
      </w:r>
    </w:p>
    <w:p w14:paraId="7A15D315">
      <w:pPr>
        <w:spacing w:line="360" w:lineRule="auto"/>
        <w:ind w:firstLine="560"/>
        <w:jc w:val="left"/>
        <w:rPr>
          <w:rFonts w:ascii="宋体" w:hAnsi="宋体"/>
          <w:szCs w:val="21"/>
        </w:rPr>
      </w:pPr>
      <w:r>
        <w:rPr>
          <w:rFonts w:hint="eastAsia" w:ascii="宋体" w:hAnsi="宋体"/>
          <w:szCs w:val="21"/>
        </w:rPr>
        <w:t>9、乙方在承担上述一项或多项违约责任后，仍应继续履行合同规定的义务（甲方解除合同的除外）。甲方未能及时追究乙方的任何一项违约责任并不表明甲方放弃追究乙方该项或其他违约责任。</w:t>
      </w:r>
    </w:p>
    <w:p w14:paraId="324FCD22">
      <w:pPr>
        <w:spacing w:line="360" w:lineRule="auto"/>
        <w:ind w:firstLine="560"/>
        <w:jc w:val="left"/>
        <w:outlineLvl w:val="0"/>
        <w:rPr>
          <w:b/>
          <w:szCs w:val="21"/>
        </w:rPr>
      </w:pPr>
      <w:r>
        <w:rPr>
          <w:rFonts w:hint="eastAsia"/>
          <w:b/>
          <w:szCs w:val="21"/>
        </w:rPr>
        <w:t>第十条    合同的变更和终止</w:t>
      </w:r>
    </w:p>
    <w:p w14:paraId="3A7D589C">
      <w:pPr>
        <w:spacing w:line="360" w:lineRule="auto"/>
        <w:ind w:firstLine="560"/>
        <w:jc w:val="left"/>
        <w:rPr>
          <w:rFonts w:ascii="宋体" w:hAnsi="宋体"/>
          <w:szCs w:val="21"/>
        </w:rPr>
      </w:pPr>
      <w:r>
        <w:rPr>
          <w:rFonts w:hint="eastAsia" w:ascii="宋体" w:hAnsi="宋体"/>
          <w:szCs w:val="21"/>
        </w:rPr>
        <w:t>除</w:t>
      </w:r>
      <w:bookmarkStart w:id="87" w:name="_Hlk75015119"/>
      <w:r>
        <w:rPr>
          <w:rFonts w:hint="eastAsia" w:ascii="宋体" w:hAnsi="宋体"/>
          <w:szCs w:val="21"/>
        </w:rPr>
        <w:t>《深圳经济特区政府采购条例》第40条、</w:t>
      </w:r>
      <w:bookmarkEnd w:id="87"/>
      <w:r>
        <w:rPr>
          <w:rFonts w:hint="eastAsia" w:ascii="宋体" w:hAnsi="宋体"/>
          <w:szCs w:val="21"/>
        </w:rPr>
        <w:t>《中华人民共和国政府采购法》第50条第二款规定或者主管部门另有政策规定的情形外，本合同一经签订，甲乙双方不得擅自变更、中止或终止合同。</w:t>
      </w:r>
    </w:p>
    <w:p w14:paraId="75BD288B">
      <w:pPr>
        <w:spacing w:line="360" w:lineRule="auto"/>
        <w:ind w:firstLine="560"/>
        <w:jc w:val="left"/>
        <w:outlineLvl w:val="0"/>
        <w:rPr>
          <w:b/>
          <w:szCs w:val="21"/>
        </w:rPr>
      </w:pPr>
      <w:r>
        <w:rPr>
          <w:rFonts w:hint="eastAsia"/>
          <w:b/>
          <w:szCs w:val="21"/>
        </w:rPr>
        <w:t>第十一条   争议的解决</w:t>
      </w:r>
    </w:p>
    <w:p w14:paraId="74C94E76">
      <w:pPr>
        <w:spacing w:line="360" w:lineRule="auto"/>
        <w:ind w:firstLine="560"/>
        <w:jc w:val="left"/>
        <w:rPr>
          <w:rFonts w:ascii="宋体" w:hAnsi="宋体"/>
          <w:szCs w:val="21"/>
        </w:rPr>
      </w:pPr>
      <w:r>
        <w:rPr>
          <w:rFonts w:hint="eastAsia" w:ascii="宋体" w:hAnsi="宋体"/>
          <w:szCs w:val="21"/>
        </w:rPr>
        <w:t>1、因货物的质量问题发生争议的，应当邀请国家认可的质量检测机构对货物质量进行鉴定。货物符合标准的，鉴定费由甲方承担；货物不符合质量标准的，鉴定费由乙方承担。</w:t>
      </w:r>
    </w:p>
    <w:p w14:paraId="69D3E958">
      <w:pPr>
        <w:spacing w:line="360" w:lineRule="auto"/>
        <w:ind w:firstLine="560"/>
        <w:jc w:val="left"/>
        <w:rPr>
          <w:rFonts w:ascii="宋体" w:hAnsi="宋体"/>
          <w:szCs w:val="21"/>
        </w:rPr>
      </w:pPr>
      <w:r>
        <w:rPr>
          <w:rFonts w:hint="eastAsia" w:ascii="宋体" w:hAnsi="宋体"/>
          <w:szCs w:val="21"/>
        </w:rPr>
        <w:t>2、因履行本合同引起的或与本合同有关的争议，甲、乙双方应首先通过友好协商解决，如果协商不能解决争议，则向甲方所在地有管辖权的人民法院提起诉讼；</w:t>
      </w:r>
    </w:p>
    <w:p w14:paraId="01ABC524">
      <w:pPr>
        <w:spacing w:line="360" w:lineRule="auto"/>
        <w:ind w:firstLine="560"/>
        <w:jc w:val="left"/>
        <w:outlineLvl w:val="0"/>
        <w:rPr>
          <w:b/>
          <w:szCs w:val="21"/>
        </w:rPr>
      </w:pPr>
      <w:r>
        <w:rPr>
          <w:rFonts w:hint="eastAsia"/>
          <w:b/>
          <w:szCs w:val="21"/>
        </w:rPr>
        <w:t>第十二条   合同生效及其他</w:t>
      </w:r>
    </w:p>
    <w:p w14:paraId="35B6A655">
      <w:pPr>
        <w:spacing w:line="360" w:lineRule="auto"/>
        <w:ind w:firstLine="560"/>
        <w:jc w:val="left"/>
        <w:rPr>
          <w:rFonts w:ascii="宋体" w:hAnsi="宋体"/>
          <w:szCs w:val="21"/>
        </w:rPr>
      </w:pPr>
      <w:r>
        <w:rPr>
          <w:rFonts w:hint="eastAsia" w:ascii="宋体" w:hAnsi="宋体"/>
          <w:szCs w:val="21"/>
        </w:rPr>
        <w:t>1、下列文件均为本合同的组成部分：</w:t>
      </w:r>
    </w:p>
    <w:p w14:paraId="3B17E3D2">
      <w:pPr>
        <w:spacing w:line="360" w:lineRule="auto"/>
        <w:ind w:firstLine="560"/>
        <w:jc w:val="left"/>
        <w:rPr>
          <w:rFonts w:ascii="宋体" w:hAnsi="宋体"/>
          <w:szCs w:val="21"/>
        </w:rPr>
      </w:pPr>
      <w:r>
        <w:rPr>
          <w:rFonts w:hint="eastAsia" w:ascii="宋体" w:hAnsi="宋体"/>
          <w:szCs w:val="21"/>
        </w:rPr>
        <w:t>（1）号招标文件、答疑及补充通知；</w:t>
      </w:r>
    </w:p>
    <w:p w14:paraId="1E8BD113">
      <w:pPr>
        <w:spacing w:line="360" w:lineRule="auto"/>
        <w:ind w:firstLine="560"/>
        <w:jc w:val="left"/>
        <w:rPr>
          <w:rFonts w:ascii="宋体" w:hAnsi="宋体"/>
          <w:szCs w:val="21"/>
        </w:rPr>
      </w:pPr>
      <w:r>
        <w:rPr>
          <w:rFonts w:hint="eastAsia" w:ascii="宋体" w:hAnsi="宋体"/>
          <w:szCs w:val="21"/>
        </w:rPr>
        <w:t>（2）乙方的投标文件；</w:t>
      </w:r>
    </w:p>
    <w:p w14:paraId="74E07AF3">
      <w:pPr>
        <w:spacing w:line="360" w:lineRule="auto"/>
        <w:ind w:firstLine="560"/>
        <w:jc w:val="left"/>
        <w:rPr>
          <w:rFonts w:ascii="宋体" w:hAnsi="宋体"/>
          <w:szCs w:val="21"/>
        </w:rPr>
      </w:pPr>
      <w:r>
        <w:rPr>
          <w:rFonts w:hint="eastAsia" w:ascii="宋体" w:hAnsi="宋体"/>
          <w:szCs w:val="21"/>
        </w:rPr>
        <w:t>（3）本合同执行中甲乙双方共同签署的补充与修正文件。</w:t>
      </w:r>
    </w:p>
    <w:p w14:paraId="62D9AD31">
      <w:pPr>
        <w:spacing w:line="360" w:lineRule="auto"/>
        <w:ind w:firstLine="560"/>
        <w:jc w:val="left"/>
        <w:rPr>
          <w:rFonts w:ascii="宋体" w:hAnsi="宋体"/>
          <w:szCs w:val="21"/>
        </w:rPr>
      </w:pPr>
      <w:r>
        <w:rPr>
          <w:rFonts w:hint="eastAsia" w:ascii="宋体" w:hAnsi="宋体"/>
          <w:szCs w:val="21"/>
        </w:rPr>
        <w:t>2、本合同一式份，甲、乙方双方各执份，具有同等法律效力。本合同自双方法定代表人（或授权代表）签字并盖章之日起生效。</w:t>
      </w:r>
    </w:p>
    <w:p w14:paraId="53D626D0">
      <w:pPr>
        <w:spacing w:line="360" w:lineRule="auto"/>
        <w:ind w:firstLine="560"/>
        <w:jc w:val="left"/>
        <w:rPr>
          <w:rFonts w:ascii="宋体" w:hAnsi="宋体"/>
          <w:szCs w:val="21"/>
        </w:rPr>
      </w:pPr>
    </w:p>
    <w:p w14:paraId="599BD69F">
      <w:pPr>
        <w:spacing w:line="360" w:lineRule="auto"/>
        <w:ind w:firstLine="560"/>
        <w:jc w:val="left"/>
        <w:rPr>
          <w:rFonts w:ascii="宋体" w:hAnsi="宋体"/>
          <w:szCs w:val="21"/>
        </w:rPr>
      </w:pPr>
    </w:p>
    <w:p w14:paraId="4A858287">
      <w:pPr>
        <w:spacing w:line="360" w:lineRule="auto"/>
        <w:ind w:firstLine="560"/>
        <w:jc w:val="left"/>
        <w:rPr>
          <w:rFonts w:ascii="宋体" w:hAnsi="宋体"/>
          <w:szCs w:val="21"/>
        </w:rPr>
      </w:pPr>
      <w:r>
        <w:rPr>
          <w:rFonts w:hint="eastAsia" w:ascii="宋体" w:hAnsi="宋体"/>
          <w:szCs w:val="21"/>
        </w:rPr>
        <w:t>甲方（采购人）：   （盖章）       乙方（供应商）：    （盖章）</w:t>
      </w:r>
    </w:p>
    <w:p w14:paraId="7EED5D0A">
      <w:pPr>
        <w:spacing w:line="360" w:lineRule="auto"/>
        <w:ind w:firstLine="560"/>
        <w:jc w:val="left"/>
        <w:rPr>
          <w:rFonts w:ascii="宋体" w:hAnsi="宋体"/>
          <w:szCs w:val="21"/>
        </w:rPr>
      </w:pPr>
      <w:r>
        <w:rPr>
          <w:rFonts w:hint="eastAsia" w:ascii="宋体" w:hAnsi="宋体"/>
          <w:szCs w:val="21"/>
        </w:rPr>
        <w:t xml:space="preserve">法定代表人：                     法定代表人： </w:t>
      </w:r>
    </w:p>
    <w:p w14:paraId="73174D54">
      <w:pPr>
        <w:spacing w:line="360" w:lineRule="auto"/>
        <w:ind w:firstLine="560"/>
        <w:jc w:val="left"/>
        <w:rPr>
          <w:rFonts w:ascii="宋体" w:hAnsi="宋体"/>
          <w:szCs w:val="21"/>
        </w:rPr>
      </w:pPr>
      <w:r>
        <w:rPr>
          <w:rFonts w:hint="eastAsia" w:ascii="宋体" w:hAnsi="宋体"/>
          <w:szCs w:val="21"/>
        </w:rPr>
        <w:t>委托代理人：                     委托代理人：</w:t>
      </w:r>
    </w:p>
    <w:p w14:paraId="5FFE83BA">
      <w:pPr>
        <w:ind w:firstLine="525" w:firstLineChars="250"/>
        <w:rPr>
          <w:rFonts w:ascii="宋体" w:hAnsi="宋体"/>
          <w:b/>
          <w:szCs w:val="21"/>
        </w:rPr>
      </w:pPr>
      <w:r>
        <w:rPr>
          <w:rFonts w:hint="eastAsia" w:ascii="宋体" w:hAnsi="宋体"/>
          <w:szCs w:val="21"/>
        </w:rPr>
        <w:t>日期：   年     月    日         日期：   年     月    日</w:t>
      </w:r>
    </w:p>
    <w:p w14:paraId="42106C48"/>
    <w:p w14:paraId="0B16EDB6">
      <w:pPr>
        <w:widowControl/>
        <w:jc w:val="left"/>
        <w:rPr>
          <w:rFonts w:ascii="宋体" w:hAnsi="宋体"/>
          <w:szCs w:val="21"/>
        </w:rPr>
      </w:pPr>
      <w:r>
        <w:rPr>
          <w:rFonts w:ascii="宋体" w:hAnsi="宋体"/>
          <w:szCs w:val="21"/>
        </w:rPr>
        <w:br w:type="page"/>
      </w:r>
    </w:p>
    <w:p w14:paraId="09AA13A5">
      <w:pPr>
        <w:pStyle w:val="5"/>
        <w:spacing w:before="120" w:beforeLines="50" w:after="120" w:afterLines="50"/>
        <w:ind w:left="562"/>
        <w:rPr>
          <w:sz w:val="28"/>
          <w:szCs w:val="28"/>
        </w:rPr>
      </w:pPr>
      <w:r>
        <w:rPr>
          <w:rFonts w:hint="eastAsia"/>
          <w:sz w:val="28"/>
          <w:szCs w:val="28"/>
        </w:rPr>
        <w:t>第二册  通用条款（公开招标）</w:t>
      </w:r>
    </w:p>
    <w:p w14:paraId="5CC06114">
      <w:pPr>
        <w:pStyle w:val="5"/>
        <w:numPr>
          <w:ilvl w:val="0"/>
          <w:numId w:val="11"/>
        </w:numPr>
        <w:spacing w:before="120" w:beforeLines="50" w:after="120" w:afterLines="50"/>
        <w:ind w:left="562" w:hanging="562"/>
        <w:rPr>
          <w:sz w:val="28"/>
          <w:szCs w:val="28"/>
        </w:rPr>
      </w:pPr>
      <w:bookmarkStart w:id="88" w:name="_Hlk72399513"/>
      <w:r>
        <w:rPr>
          <w:rFonts w:hint="eastAsia"/>
          <w:sz w:val="28"/>
          <w:szCs w:val="28"/>
        </w:rPr>
        <w:t>总则</w:t>
      </w:r>
    </w:p>
    <w:bookmarkEnd w:id="88"/>
    <w:p w14:paraId="5B5928AF">
      <w:pPr>
        <w:outlineLvl w:val="1"/>
        <w:rPr>
          <w:rFonts w:ascii="黑体" w:hAnsi="宋体" w:eastAsia="黑体"/>
          <w:sz w:val="24"/>
        </w:rPr>
      </w:pPr>
      <w:r>
        <w:rPr>
          <w:rFonts w:hint="eastAsia" w:ascii="黑体" w:hAnsi="宋体" w:eastAsia="黑体"/>
          <w:sz w:val="24"/>
        </w:rPr>
        <w:t>1. 通用条款说明</w:t>
      </w:r>
    </w:p>
    <w:p w14:paraId="067ABB69">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89" w:name="_Hlk72399729"/>
      <w:r>
        <w:rPr>
          <w:rFonts w:hint="eastAsia" w:ascii="宋体" w:hAnsi="宋体"/>
          <w:szCs w:val="21"/>
        </w:rPr>
        <w:t>如有需要，政府集中采购机构可以对通用条款的内容进行补充。</w:t>
      </w:r>
      <w:bookmarkEnd w:id="89"/>
    </w:p>
    <w:p w14:paraId="2D746BF5">
      <w:pPr>
        <w:ind w:firstLine="411" w:firstLineChars="196"/>
        <w:rPr>
          <w:rFonts w:ascii="宋体" w:hAnsi="宋体"/>
          <w:szCs w:val="21"/>
        </w:rPr>
      </w:pPr>
      <w:r>
        <w:rPr>
          <w:rFonts w:hint="eastAsia" w:ascii="宋体" w:hAnsi="宋体"/>
          <w:szCs w:val="21"/>
        </w:rPr>
        <w:t>1.2招标文件分为第一册“专用条款”和第二册“通用条款”。</w:t>
      </w:r>
    </w:p>
    <w:p w14:paraId="665E7469">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50A4DB40">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14:paraId="5F7C10CC">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359D4730">
      <w:pPr>
        <w:outlineLvl w:val="1"/>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6DC0D78C">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14:paraId="1A1A1145">
      <w:pPr>
        <w:outlineLvl w:val="1"/>
        <w:rPr>
          <w:rFonts w:ascii="黑体" w:hAnsi="宋体" w:eastAsia="黑体"/>
          <w:sz w:val="24"/>
        </w:rPr>
      </w:pPr>
      <w:r>
        <w:rPr>
          <w:rFonts w:hint="eastAsia" w:ascii="黑体" w:hAnsi="宋体" w:eastAsia="黑体"/>
          <w:sz w:val="24"/>
        </w:rPr>
        <w:t>3．定义</w:t>
      </w:r>
    </w:p>
    <w:p w14:paraId="75153DD5">
      <w:pPr>
        <w:ind w:firstLine="420" w:firstLineChars="200"/>
        <w:rPr>
          <w:rFonts w:ascii="宋体" w:hAnsi="宋体"/>
          <w:szCs w:val="21"/>
        </w:rPr>
      </w:pPr>
      <w:r>
        <w:rPr>
          <w:rFonts w:ascii="宋体" w:hAnsi="宋体"/>
          <w:szCs w:val="21"/>
        </w:rPr>
        <w:t>招标文件中下列术语应解释为：</w:t>
      </w:r>
    </w:p>
    <w:p w14:paraId="4AF2164E">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p>
    <w:p w14:paraId="444E86FA">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139CFA17">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083312F5">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2A6B093D">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674E2088">
      <w:pPr>
        <w:ind w:firstLine="411" w:firstLineChars="196"/>
        <w:rPr>
          <w:rFonts w:ascii="宋体" w:hAnsi="宋体"/>
          <w:szCs w:val="21"/>
        </w:rPr>
      </w:pPr>
      <w:r>
        <w:rPr>
          <w:rFonts w:hint="eastAsia" w:ascii="宋体" w:hAnsi="宋体"/>
          <w:szCs w:val="21"/>
        </w:rPr>
        <w:t>3.6“合同”指由本次招标所产生的合同或合约文件；</w:t>
      </w:r>
    </w:p>
    <w:p w14:paraId="3B42E42A">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网站提供的投标书加密软件加密的投标文件,适用于网上投标</w:t>
      </w:r>
      <w:bookmarkStart w:id="90" w:name="_Hlk72398581"/>
      <w:r>
        <w:rPr>
          <w:rFonts w:hint="eastAsia" w:ascii="宋体" w:hAnsi="宋体"/>
          <w:szCs w:val="21"/>
        </w:rPr>
        <w:t>（此投标书加密软件可从</w:t>
      </w:r>
      <w:r>
        <w:t>www.szggzy.com</w:t>
      </w:r>
      <w:r>
        <w:rPr>
          <w:rFonts w:hint="eastAsia" w:ascii="宋体" w:hAnsi="宋体"/>
          <w:szCs w:val="21"/>
        </w:rPr>
        <w:t>网站“服务导航-政府采购-资料下载”栏目中下载）；</w:t>
      </w:r>
      <w:bookmarkEnd w:id="90"/>
    </w:p>
    <w:p w14:paraId="1037E22C">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网站上传电子投标文件；</w:t>
      </w:r>
    </w:p>
    <w:p w14:paraId="4AEC6D54">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14:paraId="6B2B03F5">
      <w:pPr>
        <w:outlineLvl w:val="1"/>
        <w:rPr>
          <w:rFonts w:ascii="黑体" w:hAnsi="宋体" w:eastAsia="黑体"/>
          <w:sz w:val="24"/>
        </w:rPr>
      </w:pPr>
      <w:r>
        <w:rPr>
          <w:rFonts w:hint="eastAsia" w:ascii="黑体" w:hAnsi="宋体" w:eastAsia="黑体"/>
          <w:sz w:val="24"/>
        </w:rPr>
        <w:t xml:space="preserve">4. </w:t>
      </w:r>
      <w:bookmarkStart w:id="91" w:name="_Hlk72398643"/>
      <w:r>
        <w:rPr>
          <w:rFonts w:hint="eastAsia" w:ascii="黑体" w:hAnsi="宋体" w:eastAsia="黑体"/>
          <w:sz w:val="24"/>
        </w:rPr>
        <w:t>政府采购供应商责任</w:t>
      </w:r>
    </w:p>
    <w:p w14:paraId="6C43C30A">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7E9E4C57">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19E3B399">
      <w:pPr>
        <w:outlineLvl w:val="1"/>
        <w:rPr>
          <w:rFonts w:ascii="黑体" w:hAnsi="宋体" w:eastAsia="黑体"/>
          <w:sz w:val="24"/>
        </w:rPr>
      </w:pPr>
      <w:r>
        <w:rPr>
          <w:rFonts w:hint="eastAsia" w:ascii="黑体" w:hAnsi="宋体" w:eastAsia="黑体"/>
          <w:sz w:val="24"/>
        </w:rPr>
        <w:t>5．投标人参加政府采购的条件</w:t>
      </w:r>
    </w:p>
    <w:p w14:paraId="4F6DB026">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w:t>
      </w:r>
      <w:r>
        <w:fldChar w:fldCharType="begin"/>
      </w:r>
      <w:r>
        <w:instrText xml:space="preserve"> HYPERLINK "http://www.szzfcg.cn/viewer.do?id=2455258" \t "documentViewer2455258" </w:instrText>
      </w:r>
      <w:r>
        <w:fldChar w:fldCharType="separate"/>
      </w:r>
      <w:r>
        <w:rPr>
          <w:rFonts w:ascii="宋体" w:hAnsi="宋体"/>
          <w:szCs w:val="21"/>
        </w:rPr>
        <w:t>供应商注册及电子密钥新申请指引</w:t>
      </w:r>
      <w:r>
        <w:rPr>
          <w:rFonts w:ascii="宋体" w:hAnsi="宋体"/>
          <w:szCs w:val="21"/>
        </w:rPr>
        <w:fldChar w:fldCharType="end"/>
      </w:r>
      <w:r>
        <w:rPr>
          <w:rFonts w:hint="eastAsia" w:ascii="宋体" w:hAnsi="宋体"/>
          <w:szCs w:val="21"/>
        </w:rPr>
        <w:t>》详见</w:t>
      </w:r>
      <w:r>
        <w:t>www.szggzy.com</w:t>
      </w:r>
      <w:r>
        <w:rPr>
          <w:rFonts w:hint="eastAsia" w:ascii="宋体" w:hAnsi="宋体"/>
          <w:szCs w:val="21"/>
        </w:rPr>
        <w:t>网站“服务导航-政府采购-办事指南”。</w:t>
      </w:r>
    </w:p>
    <w:p w14:paraId="3E0B8B28">
      <w:pPr>
        <w:ind w:firstLine="411" w:firstLineChars="196"/>
        <w:rPr>
          <w:rFonts w:ascii="宋体" w:hAnsi="宋体"/>
          <w:szCs w:val="21"/>
        </w:rPr>
      </w:pPr>
      <w:r>
        <w:rPr>
          <w:rFonts w:hint="eastAsia" w:ascii="宋体" w:hAnsi="宋体"/>
          <w:szCs w:val="21"/>
        </w:rPr>
        <w:t>5.2投标人资格要求</w:t>
      </w:r>
    </w:p>
    <w:p w14:paraId="5BE63FD7">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2B2C11CB">
      <w:pPr>
        <w:ind w:firstLine="411" w:firstLineChars="196"/>
        <w:rPr>
          <w:rFonts w:ascii="宋体" w:hAnsi="宋体"/>
          <w:szCs w:val="21"/>
        </w:rPr>
      </w:pPr>
      <w:r>
        <w:rPr>
          <w:rFonts w:hint="eastAsia" w:ascii="宋体" w:hAnsi="宋体"/>
          <w:szCs w:val="21"/>
        </w:rPr>
        <w:t>5.3联合体投标</w:t>
      </w:r>
    </w:p>
    <w:p w14:paraId="54B367CB">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14:paraId="01A1C8CB">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36A0B265">
      <w:pPr>
        <w:ind w:firstLine="411" w:firstLineChars="196"/>
        <w:rPr>
          <w:rFonts w:ascii="宋体" w:hAnsi="宋体"/>
        </w:rPr>
      </w:pPr>
      <w:r>
        <w:rPr>
          <w:rFonts w:hint="eastAsia" w:ascii="宋体" w:hAnsi="宋体"/>
        </w:rPr>
        <w:t>（1）投标联合体各方参加政府采购活动应当具备下列条件：</w:t>
      </w:r>
    </w:p>
    <w:p w14:paraId="4DE88B55">
      <w:pPr>
        <w:ind w:left="420" w:leftChars="200" w:firstLine="411" w:firstLineChars="196"/>
        <w:rPr>
          <w:rFonts w:ascii="宋体" w:hAnsi="宋体"/>
        </w:rPr>
      </w:pPr>
      <w:r>
        <w:rPr>
          <w:rFonts w:hint="eastAsia" w:ascii="宋体" w:hAnsi="宋体"/>
        </w:rPr>
        <w:t>1、具有独立承担民事责任的能力；</w:t>
      </w:r>
    </w:p>
    <w:p w14:paraId="6D361B7C">
      <w:pPr>
        <w:ind w:left="420" w:firstLine="411" w:firstLineChars="196"/>
        <w:rPr>
          <w:rFonts w:ascii="宋体" w:hAnsi="宋体"/>
        </w:rPr>
      </w:pPr>
      <w:r>
        <w:rPr>
          <w:rFonts w:hint="eastAsia" w:ascii="宋体" w:hAnsi="宋体"/>
        </w:rPr>
        <w:t>2、有良好的商业信誉和健全的财务会计制度；</w:t>
      </w:r>
    </w:p>
    <w:p w14:paraId="4FC95B8F">
      <w:pPr>
        <w:ind w:left="420" w:leftChars="200" w:firstLine="411" w:firstLineChars="196"/>
        <w:rPr>
          <w:rFonts w:ascii="宋体" w:hAnsi="宋体"/>
        </w:rPr>
      </w:pPr>
      <w:r>
        <w:rPr>
          <w:rFonts w:hint="eastAsia" w:ascii="宋体" w:hAnsi="宋体"/>
        </w:rPr>
        <w:t>3、具有履行合同所必需的设备和专业技术能力；</w:t>
      </w:r>
    </w:p>
    <w:p w14:paraId="7ACA4BFF">
      <w:pPr>
        <w:ind w:left="420" w:leftChars="200" w:firstLine="411" w:firstLineChars="196"/>
        <w:rPr>
          <w:rFonts w:ascii="宋体" w:hAnsi="宋体"/>
        </w:rPr>
      </w:pPr>
      <w:r>
        <w:rPr>
          <w:rFonts w:hint="eastAsia" w:ascii="宋体" w:hAnsi="宋体"/>
        </w:rPr>
        <w:t>4、有依法缴纳税收和社会保障资金的良好记录；</w:t>
      </w:r>
    </w:p>
    <w:p w14:paraId="3DD267AE">
      <w:pPr>
        <w:ind w:left="420" w:leftChars="200" w:firstLine="411" w:firstLineChars="196"/>
        <w:rPr>
          <w:rFonts w:ascii="宋体" w:hAnsi="宋体"/>
        </w:rPr>
      </w:pPr>
      <w:r>
        <w:rPr>
          <w:rFonts w:hint="eastAsia" w:ascii="宋体" w:hAnsi="宋体"/>
        </w:rPr>
        <w:t>5、参加政府采购活动前三年内，在经营活动中没有重大违法记录；</w:t>
      </w:r>
    </w:p>
    <w:p w14:paraId="4BE0435F">
      <w:pPr>
        <w:ind w:left="420" w:leftChars="200" w:firstLine="411" w:firstLineChars="196"/>
        <w:rPr>
          <w:rFonts w:ascii="宋体" w:hAnsi="宋体"/>
        </w:rPr>
      </w:pPr>
      <w:r>
        <w:rPr>
          <w:rFonts w:hint="eastAsia" w:ascii="宋体" w:hAnsi="宋体"/>
        </w:rPr>
        <w:t>6、法律、行政法规规定的其他条件。</w:t>
      </w:r>
    </w:p>
    <w:p w14:paraId="75856016">
      <w:pPr>
        <w:ind w:firstLine="411" w:firstLineChars="196"/>
        <w:rPr>
          <w:rFonts w:ascii="宋体" w:hAnsi="宋体"/>
        </w:rPr>
      </w:pPr>
      <w:r>
        <w:rPr>
          <w:rFonts w:hint="eastAsia" w:ascii="宋体" w:hAnsi="宋体"/>
        </w:rPr>
        <w:t>（2）在投标截止前，投标联合体各方均应注册成政府集中采购机构供应商；</w:t>
      </w:r>
    </w:p>
    <w:p w14:paraId="18C41E43">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36C9A3F7">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70A41A56">
      <w:pPr>
        <w:ind w:firstLine="411" w:firstLineChars="196"/>
        <w:rPr>
          <w:rFonts w:ascii="宋体" w:hAnsi="宋体"/>
        </w:rPr>
      </w:pPr>
      <w:r>
        <w:rPr>
          <w:rFonts w:hint="eastAsia" w:ascii="宋体" w:hAnsi="宋体"/>
        </w:rPr>
        <w:t>（5）投标人的投标文件及中标后签署的合同协议对联合体各方均具法律约束力；</w:t>
      </w:r>
    </w:p>
    <w:p w14:paraId="62934CC0">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47F4572A">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14:paraId="03C0B1F0">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12770933">
      <w:pPr>
        <w:ind w:firstLine="411" w:firstLineChars="196"/>
        <w:rPr>
          <w:rFonts w:ascii="宋体" w:hAnsi="宋体"/>
          <w:szCs w:val="21"/>
        </w:rPr>
      </w:pPr>
      <w:r>
        <w:rPr>
          <w:rFonts w:hint="eastAsia" w:ascii="宋体" w:hAnsi="宋体"/>
        </w:rPr>
        <w:t>（9）本通用条款中“投标人”一词亦指联合体各方，专用条款另有规定或说明的除外。</w:t>
      </w:r>
    </w:p>
    <w:p w14:paraId="7BA8A82A">
      <w:pPr>
        <w:outlineLvl w:val="1"/>
        <w:rPr>
          <w:rFonts w:ascii="黑体" w:hAnsi="宋体" w:eastAsia="黑体"/>
          <w:sz w:val="24"/>
        </w:rPr>
      </w:pPr>
      <w:r>
        <w:rPr>
          <w:rFonts w:hint="eastAsia" w:ascii="黑体" w:hAnsi="宋体" w:eastAsia="黑体"/>
          <w:sz w:val="24"/>
        </w:rPr>
        <w:t>6．政策导向</w:t>
      </w:r>
    </w:p>
    <w:p w14:paraId="10484DC5">
      <w:pPr>
        <w:ind w:firstLine="411" w:firstLineChars="196"/>
        <w:rPr>
          <w:rFonts w:ascii="宋体" w:hAnsi="宋体"/>
        </w:rPr>
      </w:pPr>
      <w:r>
        <w:rPr>
          <w:rFonts w:hint="eastAsia" w:ascii="宋体" w:hAnsi="宋体"/>
        </w:rPr>
        <w:t>6.1政府采购扶持贫困地区、中小企业、监狱企业和残疾人福利性单位发展，支持节能减排、环境保护。</w:t>
      </w:r>
    </w:p>
    <w:p w14:paraId="40DC3171">
      <w:pPr>
        <w:ind w:firstLine="405"/>
        <w:rPr>
          <w:shd w:val="clear" w:color="auto" w:fill="FFFFFF"/>
        </w:rPr>
      </w:pPr>
      <w:r>
        <w:rPr>
          <w:rFonts w:hint="eastAsia" w:ascii="宋体" w:hAnsi="宋体"/>
        </w:rPr>
        <w:t>6.2本项目落实深圳市政府采购供应商诚信管理政策要求。</w:t>
      </w:r>
    </w:p>
    <w:p w14:paraId="5A61A2B4">
      <w:pPr>
        <w:outlineLvl w:val="1"/>
        <w:rPr>
          <w:rFonts w:ascii="黑体" w:hAnsi="宋体" w:eastAsia="黑体"/>
          <w:sz w:val="24"/>
        </w:rPr>
      </w:pPr>
      <w:r>
        <w:rPr>
          <w:rFonts w:hint="eastAsia" w:ascii="黑体" w:hAnsi="宋体" w:eastAsia="黑体"/>
          <w:sz w:val="24"/>
        </w:rPr>
        <w:t>7. 本项目若涉及采购货物，则合格的货物及相应服务应满足以下要求：</w:t>
      </w:r>
    </w:p>
    <w:p w14:paraId="6EABA762">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4A414C31">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4614DBBA">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93E45F0">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4投标人</w:t>
      </w:r>
      <w:bookmarkStart w:id="92"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92"/>
    </w:p>
    <w:p w14:paraId="550DDA15">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0F7445ED">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14:paraId="7AAB56F5">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14:paraId="1A33E83F">
      <w:pPr>
        <w:outlineLvl w:val="1"/>
        <w:rPr>
          <w:rFonts w:ascii="黑体" w:hAnsi="宋体" w:eastAsia="黑体"/>
          <w:sz w:val="24"/>
        </w:rPr>
      </w:pPr>
      <w:r>
        <w:rPr>
          <w:rFonts w:hint="eastAsia" w:ascii="黑体" w:hAnsi="宋体" w:eastAsia="黑体"/>
          <w:sz w:val="24"/>
        </w:rPr>
        <w:t>8．投标费用</w:t>
      </w:r>
    </w:p>
    <w:p w14:paraId="54617A73">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3AA36525">
      <w:pPr>
        <w:outlineLvl w:val="1"/>
        <w:rPr>
          <w:rFonts w:ascii="黑体" w:hAnsi="宋体" w:eastAsia="黑体"/>
          <w:sz w:val="24"/>
        </w:rPr>
      </w:pPr>
      <w:r>
        <w:rPr>
          <w:rFonts w:hint="eastAsia" w:ascii="黑体" w:hAnsi="宋体" w:eastAsia="黑体"/>
          <w:sz w:val="24"/>
        </w:rPr>
        <w:t>9．踏勘现场</w:t>
      </w:r>
    </w:p>
    <w:p w14:paraId="296C0E57">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316EE78A">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06B55B00">
      <w:pPr>
        <w:ind w:firstLine="411" w:firstLineChars="196"/>
        <w:rPr>
          <w:rFonts w:ascii="宋体" w:hAnsi="宋体"/>
        </w:rPr>
      </w:pPr>
      <w:r>
        <w:rPr>
          <w:rFonts w:hint="eastAsia" w:ascii="宋体" w:hAnsi="宋体"/>
        </w:rPr>
        <w:t>9.3采购人应当通过政府集中采购机构向投标人提供有关现场的书面资料和数据。</w:t>
      </w:r>
    </w:p>
    <w:p w14:paraId="7670B583">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5CF04A5D">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0961C1A8">
      <w:pPr>
        <w:outlineLvl w:val="1"/>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064F04C7">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2077095B">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11AEB157">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91"/>
    <w:p w14:paraId="75D622CE">
      <w:pPr>
        <w:pStyle w:val="5"/>
        <w:numPr>
          <w:ilvl w:val="0"/>
          <w:numId w:val="11"/>
        </w:numPr>
        <w:spacing w:before="120" w:beforeLines="50" w:after="120" w:afterLines="50"/>
        <w:ind w:left="562" w:hanging="562"/>
        <w:rPr>
          <w:sz w:val="28"/>
          <w:szCs w:val="28"/>
        </w:rPr>
      </w:pPr>
      <w:r>
        <w:rPr>
          <w:rFonts w:hint="eastAsia"/>
          <w:sz w:val="28"/>
          <w:szCs w:val="28"/>
        </w:rPr>
        <w:t>招标文件</w:t>
      </w:r>
    </w:p>
    <w:p w14:paraId="33022EA0">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93" w:name="_Hlk72399819"/>
      <w:r>
        <w:rPr>
          <w:rFonts w:hint="eastAsia" w:ascii="黑体" w:hAnsi="宋体" w:eastAsia="黑体"/>
          <w:sz w:val="24"/>
        </w:rPr>
        <w:t>招标文件的编制与组成</w:t>
      </w:r>
    </w:p>
    <w:p w14:paraId="75C37847">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66EA38EC">
      <w:pPr>
        <w:ind w:firstLine="411" w:firstLineChars="196"/>
        <w:rPr>
          <w:rFonts w:ascii="宋体" w:hAnsi="宋体"/>
          <w:szCs w:val="21"/>
        </w:rPr>
      </w:pPr>
      <w:r>
        <w:rPr>
          <w:rFonts w:hint="eastAsia" w:ascii="宋体" w:hAnsi="宋体"/>
          <w:szCs w:val="21"/>
        </w:rPr>
        <w:t>招标文件包括下列内容：</w:t>
      </w:r>
    </w:p>
    <w:p w14:paraId="42969CC3">
      <w:pPr>
        <w:ind w:left="420" w:leftChars="200" w:firstLine="413" w:firstLineChars="196"/>
        <w:rPr>
          <w:rFonts w:ascii="宋体" w:hAnsi="宋体"/>
          <w:b/>
          <w:szCs w:val="21"/>
        </w:rPr>
      </w:pPr>
      <w:r>
        <w:rPr>
          <w:rFonts w:hint="eastAsia" w:ascii="宋体" w:hAnsi="宋体"/>
          <w:b/>
          <w:szCs w:val="21"/>
        </w:rPr>
        <w:t>第一册  专用条款</w:t>
      </w:r>
    </w:p>
    <w:p w14:paraId="2708B551">
      <w:pPr>
        <w:ind w:left="1079" w:leftChars="514"/>
        <w:rPr>
          <w:rFonts w:ascii="宋体" w:hAnsi="宋体"/>
          <w:b/>
          <w:szCs w:val="21"/>
        </w:rPr>
      </w:pPr>
      <w:r>
        <w:rPr>
          <w:rFonts w:hint="eastAsia" w:ascii="宋体" w:hAnsi="宋体"/>
          <w:b/>
          <w:szCs w:val="21"/>
        </w:rPr>
        <w:t>关键信息</w:t>
      </w:r>
    </w:p>
    <w:p w14:paraId="14209B0D">
      <w:pPr>
        <w:ind w:left="630" w:leftChars="300" w:firstLine="411" w:firstLineChars="196"/>
        <w:outlineLvl w:val="0"/>
        <w:rPr>
          <w:rFonts w:ascii="宋体" w:hAnsi="宋体"/>
          <w:szCs w:val="21"/>
        </w:rPr>
      </w:pPr>
      <w:r>
        <w:rPr>
          <w:rFonts w:hint="eastAsia" w:ascii="宋体" w:hAnsi="宋体"/>
          <w:szCs w:val="21"/>
        </w:rPr>
        <w:t>第一章  招标公告</w:t>
      </w:r>
    </w:p>
    <w:p w14:paraId="41E90529">
      <w:pPr>
        <w:ind w:left="630" w:leftChars="300" w:firstLine="411" w:firstLineChars="196"/>
        <w:outlineLvl w:val="0"/>
        <w:rPr>
          <w:rFonts w:ascii="宋体" w:hAnsi="宋体"/>
          <w:szCs w:val="21"/>
        </w:rPr>
      </w:pPr>
      <w:r>
        <w:rPr>
          <w:rFonts w:hint="eastAsia" w:ascii="宋体" w:hAnsi="宋体"/>
          <w:szCs w:val="21"/>
        </w:rPr>
        <w:t>第二章  对通用条款的补充内容及其他关键信息</w:t>
      </w:r>
    </w:p>
    <w:p w14:paraId="2377BBA8">
      <w:pPr>
        <w:ind w:left="630" w:leftChars="300" w:firstLine="411" w:firstLineChars="196"/>
        <w:outlineLvl w:val="0"/>
        <w:rPr>
          <w:rFonts w:ascii="宋体" w:hAnsi="宋体"/>
          <w:szCs w:val="21"/>
        </w:rPr>
      </w:pPr>
      <w:r>
        <w:rPr>
          <w:rFonts w:hint="eastAsia" w:ascii="宋体" w:hAnsi="宋体"/>
          <w:szCs w:val="21"/>
        </w:rPr>
        <w:t>第三章  用户需求书</w:t>
      </w:r>
    </w:p>
    <w:p w14:paraId="4366D3A1">
      <w:pPr>
        <w:ind w:left="630" w:leftChars="300" w:firstLine="411" w:firstLineChars="196"/>
        <w:outlineLvl w:val="0"/>
        <w:rPr>
          <w:rFonts w:ascii="宋体" w:hAnsi="宋体"/>
          <w:szCs w:val="21"/>
        </w:rPr>
      </w:pPr>
      <w:r>
        <w:rPr>
          <w:rFonts w:hint="eastAsia"/>
        </w:rPr>
        <w:t>第四章 投标文件格式及附件</w:t>
      </w:r>
    </w:p>
    <w:p w14:paraId="5AD198C9">
      <w:pPr>
        <w:ind w:left="630" w:leftChars="300" w:firstLine="411" w:firstLineChars="196"/>
        <w:outlineLvl w:val="0"/>
        <w:rPr>
          <w:rFonts w:ascii="宋体" w:hAnsi="宋体"/>
          <w:szCs w:val="21"/>
        </w:rPr>
      </w:pPr>
      <w:r>
        <w:rPr>
          <w:rFonts w:hint="eastAsia" w:ascii="宋体" w:hAnsi="宋体"/>
          <w:szCs w:val="21"/>
        </w:rPr>
        <w:t>第五章  合同条款及格式</w:t>
      </w:r>
    </w:p>
    <w:p w14:paraId="35DF33EE">
      <w:pPr>
        <w:ind w:left="420" w:leftChars="200" w:firstLine="413" w:firstLineChars="196"/>
        <w:outlineLvl w:val="0"/>
        <w:rPr>
          <w:rFonts w:ascii="宋体" w:hAnsi="宋体"/>
          <w:b/>
          <w:szCs w:val="21"/>
        </w:rPr>
      </w:pPr>
      <w:r>
        <w:rPr>
          <w:rFonts w:hint="eastAsia" w:ascii="宋体" w:hAnsi="宋体"/>
          <w:b/>
          <w:szCs w:val="21"/>
        </w:rPr>
        <w:t>第二册  通用条款</w:t>
      </w:r>
    </w:p>
    <w:p w14:paraId="4ED8144A">
      <w:pPr>
        <w:ind w:left="630" w:leftChars="300" w:firstLine="411" w:firstLineChars="196"/>
        <w:outlineLvl w:val="0"/>
        <w:rPr>
          <w:rFonts w:ascii="宋体" w:hAnsi="宋体"/>
          <w:szCs w:val="21"/>
        </w:rPr>
      </w:pPr>
      <w:r>
        <w:rPr>
          <w:rFonts w:hint="eastAsia" w:ascii="宋体" w:hAnsi="宋体"/>
          <w:szCs w:val="21"/>
        </w:rPr>
        <w:t>第一章  总则</w:t>
      </w:r>
    </w:p>
    <w:p w14:paraId="528F4B20">
      <w:pPr>
        <w:ind w:left="630" w:leftChars="300" w:firstLine="411" w:firstLineChars="196"/>
        <w:outlineLvl w:val="0"/>
        <w:rPr>
          <w:rFonts w:ascii="宋体" w:hAnsi="宋体"/>
          <w:szCs w:val="21"/>
        </w:rPr>
      </w:pPr>
      <w:r>
        <w:rPr>
          <w:rFonts w:hint="eastAsia" w:ascii="宋体" w:hAnsi="宋体"/>
          <w:szCs w:val="21"/>
        </w:rPr>
        <w:t>第二章  招标文件</w:t>
      </w:r>
    </w:p>
    <w:p w14:paraId="5E41E835">
      <w:pPr>
        <w:ind w:left="630" w:leftChars="300" w:firstLine="411" w:firstLineChars="196"/>
        <w:outlineLvl w:val="0"/>
        <w:rPr>
          <w:rFonts w:ascii="宋体" w:hAnsi="宋体"/>
          <w:szCs w:val="21"/>
        </w:rPr>
      </w:pPr>
      <w:r>
        <w:rPr>
          <w:rFonts w:hint="eastAsia" w:ascii="宋体" w:hAnsi="宋体"/>
          <w:szCs w:val="21"/>
        </w:rPr>
        <w:t>第三章  投标文件的编制</w:t>
      </w:r>
    </w:p>
    <w:p w14:paraId="21763470">
      <w:pPr>
        <w:ind w:left="630" w:leftChars="300" w:firstLine="411" w:firstLineChars="196"/>
        <w:outlineLvl w:val="0"/>
        <w:rPr>
          <w:rFonts w:ascii="宋体" w:hAnsi="宋体"/>
          <w:szCs w:val="21"/>
        </w:rPr>
      </w:pPr>
      <w:r>
        <w:rPr>
          <w:rFonts w:hint="eastAsia" w:ascii="宋体" w:hAnsi="宋体"/>
          <w:szCs w:val="21"/>
        </w:rPr>
        <w:t>第四章  投标文件的递交</w:t>
      </w:r>
    </w:p>
    <w:p w14:paraId="4EC677D7">
      <w:pPr>
        <w:ind w:left="630" w:leftChars="300" w:firstLine="411" w:firstLineChars="196"/>
        <w:outlineLvl w:val="0"/>
        <w:rPr>
          <w:rFonts w:ascii="宋体" w:hAnsi="宋体"/>
          <w:szCs w:val="21"/>
        </w:rPr>
      </w:pPr>
      <w:r>
        <w:rPr>
          <w:rFonts w:hint="eastAsia" w:ascii="宋体" w:hAnsi="宋体"/>
          <w:szCs w:val="21"/>
        </w:rPr>
        <w:t>第五章  开标</w:t>
      </w:r>
    </w:p>
    <w:p w14:paraId="2EF05410">
      <w:pPr>
        <w:ind w:left="630" w:leftChars="300" w:firstLine="411" w:firstLineChars="196"/>
        <w:outlineLvl w:val="0"/>
        <w:rPr>
          <w:rFonts w:ascii="宋体" w:hAnsi="宋体"/>
          <w:szCs w:val="21"/>
        </w:rPr>
      </w:pPr>
      <w:r>
        <w:rPr>
          <w:rFonts w:hint="eastAsia" w:ascii="宋体" w:hAnsi="宋体"/>
          <w:szCs w:val="21"/>
        </w:rPr>
        <w:t>第六章  评审要求</w:t>
      </w:r>
    </w:p>
    <w:p w14:paraId="54D5C54D">
      <w:pPr>
        <w:ind w:left="630" w:leftChars="300" w:firstLine="411" w:firstLineChars="196"/>
        <w:outlineLvl w:val="0"/>
        <w:rPr>
          <w:rFonts w:ascii="宋体" w:hAnsi="宋体"/>
          <w:szCs w:val="21"/>
        </w:rPr>
      </w:pPr>
      <w:r>
        <w:rPr>
          <w:rFonts w:hint="eastAsia" w:ascii="宋体" w:hAnsi="宋体"/>
          <w:szCs w:val="21"/>
        </w:rPr>
        <w:t>第七章  评审程序及评审方法</w:t>
      </w:r>
    </w:p>
    <w:p w14:paraId="27FEEC7F">
      <w:pPr>
        <w:ind w:left="630" w:leftChars="300" w:firstLine="411" w:firstLineChars="196"/>
        <w:outlineLvl w:val="0"/>
        <w:rPr>
          <w:rFonts w:ascii="宋体" w:hAnsi="宋体"/>
          <w:szCs w:val="21"/>
        </w:rPr>
      </w:pPr>
      <w:r>
        <w:rPr>
          <w:rFonts w:hint="eastAsia" w:ascii="宋体" w:hAnsi="宋体"/>
          <w:szCs w:val="21"/>
        </w:rPr>
        <w:t>第八章  定标及公示</w:t>
      </w:r>
    </w:p>
    <w:p w14:paraId="79C38F96">
      <w:pPr>
        <w:ind w:left="630" w:leftChars="300" w:firstLine="411" w:firstLineChars="196"/>
        <w:outlineLvl w:val="0"/>
        <w:rPr>
          <w:rFonts w:ascii="宋体" w:hAnsi="宋体"/>
          <w:szCs w:val="21"/>
        </w:rPr>
      </w:pPr>
      <w:r>
        <w:rPr>
          <w:rFonts w:hint="eastAsia" w:ascii="宋体" w:hAnsi="宋体"/>
          <w:szCs w:val="21"/>
        </w:rPr>
        <w:t>第九章  公开招标失败的后续处理</w:t>
      </w:r>
    </w:p>
    <w:p w14:paraId="5E686A52">
      <w:pPr>
        <w:ind w:left="630" w:leftChars="300" w:firstLine="411" w:firstLineChars="196"/>
        <w:outlineLvl w:val="0"/>
        <w:rPr>
          <w:rFonts w:ascii="宋体" w:hAnsi="宋体"/>
          <w:szCs w:val="21"/>
        </w:rPr>
      </w:pPr>
      <w:r>
        <w:rPr>
          <w:rFonts w:hint="eastAsia" w:ascii="宋体" w:hAnsi="宋体"/>
          <w:szCs w:val="21"/>
        </w:rPr>
        <w:t>第十章  合同的授予与备案</w:t>
      </w:r>
    </w:p>
    <w:p w14:paraId="66C3BD4E">
      <w:pPr>
        <w:ind w:left="630" w:leftChars="300" w:firstLine="411" w:firstLineChars="196"/>
        <w:outlineLvl w:val="0"/>
        <w:rPr>
          <w:rFonts w:ascii="宋体" w:hAnsi="宋体"/>
          <w:szCs w:val="21"/>
        </w:rPr>
      </w:pPr>
      <w:r>
        <w:rPr>
          <w:rFonts w:hint="eastAsia" w:ascii="宋体" w:hAnsi="宋体"/>
          <w:szCs w:val="21"/>
        </w:rPr>
        <w:t>第十一章  质疑处理</w:t>
      </w:r>
    </w:p>
    <w:p w14:paraId="7E423A4A">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DC32ABC">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534B3FE5">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08DF069E">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6F0D8761">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750F85FA">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6F93BDD4">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11E67185">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509DA666">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4B0581E7">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2D555582">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93"/>
    </w:p>
    <w:p w14:paraId="3DBE26DB">
      <w:pPr>
        <w:pStyle w:val="5"/>
        <w:numPr>
          <w:ilvl w:val="0"/>
          <w:numId w:val="11"/>
        </w:numPr>
        <w:spacing w:before="120" w:beforeLines="50" w:after="120" w:afterLines="50"/>
        <w:ind w:left="562" w:hanging="562"/>
        <w:rPr>
          <w:sz w:val="28"/>
          <w:szCs w:val="28"/>
        </w:rPr>
      </w:pPr>
      <w:r>
        <w:rPr>
          <w:rFonts w:hint="eastAsia"/>
          <w:sz w:val="28"/>
          <w:szCs w:val="28"/>
        </w:rPr>
        <w:t>投标文件的编制</w:t>
      </w:r>
    </w:p>
    <w:p w14:paraId="42E5761A">
      <w:pPr>
        <w:rPr>
          <w:rFonts w:ascii="黑体" w:hAnsi="宋体" w:eastAsia="黑体"/>
          <w:sz w:val="24"/>
        </w:rPr>
      </w:pPr>
      <w:r>
        <w:rPr>
          <w:rFonts w:hint="eastAsia" w:ascii="黑体" w:hAnsi="宋体" w:eastAsia="黑体"/>
          <w:sz w:val="24"/>
        </w:rPr>
        <w:t>14．</w:t>
      </w:r>
      <w:bookmarkStart w:id="94" w:name="_Hlk72400236"/>
      <w:r>
        <w:rPr>
          <w:rFonts w:hint="eastAsia" w:ascii="黑体" w:hAnsi="宋体" w:eastAsia="黑体"/>
          <w:sz w:val="24"/>
        </w:rPr>
        <w:t>投标文件的语言及度量单位</w:t>
      </w:r>
    </w:p>
    <w:p w14:paraId="77F0956A">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3A0F8C5">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94"/>
    <w:p w14:paraId="317481BF">
      <w:pPr>
        <w:rPr>
          <w:rFonts w:ascii="黑体" w:hAnsi="宋体" w:eastAsia="黑体"/>
          <w:sz w:val="24"/>
        </w:rPr>
      </w:pPr>
      <w:r>
        <w:rPr>
          <w:rFonts w:hint="eastAsia" w:ascii="黑体" w:hAnsi="宋体" w:eastAsia="黑体"/>
          <w:sz w:val="24"/>
        </w:rPr>
        <w:t>15．</w:t>
      </w:r>
      <w:bookmarkStart w:id="95" w:name="_Hlk72401567"/>
      <w:r>
        <w:rPr>
          <w:rFonts w:hint="eastAsia" w:ascii="黑体" w:hAnsi="宋体" w:eastAsia="黑体"/>
          <w:sz w:val="24"/>
        </w:rPr>
        <w:t>投标文件的组成</w:t>
      </w:r>
    </w:p>
    <w:p w14:paraId="5DA2509B">
      <w:pPr>
        <w:ind w:firstLine="411" w:firstLineChars="196"/>
        <w:rPr>
          <w:rFonts w:ascii="宋体" w:hAnsi="宋体"/>
          <w:szCs w:val="21"/>
        </w:rPr>
      </w:pPr>
      <w:r>
        <w:rPr>
          <w:rFonts w:hint="eastAsia" w:ascii="宋体" w:hAnsi="宋体"/>
          <w:szCs w:val="21"/>
        </w:rPr>
        <w:t>具体内容在招标文件专用条款中进行规定。</w:t>
      </w:r>
    </w:p>
    <w:p w14:paraId="36FB2A71">
      <w:pPr>
        <w:rPr>
          <w:rFonts w:ascii="黑体" w:hAnsi="宋体" w:eastAsia="黑体"/>
          <w:sz w:val="24"/>
        </w:rPr>
      </w:pPr>
      <w:r>
        <w:rPr>
          <w:rFonts w:ascii="黑体" w:hAnsi="宋体" w:eastAsia="黑体"/>
          <w:sz w:val="24"/>
        </w:rPr>
        <w:t>16．投标文件格式</w:t>
      </w:r>
    </w:p>
    <w:p w14:paraId="5C980C9D">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5028BB86">
      <w:pPr>
        <w:rPr>
          <w:rFonts w:ascii="黑体" w:hAnsi="宋体" w:eastAsia="黑体"/>
          <w:sz w:val="24"/>
        </w:rPr>
      </w:pPr>
      <w:r>
        <w:rPr>
          <w:rFonts w:hint="eastAsia" w:ascii="黑体" w:hAnsi="宋体" w:eastAsia="黑体"/>
          <w:sz w:val="24"/>
        </w:rPr>
        <w:t>17．投标货币</w:t>
      </w:r>
    </w:p>
    <w:p w14:paraId="45AEF160">
      <w:pPr>
        <w:ind w:firstLine="411" w:firstLineChars="196"/>
        <w:rPr>
          <w:rFonts w:ascii="宋体" w:hAnsi="宋体"/>
          <w:szCs w:val="21"/>
        </w:rPr>
      </w:pPr>
      <w:r>
        <w:rPr>
          <w:rFonts w:hint="eastAsia" w:ascii="宋体" w:hAnsi="宋体"/>
          <w:szCs w:val="21"/>
        </w:rPr>
        <w:t>本项目的投标报价应以人民币计。</w:t>
      </w:r>
    </w:p>
    <w:bookmarkEnd w:id="95"/>
    <w:p w14:paraId="636EC6B7">
      <w:pPr>
        <w:rPr>
          <w:rFonts w:ascii="黑体" w:hAnsi="宋体" w:eastAsia="黑体"/>
          <w:sz w:val="24"/>
        </w:rPr>
      </w:pPr>
      <w:r>
        <w:rPr>
          <w:rFonts w:hint="eastAsia" w:ascii="黑体" w:hAnsi="宋体" w:eastAsia="黑体"/>
          <w:sz w:val="24"/>
        </w:rPr>
        <w:t>18．</w:t>
      </w:r>
      <w:bookmarkStart w:id="96" w:name="_Hlk72401735"/>
      <w:r>
        <w:rPr>
          <w:rFonts w:hint="eastAsia" w:ascii="黑体" w:hAnsi="宋体" w:eastAsia="黑体"/>
          <w:sz w:val="24"/>
        </w:rPr>
        <w:t>证明投标文件投标技术方案的合格性和符合招标文件规定的文件要求</w:t>
      </w:r>
    </w:p>
    <w:p w14:paraId="2BCA4854">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0A457CEF">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6D69C11">
      <w:pPr>
        <w:ind w:firstLine="411" w:firstLineChars="196"/>
        <w:rPr>
          <w:rFonts w:ascii="宋体" w:hAnsi="宋体"/>
          <w:szCs w:val="21"/>
        </w:rPr>
      </w:pPr>
      <w:r>
        <w:rPr>
          <w:rFonts w:hint="eastAsia" w:ascii="宋体" w:hAnsi="宋体"/>
          <w:szCs w:val="21"/>
        </w:rPr>
        <w:t>18.2.1主要技术指标和性能的详细说明。</w:t>
      </w:r>
    </w:p>
    <w:p w14:paraId="122DF758">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投标产品从采购人开始使用至招标文件中规定的周期内正常、连续地使用所必需的备件和专用工具清单，包括备件和专用工具的货源及现行价格。</w:t>
      </w:r>
    </w:p>
    <w:p w14:paraId="0876A32B">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4A5E64F0">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22532D7F">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6C052099">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1BC08804">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442ED3CD">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96"/>
    <w:p w14:paraId="53802ADA">
      <w:pPr>
        <w:rPr>
          <w:rFonts w:ascii="黑体" w:hAnsi="宋体" w:eastAsia="黑体"/>
          <w:sz w:val="24"/>
        </w:rPr>
      </w:pPr>
      <w:r>
        <w:rPr>
          <w:rFonts w:hint="eastAsia" w:ascii="黑体" w:hAnsi="宋体" w:eastAsia="黑体"/>
          <w:sz w:val="24"/>
        </w:rPr>
        <w:t>19．</w:t>
      </w:r>
      <w:bookmarkStart w:id="97" w:name="_Hlk72402034"/>
      <w:r>
        <w:rPr>
          <w:rFonts w:hint="eastAsia" w:ascii="黑体" w:hAnsi="宋体" w:eastAsia="黑体"/>
          <w:sz w:val="24"/>
        </w:rPr>
        <w:t>投标文件其他证明文件的要求</w:t>
      </w:r>
    </w:p>
    <w:p w14:paraId="76F8BCB1">
      <w:pPr>
        <w:rPr>
          <w:rFonts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98" w:name="_Hlk71407299"/>
    </w:p>
    <w:bookmarkEnd w:id="98"/>
    <w:p w14:paraId="3F6BC7CA">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24DC6308">
      <w:pPr>
        <w:rPr>
          <w:rFonts w:ascii="黑体" w:hAnsi="宋体" w:eastAsia="黑体"/>
          <w:sz w:val="24"/>
        </w:rPr>
      </w:pPr>
      <w:r>
        <w:rPr>
          <w:rFonts w:hint="eastAsia" w:ascii="黑体" w:hAnsi="宋体" w:eastAsia="黑体"/>
          <w:sz w:val="24"/>
        </w:rPr>
        <w:t>20．投标有效期</w:t>
      </w:r>
    </w:p>
    <w:bookmarkEnd w:id="97"/>
    <w:p w14:paraId="35CFEACC">
      <w:pPr>
        <w:ind w:firstLine="411" w:firstLineChars="196"/>
        <w:rPr>
          <w:rFonts w:ascii="宋体" w:hAnsi="宋体"/>
          <w:szCs w:val="21"/>
        </w:rPr>
      </w:pPr>
      <w:bookmarkStart w:id="99"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046F5321">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3DD4C340">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99"/>
    <w:p w14:paraId="265332D0">
      <w:pPr>
        <w:rPr>
          <w:rFonts w:ascii="黑体" w:hAnsi="宋体" w:eastAsia="黑体"/>
          <w:sz w:val="24"/>
        </w:rPr>
      </w:pPr>
      <w:r>
        <w:rPr>
          <w:rFonts w:hint="eastAsia" w:ascii="黑体" w:hAnsi="宋体" w:eastAsia="黑体"/>
          <w:sz w:val="24"/>
        </w:rPr>
        <w:t>21．</w:t>
      </w:r>
      <w:bookmarkStart w:id="100" w:name="_Hlk72402325"/>
      <w:r>
        <w:rPr>
          <w:rFonts w:hint="eastAsia" w:ascii="黑体" w:hAnsi="宋体" w:eastAsia="黑体"/>
          <w:sz w:val="24"/>
        </w:rPr>
        <w:t xml:space="preserve">关于投标保证金 </w:t>
      </w:r>
    </w:p>
    <w:p w14:paraId="60D110C1">
      <w:pPr>
        <w:rPr>
          <w:rFonts w:ascii="宋体" w:hAnsi="宋体"/>
          <w:szCs w:val="21"/>
        </w:rPr>
      </w:pPr>
      <w:r>
        <w:rPr>
          <w:rFonts w:hint="eastAsia" w:ascii="宋体" w:hAnsi="宋体"/>
          <w:szCs w:val="21"/>
        </w:rPr>
        <w:t xml:space="preserve">    21.1 </w:t>
      </w:r>
      <w:r>
        <w:rPr>
          <w:rFonts w:hint="eastAsia"/>
        </w:rPr>
        <w:t>根据《</w:t>
      </w:r>
      <w:r>
        <w:t>深圳市财政局关于明确政府采购保证金管理工作的通知</w:t>
      </w:r>
      <w:r>
        <w:rPr>
          <w:rFonts w:hint="eastAsia"/>
        </w:rPr>
        <w:t>》（深财购[</w:t>
      </w:r>
      <w:r>
        <w:t>2019]42</w:t>
      </w:r>
      <w:r>
        <w:rPr>
          <w:rFonts w:hint="eastAsia"/>
        </w:rPr>
        <w:t>号）文的规定，本项目不收取投标保证金。</w:t>
      </w:r>
    </w:p>
    <w:p w14:paraId="4F7CA8FC">
      <w:pPr>
        <w:rPr>
          <w:rFonts w:ascii="黑体" w:hAnsi="宋体" w:eastAsia="黑体"/>
          <w:sz w:val="24"/>
        </w:rPr>
      </w:pPr>
      <w:r>
        <w:rPr>
          <w:rFonts w:hint="eastAsia" w:ascii="黑体" w:hAnsi="宋体" w:eastAsia="黑体"/>
          <w:sz w:val="24"/>
        </w:rPr>
        <w:t>22．投标人的替代方案</w:t>
      </w:r>
    </w:p>
    <w:p w14:paraId="7C6BA276">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48447DAE">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100"/>
    <w:p w14:paraId="06965CF2">
      <w:pPr>
        <w:rPr>
          <w:rFonts w:ascii="黑体" w:hAnsi="宋体" w:eastAsia="黑体"/>
          <w:sz w:val="24"/>
        </w:rPr>
      </w:pPr>
      <w:r>
        <w:rPr>
          <w:rFonts w:hint="eastAsia" w:ascii="黑体" w:hAnsi="宋体" w:eastAsia="黑体"/>
          <w:sz w:val="24"/>
        </w:rPr>
        <w:t>23．</w:t>
      </w:r>
      <w:bookmarkStart w:id="101"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5178767F">
      <w:pPr>
        <w:ind w:firstLine="411" w:firstLineChars="196"/>
        <w:rPr>
          <w:rFonts w:ascii="宋体" w:hAnsi="宋体"/>
        </w:rPr>
      </w:pPr>
      <w:r>
        <w:rPr>
          <w:rFonts w:hint="eastAsia" w:ascii="宋体" w:hAnsi="宋体"/>
        </w:rPr>
        <w:t>23.1投标人应准备所投项目的电子投标文件一份。此电子投标文件须由投标人根据政府集中采购机构提供的后缀名为.zbs的电子招标文件、《投标书编制软件》编制【要求下载安装《投标书编制软件》及其配套软件，使用电子密钥登录</w:t>
      </w:r>
      <w:r>
        <w:rPr>
          <w:rFonts w:hint="eastAsia" w:ascii="宋体" w:hAnsi="宋体"/>
          <w:szCs w:val="21"/>
        </w:rPr>
        <w:t>深圳交易集团有限公司政府采购业务分公司网站（</w:t>
      </w:r>
      <w:r>
        <w:rPr>
          <w:rFonts w:ascii="宋体" w:hAnsi="宋体"/>
          <w:szCs w:val="21"/>
        </w:rPr>
        <w:t>http://www.szggzy.com/</w:t>
      </w:r>
      <w:r>
        <w:rPr>
          <w:rFonts w:hint="eastAsia" w:ascii="宋体" w:hAnsi="宋体"/>
          <w:szCs w:val="21"/>
        </w:rPr>
        <w:t>），然后在右侧的“</w:t>
      </w:r>
      <w:r>
        <w:rPr>
          <w:rFonts w:hint="eastAsia"/>
        </w:rPr>
        <w:t>相关链接”栏目中</w:t>
      </w:r>
      <w:r>
        <w:rPr>
          <w:rFonts w:hint="eastAsia" w:ascii="宋体" w:hAnsi="宋体"/>
        </w:rPr>
        <w:t>下载。在安装此软件之前，须先安装</w:t>
      </w:r>
      <w:r>
        <w:rPr>
          <w:rFonts w:ascii="宋体" w:hAnsi="宋体"/>
        </w:rPr>
        <w:t>Adobe Reader 7.0</w:t>
      </w:r>
      <w:r>
        <w:rPr>
          <w:rFonts w:hint="eastAsia" w:ascii="宋体" w:hAnsi="宋体"/>
        </w:rPr>
        <w:t>以上版本】。</w:t>
      </w:r>
    </w:p>
    <w:p w14:paraId="1566C406">
      <w:pPr>
        <w:ind w:firstLine="411" w:firstLineChars="196"/>
        <w:rPr>
          <w:rFonts w:ascii="宋体" w:hAnsi="宋体"/>
        </w:rPr>
      </w:pPr>
      <w:r>
        <w:rPr>
          <w:rFonts w:hint="eastAsia" w:ascii="宋体" w:hAnsi="宋体"/>
        </w:rPr>
        <w:t>23.2投标人在使用《投标书编制软件》编制投标书时须注意：</w:t>
      </w:r>
    </w:p>
    <w:p w14:paraId="227AE483">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5F9D3042">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14:paraId="2C51366F">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14:paraId="42A20DBA">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5DF56465">
      <w:pPr>
        <w:ind w:firstLine="411" w:firstLineChars="196"/>
        <w:rPr>
          <w:rFonts w:ascii="宋体" w:hAnsi="宋体"/>
        </w:rPr>
      </w:pPr>
      <w:r>
        <w:rPr>
          <w:rFonts w:hint="eastAsia" w:ascii="宋体" w:hAnsi="宋体"/>
        </w:rPr>
        <w:t>23.2.5完整填写“投标关键信息”，如下图所示：</w:t>
      </w:r>
    </w:p>
    <w:p w14:paraId="2A197001">
      <w:pPr>
        <w:ind w:firstLine="411" w:firstLineChars="196"/>
        <w:rPr>
          <w:rFonts w:ascii="宋体" w:hAnsi="宋体"/>
        </w:rPr>
      </w:pPr>
      <w:r>
        <w:rPr>
          <w:rFonts w:hint="eastAsia" w:ascii="宋体" w:hAnsi="宋体"/>
        </w:rPr>
        <w:t>（1）货物类</w:t>
      </w:r>
    </w:p>
    <w:p w14:paraId="2CEA8CC3">
      <w:pPr>
        <w:ind w:firstLine="411" w:firstLineChars="196"/>
        <w:rPr>
          <w:rFonts w:ascii="宋体" w:hAnsi="宋体"/>
        </w:rPr>
      </w:pPr>
      <w:r>
        <w:rPr>
          <w:rFonts w:ascii="宋体" w:hAnsi="宋体"/>
        </w:rPr>
        <w:drawing>
          <wp:inline distT="0" distB="0" distL="0" distR="0">
            <wp:extent cx="5276215" cy="3524250"/>
            <wp:effectExtent l="19050" t="0" r="2" b="0"/>
            <wp:docPr id="1" name="图片 4" descr="C:\Users\weixun\Documents\Tencent Files\175277410\Image\C2C\Image1\T_D}XAT_OUE)6}FU%{YJ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weixun\Documents\Tencent Files\175277410\Image\C2C\Image1\T_D}XAT_OUE)6}FU%{YJA`W.jpg"/>
                    <pic:cNvPicPr>
                      <a:picLocks noChangeAspect="1" noChangeArrowheads="1"/>
                    </pic:cNvPicPr>
                  </pic:nvPicPr>
                  <pic:blipFill>
                    <a:blip r:embed="rId8" cstate="print"/>
                    <a:srcRect/>
                    <a:stretch>
                      <a:fillRect/>
                    </a:stretch>
                  </pic:blipFill>
                  <pic:spPr>
                    <a:xfrm>
                      <a:off x="0" y="0"/>
                      <a:ext cx="5278755" cy="3525523"/>
                    </a:xfrm>
                    <a:prstGeom prst="rect">
                      <a:avLst/>
                    </a:prstGeom>
                    <a:noFill/>
                    <a:ln w="9525">
                      <a:noFill/>
                      <a:miter lim="800000"/>
                      <a:headEnd/>
                      <a:tailEnd/>
                    </a:ln>
                  </pic:spPr>
                </pic:pic>
              </a:graphicData>
            </a:graphic>
          </wp:inline>
        </w:drawing>
      </w:r>
    </w:p>
    <w:p w14:paraId="3D26E9BC">
      <w:pPr>
        <w:ind w:firstLine="413" w:firstLineChars="196"/>
        <w:rPr>
          <w:rFonts w:ascii="宋体" w:hAnsi="宋体"/>
          <w:b/>
        </w:rPr>
      </w:pPr>
      <w:r>
        <w:rPr>
          <w:rFonts w:hint="eastAsia" w:ascii="宋体" w:hAnsi="宋体"/>
          <w:b/>
        </w:rPr>
        <w:t>备注：上述“开标一览表”中的“投标总价”将作为价格分计算依据；其它信息仅是对投标文件相关内容的概括性表述，不作为评审依据。</w:t>
      </w:r>
    </w:p>
    <w:p w14:paraId="18E1A36C">
      <w:pPr>
        <w:ind w:firstLine="413" w:firstLineChars="196"/>
        <w:rPr>
          <w:rFonts w:ascii="宋体" w:hAnsi="宋体"/>
          <w:b/>
        </w:rPr>
      </w:pPr>
    </w:p>
    <w:p w14:paraId="23471CB6">
      <w:pPr>
        <w:ind w:firstLine="411" w:firstLineChars="196"/>
        <w:rPr>
          <w:rFonts w:ascii="宋体" w:hAnsi="宋体"/>
        </w:rPr>
      </w:pPr>
    </w:p>
    <w:p w14:paraId="7A25279D">
      <w:pPr>
        <w:rPr>
          <w:rFonts w:ascii="宋体" w:hAnsi="宋体"/>
        </w:rPr>
      </w:pPr>
    </w:p>
    <w:p w14:paraId="7E6DA665">
      <w:pPr>
        <w:ind w:firstLine="411" w:firstLineChars="196"/>
        <w:rPr>
          <w:rFonts w:ascii="宋体" w:hAnsi="宋体"/>
        </w:rPr>
      </w:pPr>
      <w:r>
        <w:rPr>
          <w:rFonts w:hint="eastAsia" w:ascii="宋体" w:hAnsi="宋体"/>
        </w:rPr>
        <w:t>（2）服务类</w:t>
      </w:r>
    </w:p>
    <w:p w14:paraId="4F957457">
      <w:pPr>
        <w:widowControl/>
        <w:jc w:val="left"/>
        <w:rPr>
          <w:rFonts w:ascii="宋体" w:hAnsi="宋体" w:cs="宋体"/>
          <w:kern w:val="0"/>
          <w:sz w:val="24"/>
        </w:rPr>
      </w:pPr>
      <w:r>
        <w:rPr>
          <w:rFonts w:ascii="宋体" w:hAnsi="宋体" w:cs="宋体"/>
          <w:kern w:val="0"/>
          <w:sz w:val="24"/>
        </w:rPr>
        <w:drawing>
          <wp:inline distT="0" distB="0" distL="0" distR="0">
            <wp:extent cx="5273675" cy="3667125"/>
            <wp:effectExtent l="19050" t="0" r="2966"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9" cstate="print"/>
                    <a:srcRect/>
                    <a:stretch>
                      <a:fillRect/>
                    </a:stretch>
                  </pic:blipFill>
                  <pic:spPr>
                    <a:xfrm>
                      <a:off x="0" y="0"/>
                      <a:ext cx="5278754" cy="3670511"/>
                    </a:xfrm>
                    <a:prstGeom prst="rect">
                      <a:avLst/>
                    </a:prstGeom>
                    <a:noFill/>
                    <a:ln w="9525">
                      <a:noFill/>
                      <a:miter lim="800000"/>
                      <a:headEnd/>
                      <a:tailEnd/>
                    </a:ln>
                  </pic:spPr>
                </pic:pic>
              </a:graphicData>
            </a:graphic>
          </wp:inline>
        </w:drawing>
      </w:r>
    </w:p>
    <w:p w14:paraId="339D0CFE">
      <w:pPr>
        <w:ind w:firstLine="413" w:firstLineChars="196"/>
        <w:rPr>
          <w:rFonts w:ascii="宋体" w:hAnsi="宋体"/>
          <w:b/>
        </w:rPr>
      </w:pPr>
      <w:r>
        <w:rPr>
          <w:rFonts w:hint="eastAsia" w:ascii="宋体" w:hAnsi="宋体"/>
          <w:b/>
        </w:rPr>
        <w:t>备注：上述“开标一览表”中的“投标总价”将作为价格分计算依据；其它信息仅是对投标文件相关内容的概括性表述，不作为评审依据。</w:t>
      </w:r>
    </w:p>
    <w:p w14:paraId="2B082884">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73072B4A">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必须用属于投标人的电子密钥进行加密，否则视同未盖公章，将导致投标文件无效。</w:t>
      </w:r>
    </w:p>
    <w:p w14:paraId="75149FD4">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3344823A">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6644A86F">
      <w:pPr>
        <w:ind w:firstLine="411" w:firstLineChars="196"/>
        <w:rPr>
          <w:rFonts w:ascii="宋体" w:hAnsi="宋体"/>
        </w:rPr>
      </w:pPr>
      <w:r>
        <w:rPr>
          <w:rFonts w:hint="eastAsia" w:ascii="宋体" w:hAnsi="宋体"/>
        </w:rPr>
        <w:t>23.3电报、电话、传真形式的投标概不接受。</w:t>
      </w:r>
    </w:p>
    <w:p w14:paraId="72FEA175">
      <w:pPr>
        <w:ind w:firstLine="413" w:firstLineChars="196"/>
        <w:rPr>
          <w:rFonts w:ascii="宋体" w:hAnsi="宋体"/>
          <w:b/>
        </w:rPr>
      </w:pPr>
      <w:r>
        <w:rPr>
          <w:rFonts w:hint="eastAsia" w:ascii="宋体" w:hAnsi="宋体"/>
          <w:b/>
        </w:rPr>
        <w:t>23.4经投标人电子密钥加密的投标文件无须盖章或签字，</w:t>
      </w:r>
      <w:r>
        <w:rPr>
          <w:rFonts w:hint="eastAsia" w:ascii="宋体" w:hAnsi="宋体"/>
        </w:rPr>
        <w:t>专用条款另有要求的除外。</w:t>
      </w:r>
    </w:p>
    <w:p w14:paraId="2D84FE5D">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101"/>
    </w:p>
    <w:p w14:paraId="621F0F2C">
      <w:pPr>
        <w:pStyle w:val="5"/>
        <w:numPr>
          <w:ilvl w:val="0"/>
          <w:numId w:val="11"/>
        </w:numPr>
        <w:spacing w:before="120" w:beforeLines="50" w:after="120" w:afterLines="50"/>
        <w:ind w:left="562" w:hanging="562"/>
        <w:rPr>
          <w:sz w:val="28"/>
          <w:szCs w:val="28"/>
        </w:rPr>
      </w:pPr>
      <w:r>
        <w:rPr>
          <w:rFonts w:hint="eastAsia"/>
          <w:sz w:val="28"/>
          <w:szCs w:val="28"/>
        </w:rPr>
        <w:t>投标文件的递交</w:t>
      </w:r>
    </w:p>
    <w:p w14:paraId="5C95FF92">
      <w:pPr>
        <w:rPr>
          <w:rFonts w:ascii="黑体" w:hAnsi="宋体" w:eastAsia="黑体"/>
          <w:sz w:val="24"/>
        </w:rPr>
      </w:pPr>
      <w:bookmarkStart w:id="102" w:name="_Hlk72405459"/>
      <w:r>
        <w:rPr>
          <w:rFonts w:hint="eastAsia" w:ascii="黑体" w:hAnsi="宋体" w:eastAsia="黑体"/>
          <w:sz w:val="24"/>
        </w:rPr>
        <w:t>24．投标文件的保密</w:t>
      </w:r>
    </w:p>
    <w:p w14:paraId="017A7629">
      <w:pPr>
        <w:ind w:firstLine="411" w:firstLineChars="196"/>
        <w:rPr>
          <w:rFonts w:ascii="宋体" w:hAnsi="宋体"/>
        </w:rPr>
      </w:pPr>
      <w:r>
        <w:rPr>
          <w:rFonts w:hint="eastAsia" w:ascii="宋体" w:hAnsi="宋体"/>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14:paraId="5213A882">
      <w:pPr>
        <w:widowControl/>
        <w:jc w:val="left"/>
        <w:rPr>
          <w:rFonts w:ascii="宋体" w:hAnsi="宋体" w:cs="宋体"/>
          <w:kern w:val="0"/>
          <w:sz w:val="24"/>
        </w:rPr>
      </w:pPr>
      <w:r>
        <w:rPr>
          <w:rFonts w:ascii="宋体" w:hAnsi="宋体" w:cs="宋体"/>
          <w:kern w:val="0"/>
          <w:sz w:val="24"/>
        </w:rPr>
        <w:drawing>
          <wp:inline distT="0" distB="0" distL="0" distR="0">
            <wp:extent cx="4991100" cy="3933825"/>
            <wp:effectExtent l="19050" t="0" r="0" b="0"/>
            <wp:docPr id="4" name="图片 1" descr="C:\Users\weixun\AppData\Local\Temp\WeChat Files\0f46208c35b849896d64636a0e3b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weixun\AppData\Local\Temp\WeChat Files\0f46208c35b849896d64636a0e3bb87.jpg"/>
                    <pic:cNvPicPr>
                      <a:picLocks noChangeAspect="1" noChangeArrowheads="1"/>
                    </pic:cNvPicPr>
                  </pic:nvPicPr>
                  <pic:blipFill>
                    <a:blip r:embed="rId10" cstate="print"/>
                    <a:srcRect/>
                    <a:stretch>
                      <a:fillRect/>
                    </a:stretch>
                  </pic:blipFill>
                  <pic:spPr>
                    <a:xfrm>
                      <a:off x="0" y="0"/>
                      <a:ext cx="4991100" cy="3933825"/>
                    </a:xfrm>
                    <a:prstGeom prst="rect">
                      <a:avLst/>
                    </a:prstGeom>
                    <a:noFill/>
                    <a:ln w="9525">
                      <a:noFill/>
                      <a:miter lim="800000"/>
                      <a:headEnd/>
                      <a:tailEnd/>
                    </a:ln>
                  </pic:spPr>
                </pic:pic>
              </a:graphicData>
            </a:graphic>
          </wp:inline>
        </w:drawing>
      </w:r>
    </w:p>
    <w:p w14:paraId="5734641C">
      <w:pPr>
        <w:rPr>
          <w:sz w:val="24"/>
        </w:rPr>
      </w:pPr>
    </w:p>
    <w:p w14:paraId="0FF16629">
      <w:pPr>
        <w:rPr>
          <w:sz w:val="24"/>
        </w:rPr>
      </w:pPr>
      <w:r>
        <w:rPr>
          <w:sz w:val="24"/>
        </w:rPr>
        <w:drawing>
          <wp:inline distT="0" distB="0" distL="0" distR="0">
            <wp:extent cx="4495800" cy="2171700"/>
            <wp:effectExtent l="19050" t="0" r="0" b="0"/>
            <wp:docPr id="5" name="图片 2" descr="C:\Users\weixun\AppData\Local\Temp\WeChat Files\17bf5d9a0536cc3e4cdd2781a40dd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weixun\AppData\Local\Temp\WeChat Files\17bf5d9a0536cc3e4cdd2781a40dd7f.jpg"/>
                    <pic:cNvPicPr>
                      <a:picLocks noChangeAspect="1" noChangeArrowheads="1"/>
                    </pic:cNvPicPr>
                  </pic:nvPicPr>
                  <pic:blipFill>
                    <a:blip r:embed="rId11" cstate="print"/>
                    <a:srcRect/>
                    <a:stretch>
                      <a:fillRect/>
                    </a:stretch>
                  </pic:blipFill>
                  <pic:spPr>
                    <a:xfrm>
                      <a:off x="0" y="0"/>
                      <a:ext cx="4495800" cy="2171700"/>
                    </a:xfrm>
                    <a:prstGeom prst="rect">
                      <a:avLst/>
                    </a:prstGeom>
                    <a:noFill/>
                    <a:ln w="9525">
                      <a:noFill/>
                      <a:miter lim="800000"/>
                      <a:headEnd/>
                      <a:tailEnd/>
                    </a:ln>
                  </pic:spPr>
                </pic:pic>
              </a:graphicData>
            </a:graphic>
          </wp:inline>
        </w:drawing>
      </w:r>
    </w:p>
    <w:p w14:paraId="3AE8DA28">
      <w:pPr>
        <w:rPr>
          <w:rFonts w:ascii="宋体" w:hAnsi="宋体"/>
          <w:b/>
        </w:rPr>
      </w:pPr>
      <w:r>
        <w:rPr>
          <w:rFonts w:hint="eastAsia" w:ascii="宋体" w:hAnsi="宋体"/>
          <w:b/>
        </w:rPr>
        <w:t xml:space="preserve"> 24.2若采购项目出现延期情况：</w:t>
      </w:r>
    </w:p>
    <w:p w14:paraId="12061144">
      <w:pPr>
        <w:ind w:firstLine="422" w:firstLineChars="200"/>
        <w:rPr>
          <w:rFonts w:ascii="黑体" w:hAnsi="宋体" w:eastAsia="黑体"/>
          <w:b/>
          <w:sz w:val="24"/>
        </w:rPr>
      </w:pPr>
      <w:r>
        <w:rPr>
          <w:rFonts w:hint="eastAsia" w:ascii="宋体" w:hAnsi="宋体"/>
          <w:b/>
        </w:rPr>
        <w:t>如果供下载的招标文件（后缀名为.ZBS）有更新，投标人必须重新下载招标文件、重新制作投标文件、重新加密投标文件、重新上传投标文件；如果供下载的招标文件（后缀名为.ZBS）没有更新，投标人必须重新加密投标文件、重新上传投标文件（是否重新制作投标文件根据项目实际情况定）。否则，投标人自行承担投标文件无法解密导致投标无效的后果。</w:t>
      </w:r>
    </w:p>
    <w:p w14:paraId="0DD1244A">
      <w:pPr>
        <w:rPr>
          <w:rFonts w:ascii="黑体" w:hAnsi="宋体" w:eastAsia="黑体"/>
          <w:sz w:val="24"/>
        </w:rPr>
      </w:pPr>
      <w:r>
        <w:rPr>
          <w:rFonts w:hint="eastAsia" w:ascii="黑体" w:hAnsi="宋体" w:eastAsia="黑体"/>
          <w:sz w:val="24"/>
        </w:rPr>
        <w:t>25．上传投标文件及投标截止日期</w:t>
      </w:r>
    </w:p>
    <w:p w14:paraId="2B69E268">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w:t>
      </w:r>
      <w:r>
        <w:rPr>
          <w:rFonts w:hint="eastAsia" w:ascii="宋体" w:hAnsi="宋体"/>
          <w:b/>
          <w:bCs/>
          <w:szCs w:val="21"/>
        </w:rPr>
        <w:t>深圳公共资源交易中心（深圳交易集团有限公司政府采购业务分公司）</w:t>
      </w:r>
      <w:r>
        <w:rPr>
          <w:rFonts w:hint="eastAsia" w:ascii="宋体" w:hAnsi="宋体"/>
        </w:rPr>
        <w:t>网站”</w:t>
      </w:r>
      <w:r>
        <w:rPr>
          <w:rFonts w:hint="eastAsia" w:ascii="宋体" w:hAnsi="宋体"/>
          <w:b/>
          <w:bCs/>
          <w:szCs w:val="21"/>
        </w:rPr>
        <w:t>（</w:t>
      </w:r>
      <w:r>
        <w:rPr>
          <w:rFonts w:ascii="宋体" w:hAnsi="宋体"/>
          <w:b/>
          <w:bCs/>
          <w:szCs w:val="21"/>
        </w:rPr>
        <w:t>http://www.szggzy.com/</w:t>
      </w:r>
      <w:r>
        <w:rPr>
          <w:rFonts w:hint="eastAsia" w:ascii="宋体" w:hAnsi="宋体"/>
          <w:b/>
          <w:bCs/>
          <w:szCs w:val="21"/>
        </w:rPr>
        <w:t>）</w:t>
      </w:r>
      <w:r>
        <w:rPr>
          <w:rFonts w:hint="eastAsia" w:ascii="宋体" w:hAnsi="宋体"/>
        </w:rPr>
        <w:t>，使用“应标管理”</w:t>
      </w:r>
      <w:r>
        <w:rPr>
          <w:rFonts w:ascii="宋体" w:hAnsi="宋体"/>
        </w:rPr>
        <w:t>—</w:t>
      </w:r>
      <w:r>
        <w:rPr>
          <w:rFonts w:hint="eastAsia" w:ascii="宋体" w:hAnsi="宋体"/>
        </w:rPr>
        <w:t>》“上传投标文件”功能点上传投标文件。如果没有该功能点，请用本公司的机构管理员在 “系统维护”</w:t>
      </w:r>
      <w:r>
        <w:rPr>
          <w:rFonts w:ascii="宋体" w:hAnsi="宋体"/>
        </w:rPr>
        <w:t>—</w:t>
      </w:r>
      <w:r>
        <w:rPr>
          <w:rFonts w:hint="eastAsia" w:ascii="宋体" w:hAnsi="宋体"/>
        </w:rPr>
        <w:t>》“修改用户权限”中增加该功能点，如果增加不成功，请在工作日与政府集中采购机构联系。如果确有困难，多次上传均告失败，请在投标截止时间之前携带加密后的电子投标文件送达至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深圳公共资源交易中心（深圳交易集团有限公司政府采购业务分公司）3楼304室（地址：深圳市福田区景田路70号雅枫国际酒店北侧交易集团评审区三楼），联系方式：83948100，83938584，83938599。</w:t>
      </w:r>
    </w:p>
    <w:p w14:paraId="181F7A1D">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0A9C6535">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bookmarkEnd w:id="102"/>
    <w:p w14:paraId="2CE35E59">
      <w:pPr>
        <w:rPr>
          <w:rFonts w:ascii="黑体" w:hAnsi="宋体" w:eastAsia="黑体"/>
          <w:sz w:val="24"/>
        </w:rPr>
      </w:pPr>
      <w:r>
        <w:rPr>
          <w:rFonts w:hint="eastAsia" w:ascii="黑体" w:hAnsi="宋体" w:eastAsia="黑体"/>
          <w:sz w:val="24"/>
        </w:rPr>
        <w:t>26. 样品、现场演示、方案讲解</w:t>
      </w:r>
    </w:p>
    <w:p w14:paraId="29A749BC">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14:paraId="11C47D21">
      <w:pPr>
        <w:rPr>
          <w:rFonts w:ascii="黑体" w:hAnsi="宋体" w:eastAsia="黑体"/>
          <w:sz w:val="24"/>
        </w:rPr>
      </w:pPr>
      <w:bookmarkStart w:id="103"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3A010792">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548C48CD">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24D1B55E">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1C27A946">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103"/>
    <w:p w14:paraId="389598E7">
      <w:pPr>
        <w:pStyle w:val="5"/>
        <w:numPr>
          <w:ilvl w:val="0"/>
          <w:numId w:val="11"/>
        </w:numPr>
        <w:spacing w:before="120" w:beforeLines="50" w:after="120" w:afterLines="50"/>
        <w:ind w:left="562" w:hanging="562"/>
        <w:rPr>
          <w:sz w:val="28"/>
          <w:szCs w:val="28"/>
        </w:rPr>
      </w:pPr>
      <w:r>
        <w:rPr>
          <w:rFonts w:hint="eastAsia"/>
          <w:sz w:val="28"/>
          <w:szCs w:val="28"/>
        </w:rPr>
        <w:t>开标</w:t>
      </w:r>
    </w:p>
    <w:p w14:paraId="5E17B1C7">
      <w:pPr>
        <w:rPr>
          <w:rFonts w:ascii="黑体" w:hAnsi="宋体" w:eastAsia="黑体"/>
          <w:sz w:val="24"/>
        </w:rPr>
      </w:pPr>
      <w:r>
        <w:rPr>
          <w:rFonts w:hint="eastAsia" w:ascii="黑体" w:hAnsi="宋体" w:eastAsia="黑体"/>
          <w:sz w:val="24"/>
        </w:rPr>
        <w:t>28．开标</w:t>
      </w:r>
    </w:p>
    <w:p w14:paraId="4E0C13A8">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1政府集中采购机构将在投标截止时间后，对投标文件进行解密，开标，并在网上公布开标结果。</w:t>
      </w:r>
    </w:p>
    <w:p w14:paraId="405AF13E">
      <w:pPr>
        <w:ind w:firstLine="315" w:firstLineChars="150"/>
        <w:rPr>
          <w:rFonts w:ascii="宋体" w:hAnsi="宋体"/>
          <w:szCs w:val="21"/>
        </w:rPr>
      </w:pPr>
      <w:r>
        <w:rPr>
          <w:rFonts w:hint="eastAsia" w:ascii="宋体" w:hAnsi="宋体"/>
          <w:szCs w:val="21"/>
        </w:rPr>
        <w:t>28.2 网上投标的，当政府集中采购机构开标后，投标人即可登录“</w:t>
      </w:r>
      <w:r>
        <w:rPr>
          <w:rFonts w:hint="eastAsia" w:ascii="宋体" w:hAnsi="宋体"/>
          <w:b/>
          <w:bCs/>
          <w:color w:val="FF0000"/>
          <w:szCs w:val="21"/>
        </w:rPr>
        <w:t>深圳公共资源交易中心（深圳交易集团有限公司政府采购业务分公司）网站</w:t>
      </w:r>
      <w:r>
        <w:rPr>
          <w:rFonts w:hint="eastAsia" w:ascii="宋体" w:hAnsi="宋体"/>
          <w:szCs w:val="21"/>
        </w:rPr>
        <w:t>”，使用“应标管理</w:t>
      </w:r>
      <w:r>
        <w:rPr>
          <w:rFonts w:ascii="宋体" w:hAnsi="宋体"/>
          <w:szCs w:val="21"/>
        </w:rPr>
        <w:sym w:font="Wingdings" w:char="F0E0"/>
      </w:r>
      <w:r>
        <w:rPr>
          <w:rFonts w:hint="eastAsia" w:ascii="宋体" w:hAnsi="宋体"/>
          <w:szCs w:val="21"/>
        </w:rPr>
        <w:t>浏览开标一览表</w:t>
      </w:r>
      <w:r>
        <w:rPr>
          <w:rFonts w:ascii="宋体" w:hAnsi="宋体"/>
          <w:szCs w:val="21"/>
        </w:rPr>
        <w:t>”</w:t>
      </w:r>
      <w:r>
        <w:rPr>
          <w:rFonts w:hint="eastAsia" w:ascii="宋体" w:hAnsi="宋体"/>
          <w:szCs w:val="21"/>
        </w:rPr>
        <w:t>功能点查看开标一览表。</w:t>
      </w:r>
    </w:p>
    <w:p w14:paraId="7BE5AFDC">
      <w:pPr>
        <w:pStyle w:val="5"/>
        <w:numPr>
          <w:ilvl w:val="0"/>
          <w:numId w:val="11"/>
        </w:numPr>
        <w:spacing w:before="120" w:beforeLines="50" w:after="120" w:afterLines="50"/>
        <w:ind w:left="562" w:hanging="562"/>
        <w:rPr>
          <w:sz w:val="28"/>
          <w:szCs w:val="28"/>
        </w:rPr>
      </w:pPr>
      <w:r>
        <w:rPr>
          <w:rFonts w:hint="eastAsia"/>
          <w:sz w:val="28"/>
          <w:szCs w:val="28"/>
        </w:rPr>
        <w:t>评审要求</w:t>
      </w:r>
    </w:p>
    <w:p w14:paraId="3598910B">
      <w:pPr>
        <w:rPr>
          <w:rFonts w:ascii="黑体" w:hAnsi="宋体" w:eastAsia="黑体"/>
          <w:sz w:val="24"/>
        </w:rPr>
      </w:pPr>
      <w:r>
        <w:rPr>
          <w:rFonts w:hint="eastAsia" w:ascii="黑体" w:hAnsi="宋体" w:eastAsia="黑体"/>
          <w:sz w:val="24"/>
        </w:rPr>
        <w:t>29．评审委员会组成</w:t>
      </w:r>
    </w:p>
    <w:p w14:paraId="3901323B">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7DF0D619">
      <w:pPr>
        <w:ind w:firstLine="411" w:firstLineChars="196"/>
        <w:rPr>
          <w:rFonts w:ascii="宋体" w:hAnsi="宋体"/>
        </w:rPr>
      </w:pPr>
      <w:bookmarkStart w:id="104"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104"/>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1B528707">
      <w:pPr>
        <w:ind w:firstLine="411" w:firstLineChars="196"/>
        <w:rPr>
          <w:rFonts w:ascii="宋体" w:hAnsi="宋体"/>
        </w:rPr>
      </w:pPr>
      <w:r>
        <w:rPr>
          <w:rFonts w:hint="eastAsia" w:ascii="宋体" w:hAnsi="宋体"/>
        </w:rPr>
        <w:t>29.2评审定标应当遵循公平、公正、科学、择优的原则。</w:t>
      </w:r>
    </w:p>
    <w:p w14:paraId="4812DA74">
      <w:pPr>
        <w:ind w:firstLine="411" w:firstLineChars="196"/>
        <w:rPr>
          <w:rFonts w:ascii="宋体" w:hAnsi="宋体"/>
        </w:rPr>
      </w:pPr>
      <w:r>
        <w:rPr>
          <w:rFonts w:hint="eastAsia" w:ascii="宋体" w:hAnsi="宋体"/>
        </w:rPr>
        <w:t>29.3评审活动依法进行，任何单位和个人不得非法干预评标过程和结果。</w:t>
      </w:r>
    </w:p>
    <w:p w14:paraId="165375DA">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14:paraId="1ADCDA47">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25AEA478">
      <w:pPr>
        <w:rPr>
          <w:rFonts w:ascii="黑体" w:hAnsi="宋体" w:eastAsia="黑体"/>
          <w:sz w:val="24"/>
        </w:rPr>
      </w:pPr>
      <w:r>
        <w:rPr>
          <w:rFonts w:hint="eastAsia" w:ascii="黑体" w:hAnsi="宋体" w:eastAsia="黑体"/>
          <w:sz w:val="24"/>
        </w:rPr>
        <w:t>30．向评审委员会提供的资料</w:t>
      </w:r>
    </w:p>
    <w:p w14:paraId="37E85ECB">
      <w:pPr>
        <w:ind w:firstLine="411" w:firstLineChars="196"/>
        <w:rPr>
          <w:rFonts w:ascii="宋体" w:hAnsi="宋体"/>
        </w:rPr>
      </w:pPr>
      <w:r>
        <w:rPr>
          <w:rFonts w:hint="eastAsia" w:ascii="宋体" w:hAnsi="宋体"/>
        </w:rPr>
        <w:t>30.1公开发布的招标文件，包括图纸、服务清单、答疑文件等；</w:t>
      </w:r>
    </w:p>
    <w:p w14:paraId="68896B5C">
      <w:pPr>
        <w:ind w:firstLine="411" w:firstLineChars="196"/>
        <w:rPr>
          <w:rFonts w:ascii="宋体" w:hAnsi="宋体"/>
        </w:rPr>
      </w:pPr>
      <w:r>
        <w:rPr>
          <w:rFonts w:hint="eastAsia" w:ascii="宋体" w:hAnsi="宋体"/>
        </w:rPr>
        <w:t>30.2其他评标必须的资料。</w:t>
      </w:r>
    </w:p>
    <w:p w14:paraId="7AE88B8C">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463E85FA">
      <w:pPr>
        <w:ind w:firstLine="411" w:firstLineChars="196"/>
        <w:rPr>
          <w:rFonts w:ascii="宋体" w:hAnsi="宋体"/>
        </w:rPr>
      </w:pPr>
      <w:r>
        <w:rPr>
          <w:rFonts w:hint="eastAsia" w:ascii="宋体" w:hAnsi="宋体"/>
        </w:rPr>
        <w:t>（1）招标的目的；</w:t>
      </w:r>
    </w:p>
    <w:p w14:paraId="67A69512">
      <w:pPr>
        <w:ind w:firstLine="411" w:firstLineChars="196"/>
        <w:rPr>
          <w:rFonts w:ascii="宋体" w:hAnsi="宋体"/>
        </w:rPr>
      </w:pPr>
      <w:r>
        <w:rPr>
          <w:rFonts w:hint="eastAsia" w:ascii="宋体" w:hAnsi="宋体"/>
        </w:rPr>
        <w:t>（2）招标项目需求的范围和性质；</w:t>
      </w:r>
    </w:p>
    <w:p w14:paraId="7CB1B7CA">
      <w:pPr>
        <w:ind w:firstLine="411" w:firstLineChars="196"/>
        <w:rPr>
          <w:rFonts w:ascii="宋体" w:hAnsi="宋体"/>
        </w:rPr>
      </w:pPr>
      <w:r>
        <w:rPr>
          <w:rFonts w:hint="eastAsia" w:ascii="宋体" w:hAnsi="宋体"/>
        </w:rPr>
        <w:t>（3）招标文件规定的投标人的资格、财政预算限额、商务条款；</w:t>
      </w:r>
    </w:p>
    <w:p w14:paraId="48E4C1EF">
      <w:pPr>
        <w:ind w:firstLine="411" w:firstLineChars="196"/>
        <w:rPr>
          <w:rFonts w:ascii="宋体" w:hAnsi="宋体"/>
        </w:rPr>
      </w:pPr>
      <w:r>
        <w:rPr>
          <w:rFonts w:hint="eastAsia" w:ascii="宋体" w:hAnsi="宋体"/>
        </w:rPr>
        <w:t>（4）招标文件规定的评标程序、评标方法和评标因素；</w:t>
      </w:r>
    </w:p>
    <w:p w14:paraId="0AF0C9EA">
      <w:pPr>
        <w:ind w:firstLine="411" w:firstLineChars="196"/>
        <w:rPr>
          <w:rFonts w:ascii="宋体" w:hAnsi="宋体"/>
        </w:rPr>
      </w:pPr>
      <w:r>
        <w:rPr>
          <w:rFonts w:hint="eastAsia" w:ascii="宋体" w:hAnsi="宋体"/>
        </w:rPr>
        <w:t>（5）招标文件所列示的资格性审查表及符合性审查表。</w:t>
      </w:r>
    </w:p>
    <w:p w14:paraId="527ED28D">
      <w:pPr>
        <w:rPr>
          <w:rFonts w:ascii="黑体" w:hAnsi="宋体" w:eastAsia="黑体"/>
          <w:sz w:val="24"/>
        </w:rPr>
      </w:pPr>
      <w:r>
        <w:rPr>
          <w:rFonts w:hint="eastAsia" w:ascii="黑体" w:hAnsi="宋体" w:eastAsia="黑体"/>
          <w:sz w:val="24"/>
        </w:rPr>
        <w:t>31．独立评审</w:t>
      </w:r>
    </w:p>
    <w:p w14:paraId="66603C11">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14ED5802">
      <w:pPr>
        <w:pStyle w:val="5"/>
        <w:numPr>
          <w:ilvl w:val="0"/>
          <w:numId w:val="11"/>
        </w:numPr>
        <w:spacing w:before="120" w:beforeLines="50" w:after="120" w:afterLines="50"/>
        <w:ind w:left="562" w:hanging="562"/>
        <w:rPr>
          <w:sz w:val="28"/>
          <w:szCs w:val="28"/>
        </w:rPr>
      </w:pPr>
      <w:r>
        <w:rPr>
          <w:rFonts w:hint="eastAsia"/>
          <w:sz w:val="28"/>
          <w:szCs w:val="28"/>
        </w:rPr>
        <w:t>评审程序及评审方法</w:t>
      </w:r>
    </w:p>
    <w:p w14:paraId="7055F38E">
      <w:pPr>
        <w:rPr>
          <w:rFonts w:ascii="黑体" w:hAnsi="宋体" w:eastAsia="黑体"/>
          <w:sz w:val="24"/>
        </w:rPr>
      </w:pPr>
      <w:r>
        <w:rPr>
          <w:rFonts w:hint="eastAsia" w:ascii="黑体" w:hAnsi="宋体" w:eastAsia="黑体"/>
          <w:sz w:val="24"/>
        </w:rPr>
        <w:t>32．投标文件初审</w:t>
      </w:r>
    </w:p>
    <w:p w14:paraId="2C6D7C95">
      <w:pPr>
        <w:ind w:firstLine="411" w:firstLineChars="196"/>
        <w:rPr>
          <w:rFonts w:ascii="宋体" w:hAnsi="宋体"/>
        </w:rPr>
      </w:pPr>
      <w:r>
        <w:rPr>
          <w:rFonts w:hint="eastAsia" w:ascii="宋体" w:hAnsi="宋体"/>
        </w:rPr>
        <w:t>32.1投标文件初审包括资格性审查和符合性审查。</w:t>
      </w:r>
    </w:p>
    <w:p w14:paraId="7F512C7A">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14:paraId="6824480B">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52ECB46C">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14:paraId="5DD278B0">
      <w:pPr>
        <w:ind w:firstLine="411" w:firstLineChars="196"/>
        <w:rPr>
          <w:rFonts w:ascii="宋体" w:hAnsi="宋体"/>
          <w:bCs/>
        </w:rPr>
      </w:pPr>
      <w:r>
        <w:rPr>
          <w:rFonts w:hint="eastAsia" w:ascii="宋体" w:hAnsi="宋体"/>
          <w:bCs/>
        </w:rPr>
        <w:t>32.3 投标文件初审中关于供应商家数的计算:</w:t>
      </w:r>
    </w:p>
    <w:p w14:paraId="6E6CCF87">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5F6254D8">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5A5DC466">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5A446667">
      <w:pPr>
        <w:ind w:firstLine="411" w:firstLineChars="196"/>
        <w:rPr>
          <w:rFonts w:ascii="宋体" w:hAnsi="宋体"/>
        </w:rPr>
      </w:pPr>
      <w:r>
        <w:rPr>
          <w:rFonts w:hint="eastAsia" w:ascii="宋体" w:hAnsi="宋体"/>
        </w:rPr>
        <w:t>32.4投标人投标文件作无效处理的情形，具体包括但不限于以下：</w:t>
      </w:r>
    </w:p>
    <w:p w14:paraId="0D196619">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226E770B">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02D9B00D">
      <w:pPr>
        <w:ind w:firstLine="411" w:firstLineChars="196"/>
        <w:rPr>
          <w:rFonts w:ascii="宋体" w:hAnsi="宋体"/>
        </w:rPr>
      </w:pPr>
      <w:r>
        <w:rPr>
          <w:rFonts w:hint="eastAsia" w:ascii="宋体" w:hAnsi="宋体"/>
        </w:rPr>
        <w:t>32.4.3不同投标人的投标文件载明的项目管理成员或者联系人员为同一人；</w:t>
      </w:r>
    </w:p>
    <w:p w14:paraId="74438809">
      <w:pPr>
        <w:ind w:firstLine="411" w:firstLineChars="196"/>
        <w:rPr>
          <w:rFonts w:ascii="宋体" w:hAnsi="宋体"/>
        </w:rPr>
      </w:pPr>
      <w:r>
        <w:rPr>
          <w:rFonts w:hint="eastAsia" w:ascii="宋体" w:hAnsi="宋体"/>
        </w:rPr>
        <w:t>32.4.4不同投标人的投标文件异常一致或者投标报价呈规律性差异；</w:t>
      </w:r>
    </w:p>
    <w:p w14:paraId="5DC6ACA5">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29DA0B96">
      <w:pPr>
        <w:ind w:firstLine="411" w:firstLineChars="196"/>
        <w:rPr>
          <w:rFonts w:ascii="宋体" w:hAnsi="宋体"/>
        </w:rPr>
      </w:pPr>
      <w:r>
        <w:rPr>
          <w:rFonts w:hint="eastAsia" w:ascii="宋体" w:hAnsi="宋体"/>
        </w:rPr>
        <w:t>32.4.6投标供应商之间相互约定给予未中标的供应商利益补偿；</w:t>
      </w:r>
    </w:p>
    <w:p w14:paraId="2CFB4492">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3E826F07">
      <w:pPr>
        <w:ind w:firstLine="411" w:firstLineChars="196"/>
        <w:rPr>
          <w:rFonts w:ascii="宋体" w:hAnsi="宋体"/>
        </w:rPr>
      </w:pPr>
      <w:r>
        <w:rPr>
          <w:rFonts w:hint="eastAsia" w:ascii="宋体" w:hAnsi="宋体"/>
        </w:rPr>
        <w:t>32.4.8不同投标供应商的投标文件内容存在非正常一致；</w:t>
      </w:r>
    </w:p>
    <w:p w14:paraId="2CEA3F27">
      <w:pPr>
        <w:ind w:firstLine="411" w:firstLineChars="196"/>
        <w:rPr>
          <w:rFonts w:ascii="宋体" w:hAnsi="宋体"/>
        </w:rPr>
      </w:pPr>
      <w:r>
        <w:rPr>
          <w:rFonts w:hint="eastAsia" w:ascii="宋体" w:hAnsi="宋体"/>
        </w:rPr>
        <w:t>32.4.9在同一单位工作人员为两家以上（含两家）供应商进行同一项投标活动；</w:t>
      </w:r>
    </w:p>
    <w:p w14:paraId="31858C51">
      <w:pPr>
        <w:ind w:firstLine="411" w:firstLineChars="196"/>
        <w:rPr>
          <w:rFonts w:ascii="宋体" w:hAnsi="宋体"/>
        </w:rPr>
      </w:pPr>
      <w:r>
        <w:rPr>
          <w:rFonts w:hint="eastAsia" w:ascii="宋体" w:hAnsi="宋体"/>
        </w:rPr>
        <w:t>32.4.10主管部门依照法律、法规认定的其他情形。</w:t>
      </w:r>
    </w:p>
    <w:p w14:paraId="6B64CE66">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154F0A21">
      <w:pPr>
        <w:rPr>
          <w:rFonts w:ascii="黑体" w:hAnsi="宋体" w:eastAsia="黑体"/>
          <w:sz w:val="24"/>
        </w:rPr>
      </w:pPr>
      <w:r>
        <w:rPr>
          <w:rFonts w:hint="eastAsia" w:ascii="黑体" w:hAnsi="宋体" w:eastAsia="黑体"/>
          <w:sz w:val="24"/>
        </w:rPr>
        <w:t>33．澄清有关问题</w:t>
      </w:r>
    </w:p>
    <w:p w14:paraId="14445D32">
      <w:pPr>
        <w:ind w:firstLine="411" w:firstLineChars="196"/>
        <w:rPr>
          <w:rFonts w:ascii="宋体" w:hAnsi="宋体"/>
        </w:rPr>
      </w:pPr>
      <w:bookmarkStart w:id="105"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105"/>
    </w:p>
    <w:p w14:paraId="1DB80C66">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38C0789A">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4ADF73BA">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796780DB">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12C74D0B">
      <w:pPr>
        <w:rPr>
          <w:rFonts w:ascii="黑体" w:hAnsi="宋体" w:eastAsia="黑体"/>
          <w:sz w:val="24"/>
        </w:rPr>
      </w:pPr>
      <w:bookmarkStart w:id="106" w:name="_Toc73521669"/>
      <w:bookmarkStart w:id="107" w:name="_Toc100052400"/>
      <w:bookmarkStart w:id="108" w:name="_Toc73517673"/>
      <w:bookmarkStart w:id="109" w:name="_Toc73521581"/>
      <w:bookmarkStart w:id="110" w:name="_Toc73518151"/>
      <w:r>
        <w:rPr>
          <w:rFonts w:hint="eastAsia" w:ascii="黑体" w:hAnsi="宋体" w:eastAsia="黑体"/>
          <w:sz w:val="24"/>
        </w:rPr>
        <w:t>34．错误的修正</w:t>
      </w:r>
      <w:bookmarkEnd w:id="106"/>
      <w:bookmarkEnd w:id="107"/>
      <w:bookmarkEnd w:id="108"/>
      <w:bookmarkEnd w:id="109"/>
      <w:bookmarkEnd w:id="110"/>
    </w:p>
    <w:p w14:paraId="02E35FAA">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14:paraId="67D9A6DE">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23E36FA4">
      <w:pPr>
        <w:ind w:firstLine="411" w:firstLineChars="196"/>
        <w:rPr>
          <w:rFonts w:ascii="宋体" w:hAnsi="宋体"/>
          <w:szCs w:val="21"/>
        </w:rPr>
      </w:pPr>
      <w:r>
        <w:rPr>
          <w:rFonts w:hint="eastAsia" w:ascii="宋体" w:hAnsi="宋体"/>
          <w:szCs w:val="21"/>
        </w:rPr>
        <w:t>34.2大写金额和小写金额不一致的，以大写金额为准；</w:t>
      </w:r>
    </w:p>
    <w:p w14:paraId="673E9AA7">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67BFDBB9">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465D26FE">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7EADAF7E">
      <w:pPr>
        <w:rPr>
          <w:rFonts w:ascii="黑体" w:hAnsi="宋体" w:eastAsia="黑体"/>
          <w:sz w:val="24"/>
        </w:rPr>
      </w:pPr>
      <w:r>
        <w:rPr>
          <w:rFonts w:hint="eastAsia" w:ascii="黑体" w:hAnsi="宋体" w:eastAsia="黑体"/>
          <w:sz w:val="24"/>
        </w:rPr>
        <w:t>35．投标文件的比较与评价</w:t>
      </w:r>
    </w:p>
    <w:p w14:paraId="68327114">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7228F34A">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280A54B9">
      <w:pPr>
        <w:rPr>
          <w:rFonts w:ascii="黑体" w:hAnsi="宋体" w:eastAsia="黑体"/>
          <w:sz w:val="24"/>
        </w:rPr>
      </w:pPr>
      <w:r>
        <w:rPr>
          <w:rFonts w:hint="eastAsia" w:ascii="黑体" w:hAnsi="宋体" w:eastAsia="黑体"/>
          <w:sz w:val="24"/>
        </w:rPr>
        <w:t>36. 实地考察或资料查验</w:t>
      </w:r>
    </w:p>
    <w:p w14:paraId="2F60F3FB">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357CB58F">
      <w:pPr>
        <w:rPr>
          <w:rFonts w:ascii="黑体" w:hAnsi="宋体" w:eastAsia="黑体"/>
          <w:sz w:val="24"/>
        </w:rPr>
      </w:pPr>
      <w:r>
        <w:rPr>
          <w:rFonts w:hint="eastAsia" w:ascii="黑体" w:hAnsi="宋体" w:eastAsia="黑体"/>
          <w:sz w:val="24"/>
        </w:rPr>
        <w:t>37．评审方法</w:t>
      </w:r>
    </w:p>
    <w:p w14:paraId="0C4DEC78">
      <w:pPr>
        <w:ind w:firstLine="413" w:firstLineChars="196"/>
        <w:rPr>
          <w:rFonts w:ascii="宋体" w:hAnsi="宋体"/>
          <w:b/>
          <w:bCs/>
          <w:szCs w:val="21"/>
        </w:rPr>
      </w:pPr>
      <w:r>
        <w:rPr>
          <w:rFonts w:hint="eastAsia" w:ascii="宋体" w:hAnsi="宋体"/>
          <w:b/>
          <w:bCs/>
          <w:szCs w:val="21"/>
        </w:rPr>
        <w:t>37.1.1最低价法</w:t>
      </w:r>
    </w:p>
    <w:p w14:paraId="24756FF1">
      <w:pPr>
        <w:ind w:firstLine="411" w:firstLineChars="196"/>
        <w:rPr>
          <w:rFonts w:hint="eastAsia" w:ascii="ˎ̥" w:hAnsi="ˎ̥"/>
        </w:rPr>
      </w:pPr>
      <w:bookmarkStart w:id="111"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48543ACE">
      <w:pPr>
        <w:ind w:firstLine="413" w:firstLineChars="196"/>
        <w:rPr>
          <w:rFonts w:ascii="宋体" w:hAnsi="宋体"/>
          <w:b/>
          <w:bCs/>
          <w:szCs w:val="21"/>
        </w:rPr>
      </w:pPr>
      <w:r>
        <w:rPr>
          <w:rFonts w:hint="eastAsia" w:ascii="宋体" w:hAnsi="宋体"/>
          <w:b/>
          <w:bCs/>
          <w:szCs w:val="21"/>
        </w:rPr>
        <w:t>37.1.2综合评分法</w:t>
      </w:r>
    </w:p>
    <w:p w14:paraId="6260CAE6">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111"/>
    </w:p>
    <w:p w14:paraId="3654C022">
      <w:pPr>
        <w:ind w:firstLine="413" w:firstLineChars="196"/>
        <w:rPr>
          <w:rFonts w:ascii="宋体" w:hAnsi="宋体"/>
          <w:b/>
          <w:bCs/>
          <w:szCs w:val="21"/>
        </w:rPr>
      </w:pPr>
      <w:r>
        <w:rPr>
          <w:rFonts w:hint="eastAsia" w:ascii="宋体" w:hAnsi="宋体"/>
          <w:b/>
          <w:bCs/>
          <w:szCs w:val="21"/>
        </w:rPr>
        <w:t>37.2 本项目采用的评审方法见本项目招标文件第一册“专用条款”的相关内容。</w:t>
      </w:r>
    </w:p>
    <w:p w14:paraId="6C5BA560">
      <w:pPr>
        <w:ind w:firstLine="413" w:firstLineChars="196"/>
        <w:rPr>
          <w:rFonts w:ascii="宋体" w:hAnsi="宋体"/>
          <w:b/>
          <w:bCs/>
          <w:szCs w:val="21"/>
        </w:rPr>
      </w:pPr>
      <w:r>
        <w:rPr>
          <w:rFonts w:hint="eastAsia" w:ascii="宋体" w:hAnsi="宋体"/>
          <w:b/>
          <w:bCs/>
          <w:szCs w:val="21"/>
        </w:rPr>
        <w:t>37.3重新评审的情形</w:t>
      </w:r>
    </w:p>
    <w:p w14:paraId="12E44997">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5AE7E71E">
      <w:pPr>
        <w:ind w:firstLine="411" w:firstLineChars="196"/>
        <w:rPr>
          <w:rFonts w:ascii="宋体" w:hAnsi="宋体" w:cs="宋体"/>
          <w:kern w:val="0"/>
          <w:szCs w:val="21"/>
        </w:rPr>
      </w:pPr>
      <w:r>
        <w:rPr>
          <w:rFonts w:hint="eastAsia" w:ascii="宋体" w:hAnsi="宋体" w:cs="宋体"/>
          <w:kern w:val="0"/>
          <w:szCs w:val="21"/>
        </w:rPr>
        <w:t>37.3.1分值汇总计算错误的；</w:t>
      </w:r>
    </w:p>
    <w:p w14:paraId="0D9A4BC2">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73590D7E">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3A678792">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30C8BBFD">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1FE0AB7C">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091F6DF8">
      <w:pPr>
        <w:ind w:firstLine="413" w:firstLineChars="196"/>
        <w:rPr>
          <w:rFonts w:ascii="宋体" w:hAnsi="宋体"/>
          <w:b/>
          <w:bCs/>
          <w:szCs w:val="21"/>
        </w:rPr>
      </w:pPr>
      <w:r>
        <w:rPr>
          <w:rFonts w:hint="eastAsia" w:ascii="宋体" w:hAnsi="宋体"/>
          <w:b/>
          <w:bCs/>
          <w:szCs w:val="21"/>
        </w:rPr>
        <w:t xml:space="preserve"> 37.4重新组建评审委员会的情形</w:t>
      </w:r>
    </w:p>
    <w:p w14:paraId="15CA863B">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158C55AF">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43BFE2A8">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336716D5">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14:paraId="14E3AE04">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7D97919D">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3ABA1CC9">
      <w:pPr>
        <w:pStyle w:val="5"/>
        <w:numPr>
          <w:ilvl w:val="0"/>
          <w:numId w:val="11"/>
        </w:numPr>
        <w:spacing w:before="120" w:beforeLines="50" w:after="120" w:afterLines="50"/>
        <w:ind w:left="562" w:hanging="562"/>
        <w:rPr>
          <w:sz w:val="28"/>
          <w:szCs w:val="28"/>
        </w:rPr>
      </w:pPr>
      <w:r>
        <w:rPr>
          <w:rFonts w:hint="eastAsia"/>
          <w:sz w:val="28"/>
          <w:szCs w:val="28"/>
        </w:rPr>
        <w:t>定标及公示</w:t>
      </w:r>
    </w:p>
    <w:p w14:paraId="10EF2277">
      <w:pPr>
        <w:rPr>
          <w:rFonts w:ascii="黑体" w:hAnsi="宋体" w:eastAsia="黑体"/>
          <w:sz w:val="24"/>
        </w:rPr>
      </w:pPr>
      <w:r>
        <w:rPr>
          <w:rFonts w:hint="eastAsia" w:ascii="黑体" w:hAnsi="宋体" w:eastAsia="黑体"/>
          <w:sz w:val="24"/>
        </w:rPr>
        <w:t>38．定标方法</w:t>
      </w:r>
    </w:p>
    <w:p w14:paraId="4109E1BB">
      <w:pPr>
        <w:ind w:firstLine="411" w:firstLineChars="196"/>
        <w:rPr>
          <w:rFonts w:ascii="宋体" w:hAnsi="宋体"/>
          <w:szCs w:val="21"/>
        </w:rPr>
      </w:pPr>
      <w:bookmarkStart w:id="112" w:name="_Hlk73782795"/>
      <w:r>
        <w:rPr>
          <w:rFonts w:hint="eastAsia" w:ascii="宋体" w:hAnsi="宋体"/>
          <w:szCs w:val="21"/>
        </w:rPr>
        <w:t>38.1非评定分离项目定标方法</w:t>
      </w:r>
    </w:p>
    <w:p w14:paraId="3325AD1C">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476ECD69">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113" w:name="_Hlk73821177"/>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bookmarkEnd w:id="113"/>
      <w:r>
        <w:rPr>
          <w:rFonts w:ascii="ˎ̥" w:hAnsi="ˎ̥"/>
        </w:rPr>
        <w:t>）。</w:t>
      </w:r>
    </w:p>
    <w:p w14:paraId="00CAFE81">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14:paraId="069247AD">
      <w:pPr>
        <w:ind w:firstLine="411" w:firstLineChars="196"/>
        <w:rPr>
          <w:rFonts w:ascii="宋体" w:hAnsi="宋体"/>
          <w:szCs w:val="21"/>
        </w:rPr>
      </w:pPr>
      <w:r>
        <w:rPr>
          <w:rFonts w:hint="eastAsia" w:ascii="宋体" w:hAnsi="宋体"/>
          <w:szCs w:val="21"/>
        </w:rPr>
        <w:t>38.2评定分离项目定标方法</w:t>
      </w:r>
    </w:p>
    <w:p w14:paraId="34D45CCA">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51F88569">
      <w:pPr>
        <w:ind w:firstLine="411" w:firstLineChars="196"/>
      </w:pPr>
      <w:r>
        <w:rPr>
          <w:rFonts w:ascii="宋体" w:hAnsi="宋体"/>
          <w:szCs w:val="21"/>
        </w:rPr>
        <w:t xml:space="preserve">38.2.2 </w:t>
      </w:r>
      <w:bookmarkStart w:id="114"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4622E765">
      <w:pPr>
        <w:ind w:firstLine="411" w:firstLineChars="196"/>
        <w:rPr>
          <w:rFonts w:ascii="宋体" w:hAnsi="宋体"/>
          <w:szCs w:val="21"/>
        </w:rPr>
      </w:pPr>
      <w:r>
        <w:rPr>
          <w:rFonts w:hint="eastAsia" w:ascii="宋体" w:hAnsi="宋体"/>
          <w:szCs w:val="21"/>
        </w:rPr>
        <w:t>38.2.3</w:t>
      </w:r>
      <w:bookmarkStart w:id="115"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114"/>
      <w:bookmarkEnd w:id="115"/>
    </w:p>
    <w:p w14:paraId="4413F28C">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14:paraId="4C4CAB11">
      <w:pPr>
        <w:ind w:firstLine="411" w:firstLineChars="196"/>
        <w:rPr>
          <w:rFonts w:ascii="宋体" w:hAnsi="宋体"/>
          <w:szCs w:val="21"/>
        </w:rPr>
      </w:pPr>
      <w:r>
        <w:rPr>
          <w:rFonts w:hint="eastAsia" w:ascii="宋体" w:hAnsi="宋体"/>
          <w:szCs w:val="21"/>
        </w:rPr>
        <w:t>说明：采购人及投标供应商应按照上述方法提前做好相关准备。</w:t>
      </w:r>
    </w:p>
    <w:p w14:paraId="344B8C95">
      <w:pPr>
        <w:ind w:firstLine="411" w:firstLineChars="196"/>
        <w:rPr>
          <w:rFonts w:ascii="宋体" w:hAnsi="宋体"/>
          <w:szCs w:val="21"/>
        </w:rPr>
      </w:pPr>
      <w:r>
        <w:rPr>
          <w:rFonts w:hint="eastAsia" w:ascii="宋体" w:hAnsi="宋体"/>
          <w:szCs w:val="21"/>
        </w:rPr>
        <w:t>38.3专用条款另有规定的，按专用条款相关要求定标。</w:t>
      </w:r>
      <w:bookmarkEnd w:id="112"/>
    </w:p>
    <w:p w14:paraId="515D0F10">
      <w:pPr>
        <w:rPr>
          <w:rFonts w:ascii="黑体" w:hAnsi="宋体" w:eastAsia="黑体"/>
          <w:sz w:val="24"/>
        </w:rPr>
      </w:pPr>
      <w:r>
        <w:rPr>
          <w:rFonts w:hint="eastAsia" w:ascii="黑体" w:hAnsi="宋体" w:eastAsia="黑体"/>
          <w:sz w:val="24"/>
        </w:rPr>
        <w:t>39．编写评审报告</w:t>
      </w:r>
    </w:p>
    <w:p w14:paraId="7A17B7F8">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7AF99928">
      <w:pPr>
        <w:rPr>
          <w:rFonts w:ascii="黑体" w:hAnsi="宋体" w:eastAsia="黑体"/>
          <w:sz w:val="24"/>
        </w:rPr>
      </w:pPr>
      <w:r>
        <w:rPr>
          <w:rFonts w:hint="eastAsia" w:ascii="黑体" w:hAnsi="宋体" w:eastAsia="黑体"/>
          <w:sz w:val="24"/>
        </w:rPr>
        <w:t>40．中标公告</w:t>
      </w:r>
    </w:p>
    <w:p w14:paraId="54757B4E">
      <w:pPr>
        <w:ind w:firstLine="411" w:firstLineChars="196"/>
        <w:rPr>
          <w:rFonts w:ascii="宋体" w:hAnsi="宋体"/>
          <w:szCs w:val="21"/>
        </w:rPr>
      </w:pPr>
      <w:r>
        <w:rPr>
          <w:rFonts w:hint="eastAsia" w:ascii="宋体" w:hAnsi="宋体"/>
          <w:szCs w:val="21"/>
        </w:rPr>
        <w:t>40.1</w:t>
      </w:r>
      <w:bookmarkStart w:id="116"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深圳公共资源交易中心（深圳交易集团有限公司政府采购业务分公司）网站（</w:t>
      </w:r>
      <w:r>
        <w:rPr>
          <w:rFonts w:ascii="宋体" w:hAnsi="宋体"/>
          <w:b/>
          <w:bCs/>
          <w:szCs w:val="21"/>
        </w:rPr>
        <w:t>http://www.szggzy.com/</w:t>
      </w:r>
      <w:r>
        <w:rPr>
          <w:rFonts w:hint="eastAsia" w:ascii="宋体" w:hAnsi="宋体"/>
          <w:b/>
          <w:bCs/>
          <w:szCs w:val="21"/>
        </w:rPr>
        <w:t>）</w:t>
      </w:r>
      <w:r>
        <w:rPr>
          <w:rFonts w:hint="eastAsia" w:ascii="宋体" w:hAnsi="宋体"/>
          <w:szCs w:val="21"/>
        </w:rPr>
        <w:t>上发布中标结果公告。</w:t>
      </w:r>
      <w:bookmarkEnd w:id="116"/>
      <w:bookmarkStart w:id="117"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117"/>
    <w:p w14:paraId="3A084F34">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6BD35EFF">
      <w:pPr>
        <w:rPr>
          <w:rFonts w:ascii="黑体" w:hAnsi="宋体" w:eastAsia="黑体"/>
          <w:sz w:val="24"/>
        </w:rPr>
      </w:pPr>
      <w:r>
        <w:rPr>
          <w:rFonts w:hint="eastAsia" w:ascii="黑体" w:hAnsi="宋体" w:eastAsia="黑体"/>
          <w:sz w:val="24"/>
        </w:rPr>
        <w:t>41．中标通知书</w:t>
      </w:r>
    </w:p>
    <w:p w14:paraId="26F04610">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118" w:name="_Hlk72438863"/>
      <w:r>
        <w:rPr>
          <w:rFonts w:hint="eastAsia" w:ascii="宋体" w:hAnsi="宋体"/>
          <w:szCs w:val="21"/>
        </w:rPr>
        <w:t>中标公告公布以后无异常的情况下,中标供应商和采购人可自行在</w:t>
      </w:r>
      <w:r>
        <w:rPr>
          <w:rFonts w:hint="eastAsia" w:ascii="宋体" w:hAnsi="宋体"/>
          <w:b/>
          <w:bCs/>
          <w:szCs w:val="21"/>
        </w:rPr>
        <w:t>深圳公共资源交易中心（深圳交易集团有限公司政府采购业务分公司）网站（</w:t>
      </w:r>
      <w:r>
        <w:rPr>
          <w:rFonts w:ascii="宋体" w:hAnsi="宋体"/>
          <w:b/>
          <w:bCs/>
          <w:szCs w:val="21"/>
        </w:rPr>
        <w:t>http://www.szggzy.com/</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咨询电话：</w:t>
      </w:r>
      <w:r>
        <w:rPr>
          <w:rFonts w:hint="eastAsia" w:ascii="宋体" w:hAnsi="宋体"/>
          <w:b/>
          <w:bCs/>
          <w:szCs w:val="21"/>
        </w:rPr>
        <w:t>0755-83938599，83948100，83938584</w:t>
      </w:r>
      <w:r>
        <w:rPr>
          <w:rFonts w:hint="eastAsia" w:ascii="宋体" w:hAnsi="宋体"/>
          <w:szCs w:val="21"/>
        </w:rPr>
        <w:t>）。</w:t>
      </w:r>
      <w:bookmarkEnd w:id="118"/>
    </w:p>
    <w:p w14:paraId="6ABC9D2A">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60E64DCA">
      <w:pPr>
        <w:ind w:firstLine="411" w:firstLineChars="196"/>
        <w:rPr>
          <w:rFonts w:ascii="宋体" w:hAnsi="宋体"/>
          <w:szCs w:val="21"/>
        </w:rPr>
      </w:pPr>
      <w:bookmarkStart w:id="119" w:name="_Hlk71407340"/>
      <w:r>
        <w:rPr>
          <w:rFonts w:hint="eastAsia" w:ascii="宋体" w:hAnsi="宋体"/>
          <w:szCs w:val="21"/>
        </w:rPr>
        <w:t>41.3因质疑投诉或其它原因导致项目结果变更或采购终止的，政府集中采购机构有权吊销中标通知书。</w:t>
      </w:r>
    </w:p>
    <w:bookmarkEnd w:id="119"/>
    <w:p w14:paraId="7E43300C">
      <w:pPr>
        <w:pStyle w:val="5"/>
        <w:numPr>
          <w:ilvl w:val="0"/>
          <w:numId w:val="11"/>
        </w:numPr>
        <w:spacing w:before="120" w:beforeLines="50" w:after="120" w:afterLines="50"/>
        <w:ind w:left="562" w:hanging="562"/>
        <w:rPr>
          <w:sz w:val="28"/>
          <w:szCs w:val="28"/>
        </w:rPr>
      </w:pPr>
      <w:r>
        <w:rPr>
          <w:rFonts w:hint="eastAsia"/>
          <w:sz w:val="28"/>
          <w:szCs w:val="28"/>
        </w:rPr>
        <w:t>公开招标失败的后续处理</w:t>
      </w:r>
    </w:p>
    <w:p w14:paraId="72972B40">
      <w:pPr>
        <w:rPr>
          <w:rFonts w:ascii="黑体" w:hAnsi="宋体" w:eastAsia="黑体"/>
          <w:sz w:val="24"/>
        </w:rPr>
      </w:pPr>
      <w:r>
        <w:rPr>
          <w:rFonts w:hint="eastAsia" w:ascii="黑体" w:hAnsi="宋体" w:eastAsia="黑体"/>
          <w:sz w:val="24"/>
        </w:rPr>
        <w:t>42．公开招标失败的处理</w:t>
      </w:r>
    </w:p>
    <w:p w14:paraId="2C632FDC">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742FDD44">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6B486B71">
      <w:pPr>
        <w:ind w:firstLine="411" w:firstLineChars="196"/>
        <w:rPr>
          <w:rFonts w:ascii="宋体" w:hAnsi="宋体"/>
          <w:szCs w:val="21"/>
        </w:rPr>
      </w:pPr>
      <w:r>
        <w:rPr>
          <w:rFonts w:hint="eastAsia" w:ascii="宋体" w:hAnsi="宋体"/>
          <w:szCs w:val="21"/>
        </w:rPr>
        <w:t>42.3重新组织采购有以下两种组织形式：</w:t>
      </w:r>
    </w:p>
    <w:p w14:paraId="544EC410">
      <w:pPr>
        <w:ind w:firstLine="411" w:firstLineChars="196"/>
        <w:rPr>
          <w:rFonts w:ascii="宋体" w:hAnsi="宋体"/>
        </w:rPr>
      </w:pPr>
      <w:r>
        <w:rPr>
          <w:rFonts w:hint="eastAsia" w:ascii="宋体" w:hAnsi="宋体"/>
        </w:rPr>
        <w:t>（1）由政府集中采购机构重新组织公开招标；</w:t>
      </w:r>
    </w:p>
    <w:p w14:paraId="6CC476F2">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481419A6">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14:paraId="4628D955">
      <w:pPr>
        <w:rPr>
          <w:rFonts w:ascii="宋体" w:hAnsi="宋体"/>
        </w:rPr>
      </w:pPr>
      <w:r>
        <w:rPr>
          <w:rFonts w:hint="eastAsia" w:ascii="宋体" w:hAnsi="宋体"/>
        </w:rPr>
        <w:t>42.5公开招标失败的采购项目经同级财政部门批准转为竞争性谈判或单一来源谈判方式采购的，按规定要求组织政府采购工作。</w:t>
      </w:r>
    </w:p>
    <w:p w14:paraId="28267E87">
      <w:pPr>
        <w:pStyle w:val="5"/>
        <w:numPr>
          <w:ilvl w:val="0"/>
          <w:numId w:val="11"/>
        </w:numPr>
        <w:spacing w:before="120" w:beforeLines="50" w:after="120" w:afterLines="50"/>
        <w:ind w:left="562" w:hanging="562"/>
        <w:rPr>
          <w:sz w:val="28"/>
          <w:szCs w:val="28"/>
        </w:rPr>
      </w:pPr>
      <w:bookmarkStart w:id="120" w:name="_Hlk72439043"/>
      <w:r>
        <w:rPr>
          <w:rFonts w:hint="eastAsia"/>
          <w:sz w:val="28"/>
          <w:szCs w:val="28"/>
        </w:rPr>
        <w:t>合同的授予与备案</w:t>
      </w:r>
      <w:bookmarkEnd w:id="120"/>
    </w:p>
    <w:p w14:paraId="67D0C30D">
      <w:pPr>
        <w:rPr>
          <w:rFonts w:ascii="黑体" w:hAnsi="宋体" w:eastAsia="黑体"/>
          <w:sz w:val="24"/>
        </w:rPr>
      </w:pPr>
      <w:bookmarkStart w:id="121" w:name="_Toc73518157"/>
      <w:bookmarkStart w:id="122" w:name="_Toc73521674"/>
      <w:bookmarkStart w:id="123" w:name="_Toc100052408"/>
      <w:bookmarkStart w:id="124" w:name="_Toc73517679"/>
      <w:bookmarkStart w:id="125" w:name="_Toc73521586"/>
      <w:bookmarkStart w:id="126" w:name="_Hlk72439088"/>
      <w:r>
        <w:rPr>
          <w:rFonts w:hint="eastAsia" w:ascii="黑体" w:hAnsi="宋体" w:eastAsia="黑体"/>
          <w:sz w:val="24"/>
        </w:rPr>
        <w:t>43．合同授予标准</w:t>
      </w:r>
      <w:bookmarkEnd w:id="121"/>
      <w:bookmarkEnd w:id="122"/>
      <w:bookmarkEnd w:id="123"/>
      <w:bookmarkEnd w:id="124"/>
      <w:bookmarkEnd w:id="125"/>
    </w:p>
    <w:p w14:paraId="4ED7CAE6">
      <w:pPr>
        <w:ind w:firstLine="411" w:firstLineChars="196"/>
        <w:rPr>
          <w:rFonts w:ascii="宋体" w:hAnsi="宋体"/>
          <w:szCs w:val="21"/>
        </w:rPr>
      </w:pPr>
      <w:r>
        <w:rPr>
          <w:rFonts w:hint="eastAsia" w:ascii="宋体" w:hAnsi="宋体"/>
          <w:szCs w:val="21"/>
        </w:rPr>
        <w:t>本项目的合同将授予经本招标文件规定评审确定的中标供应商。</w:t>
      </w:r>
    </w:p>
    <w:p w14:paraId="478FB917">
      <w:pPr>
        <w:rPr>
          <w:rFonts w:ascii="黑体" w:hAnsi="宋体" w:eastAsia="黑体"/>
          <w:sz w:val="24"/>
        </w:rPr>
      </w:pPr>
      <w:bookmarkStart w:id="127" w:name="_Toc100052409"/>
      <w:bookmarkStart w:id="128" w:name="_Toc73518158"/>
      <w:bookmarkStart w:id="129" w:name="_Toc73517680"/>
      <w:bookmarkStart w:id="130" w:name="_Toc73521675"/>
      <w:bookmarkStart w:id="131" w:name="_Toc73521587"/>
      <w:r>
        <w:rPr>
          <w:rFonts w:hint="eastAsia" w:ascii="黑体" w:hAnsi="宋体" w:eastAsia="黑体"/>
          <w:sz w:val="24"/>
        </w:rPr>
        <w:t>44．</w:t>
      </w:r>
      <w:bookmarkEnd w:id="127"/>
      <w:bookmarkEnd w:id="128"/>
      <w:bookmarkEnd w:id="129"/>
      <w:bookmarkEnd w:id="130"/>
      <w:bookmarkEnd w:id="131"/>
      <w:r>
        <w:rPr>
          <w:rFonts w:hint="eastAsia" w:ascii="黑体" w:hAnsi="宋体" w:eastAsia="黑体"/>
          <w:sz w:val="24"/>
        </w:rPr>
        <w:t>接受和拒绝任何或所有投标的权力</w:t>
      </w:r>
    </w:p>
    <w:p w14:paraId="6FBC7188">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2B5C67DE">
      <w:pPr>
        <w:rPr>
          <w:rFonts w:ascii="黑体" w:hAnsi="宋体" w:eastAsia="黑体"/>
          <w:sz w:val="24"/>
        </w:rPr>
      </w:pPr>
      <w:bookmarkStart w:id="132" w:name="_Toc73521677"/>
      <w:bookmarkStart w:id="133" w:name="_Toc73517682"/>
      <w:bookmarkStart w:id="134" w:name="_Toc73521589"/>
      <w:bookmarkStart w:id="135" w:name="_Toc100052410"/>
      <w:bookmarkStart w:id="136" w:name="_Toc73518160"/>
      <w:r>
        <w:rPr>
          <w:rFonts w:hint="eastAsia" w:ascii="黑体" w:hAnsi="宋体" w:eastAsia="黑体"/>
          <w:sz w:val="24"/>
        </w:rPr>
        <w:t>45．合同的签订</w:t>
      </w:r>
      <w:bookmarkEnd w:id="132"/>
      <w:bookmarkEnd w:id="133"/>
      <w:bookmarkEnd w:id="134"/>
      <w:bookmarkEnd w:id="135"/>
      <w:bookmarkEnd w:id="136"/>
    </w:p>
    <w:p w14:paraId="13097410">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6CB63711">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256B7C4A">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14:paraId="278BF921">
      <w:pPr>
        <w:rPr>
          <w:rFonts w:ascii="黑体" w:hAnsi="宋体" w:eastAsia="黑体"/>
          <w:sz w:val="24"/>
        </w:rPr>
      </w:pPr>
      <w:bookmarkStart w:id="137" w:name="_Toc73518161"/>
      <w:bookmarkStart w:id="138" w:name="_Toc73517683"/>
      <w:bookmarkStart w:id="139" w:name="_Toc73521590"/>
      <w:bookmarkStart w:id="140" w:name="_Toc100052411"/>
      <w:bookmarkStart w:id="141" w:name="_Toc73521678"/>
      <w:r>
        <w:rPr>
          <w:rFonts w:hint="eastAsia" w:ascii="黑体" w:hAnsi="宋体" w:eastAsia="黑体"/>
          <w:sz w:val="24"/>
        </w:rPr>
        <w:t>46．履约担保</w:t>
      </w:r>
      <w:bookmarkEnd w:id="137"/>
      <w:bookmarkEnd w:id="138"/>
      <w:bookmarkEnd w:id="139"/>
      <w:bookmarkEnd w:id="140"/>
      <w:bookmarkEnd w:id="141"/>
    </w:p>
    <w:p w14:paraId="3FE11D16">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3A25B460">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5385A97B">
      <w:pPr>
        <w:rPr>
          <w:rFonts w:ascii="黑体" w:hAnsi="宋体" w:eastAsia="黑体"/>
          <w:sz w:val="24"/>
        </w:rPr>
      </w:pPr>
      <w:r>
        <w:rPr>
          <w:rFonts w:hint="eastAsia" w:ascii="黑体" w:hAnsi="宋体" w:eastAsia="黑体"/>
          <w:sz w:val="24"/>
        </w:rPr>
        <w:t>47. 合同备案</w:t>
      </w:r>
    </w:p>
    <w:p w14:paraId="49C3AF05">
      <w:pPr>
        <w:ind w:firstLine="411" w:firstLineChars="196"/>
        <w:rPr>
          <w:rFonts w:ascii="宋体" w:hAnsi="宋体"/>
          <w:szCs w:val="21"/>
        </w:rPr>
      </w:pPr>
      <w:r>
        <w:rPr>
          <w:rFonts w:hint="eastAsia" w:ascii="宋体" w:hAnsi="宋体"/>
          <w:szCs w:val="21"/>
        </w:rPr>
        <w:t>采购人与中标人应于合同签订之日起十日内，由采购人或委托中标人将采购合同副本抄送合同备案工作实施机构备案。</w:t>
      </w:r>
    </w:p>
    <w:p w14:paraId="731E3CC3">
      <w:pPr>
        <w:rPr>
          <w:rFonts w:ascii="黑体" w:hAnsi="宋体" w:eastAsia="黑体"/>
          <w:sz w:val="24"/>
        </w:rPr>
      </w:pPr>
      <w:r>
        <w:rPr>
          <w:rFonts w:hint="eastAsia" w:ascii="黑体" w:hAnsi="宋体" w:eastAsia="黑体"/>
          <w:sz w:val="24"/>
        </w:rPr>
        <w:t>48. 合同变更</w:t>
      </w:r>
    </w:p>
    <w:p w14:paraId="6A0DFEE5">
      <w:pPr>
        <w:ind w:firstLine="411" w:firstLineChars="196"/>
        <w:rPr>
          <w:rFonts w:ascii="宋体" w:hAnsi="宋体"/>
          <w:szCs w:val="21"/>
        </w:rPr>
      </w:pPr>
      <w:r>
        <w:rPr>
          <w:rFonts w:hint="eastAsia" w:ascii="宋体" w:hAnsi="宋体"/>
          <w:szCs w:val="21"/>
        </w:rPr>
        <w:t>合同变更事宜按《深圳市财政局 深圳市政府采购中心关于进一步加强市本级政府采购合同备案管理工作的通知》（深财购〔2019〕43号）相关规定执行。</w:t>
      </w:r>
    </w:p>
    <w:p w14:paraId="35F89359">
      <w:pPr>
        <w:rPr>
          <w:rFonts w:ascii="黑体" w:hAnsi="宋体" w:eastAsia="黑体"/>
          <w:sz w:val="24"/>
        </w:rPr>
      </w:pPr>
      <w:r>
        <w:rPr>
          <w:rFonts w:hint="eastAsia" w:ascii="黑体" w:hAnsi="宋体" w:eastAsia="黑体"/>
          <w:sz w:val="24"/>
        </w:rPr>
        <w:t>49. 项目验收</w:t>
      </w:r>
    </w:p>
    <w:p w14:paraId="1C399659">
      <w:pPr>
        <w:widowControl/>
        <w:ind w:right="176" w:firstLine="420"/>
        <w:jc w:val="left"/>
        <w:rPr>
          <w:rFonts w:ascii="宋体" w:hAnsi="宋体"/>
        </w:rPr>
      </w:pPr>
      <w:r>
        <w:rPr>
          <w:rFonts w:hint="eastAsia" w:ascii="宋体" w:hAnsi="宋体"/>
        </w:rPr>
        <w:t>49.1采购人应当按照招标文件和合同规定的标准和方法，及时组织验收。</w:t>
      </w:r>
    </w:p>
    <w:p w14:paraId="6849A614">
      <w:pPr>
        <w:rPr>
          <w:rFonts w:ascii="黑体" w:hAnsi="宋体" w:eastAsia="黑体"/>
          <w:sz w:val="24"/>
        </w:rPr>
      </w:pPr>
      <w:r>
        <w:rPr>
          <w:rFonts w:hint="eastAsia" w:ascii="黑体" w:hAnsi="宋体" w:eastAsia="黑体"/>
          <w:sz w:val="24"/>
        </w:rPr>
        <w:t>50. 宣传</w:t>
      </w:r>
    </w:p>
    <w:p w14:paraId="6C752D9F">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66641D3A">
      <w:pPr>
        <w:ind w:left="210" w:leftChars="100" w:firstLine="411" w:firstLineChars="196"/>
        <w:rPr>
          <w:rFonts w:ascii="宋体" w:hAnsi="宋体"/>
        </w:rPr>
      </w:pPr>
      <w:r>
        <w:rPr>
          <w:rFonts w:ascii="宋体" w:hAnsi="宋体"/>
        </w:rPr>
        <w:t>a.名片、宣传册、广告标语等；</w:t>
      </w:r>
    </w:p>
    <w:p w14:paraId="29C22CA3">
      <w:pPr>
        <w:ind w:left="210" w:leftChars="100" w:firstLine="411" w:firstLineChars="196"/>
        <w:rPr>
          <w:rFonts w:ascii="宋体" w:hAnsi="宋体"/>
        </w:rPr>
      </w:pPr>
      <w:r>
        <w:rPr>
          <w:rFonts w:ascii="宋体" w:hAnsi="宋体"/>
        </w:rPr>
        <w:t>b.案例介绍、推广等；</w:t>
      </w:r>
    </w:p>
    <w:p w14:paraId="193738A4">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7684B3BB">
      <w:pPr>
        <w:rPr>
          <w:rFonts w:ascii="黑体" w:hAnsi="宋体" w:eastAsia="黑体"/>
          <w:sz w:val="24"/>
        </w:rPr>
      </w:pPr>
      <w:r>
        <w:rPr>
          <w:rFonts w:hint="eastAsia" w:ascii="黑体" w:hAnsi="宋体" w:eastAsia="黑体"/>
          <w:sz w:val="24"/>
        </w:rPr>
        <w:t>51. 供应商违法责任</w:t>
      </w:r>
    </w:p>
    <w:p w14:paraId="5BF00A10">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2BEEED7">
      <w:pPr>
        <w:ind w:firstLine="411" w:firstLineChars="196"/>
        <w:rPr>
          <w:rFonts w:ascii="宋体" w:hAnsi="宋体"/>
          <w:szCs w:val="21"/>
        </w:rPr>
      </w:pPr>
      <w:r>
        <w:rPr>
          <w:rFonts w:hint="eastAsia" w:ascii="宋体" w:hAnsi="宋体"/>
          <w:szCs w:val="21"/>
        </w:rPr>
        <w:t>（1）在采购活动中应当回避而未回避的；</w:t>
      </w:r>
    </w:p>
    <w:p w14:paraId="11DD7E95">
      <w:pPr>
        <w:ind w:firstLine="411" w:firstLineChars="196"/>
        <w:rPr>
          <w:rFonts w:ascii="宋体" w:hAnsi="宋体"/>
          <w:szCs w:val="21"/>
        </w:rPr>
      </w:pPr>
      <w:r>
        <w:rPr>
          <w:rFonts w:hint="eastAsia" w:ascii="宋体" w:hAnsi="宋体"/>
          <w:szCs w:val="21"/>
        </w:rPr>
        <w:t>（2）未按本条例规定签订、履行采购合同，造成严重后果的；</w:t>
      </w:r>
    </w:p>
    <w:p w14:paraId="794DD0C0">
      <w:pPr>
        <w:ind w:firstLine="411" w:firstLineChars="196"/>
        <w:rPr>
          <w:rFonts w:ascii="宋体" w:hAnsi="宋体"/>
          <w:szCs w:val="21"/>
        </w:rPr>
      </w:pPr>
      <w:r>
        <w:rPr>
          <w:rFonts w:hint="eastAsia" w:ascii="宋体" w:hAnsi="宋体"/>
          <w:szCs w:val="21"/>
        </w:rPr>
        <w:t>（3）隐瞒真实情况，提供虚假资料的；</w:t>
      </w:r>
    </w:p>
    <w:p w14:paraId="394E3F8D">
      <w:pPr>
        <w:ind w:firstLine="411" w:firstLineChars="196"/>
        <w:rPr>
          <w:rFonts w:ascii="宋体" w:hAnsi="宋体"/>
          <w:szCs w:val="21"/>
        </w:rPr>
      </w:pPr>
      <w:r>
        <w:rPr>
          <w:rFonts w:hint="eastAsia" w:ascii="宋体" w:hAnsi="宋体"/>
          <w:szCs w:val="21"/>
        </w:rPr>
        <w:t>（4）以非法手段排斥其他供应商参与竞争的；</w:t>
      </w:r>
    </w:p>
    <w:p w14:paraId="09E8C9FC">
      <w:pPr>
        <w:ind w:firstLine="411" w:firstLineChars="196"/>
        <w:rPr>
          <w:rFonts w:ascii="宋体" w:hAnsi="宋体"/>
          <w:szCs w:val="21"/>
        </w:rPr>
      </w:pPr>
      <w:r>
        <w:rPr>
          <w:rFonts w:hint="eastAsia" w:ascii="宋体" w:hAnsi="宋体"/>
          <w:szCs w:val="21"/>
        </w:rPr>
        <w:t>（5）与其他采购参加人串通投标的；</w:t>
      </w:r>
    </w:p>
    <w:p w14:paraId="42998025">
      <w:pPr>
        <w:ind w:firstLine="411" w:firstLineChars="196"/>
        <w:rPr>
          <w:rFonts w:ascii="宋体" w:hAnsi="宋体"/>
          <w:szCs w:val="21"/>
        </w:rPr>
      </w:pPr>
      <w:r>
        <w:rPr>
          <w:rFonts w:hint="eastAsia" w:ascii="宋体" w:hAnsi="宋体"/>
          <w:szCs w:val="21"/>
        </w:rPr>
        <w:t>（6）恶意投诉的；</w:t>
      </w:r>
    </w:p>
    <w:p w14:paraId="15D5DCBE">
      <w:pPr>
        <w:ind w:firstLine="411" w:firstLineChars="196"/>
        <w:rPr>
          <w:rFonts w:ascii="宋体" w:hAnsi="宋体"/>
          <w:szCs w:val="21"/>
        </w:rPr>
      </w:pPr>
      <w:r>
        <w:rPr>
          <w:rFonts w:hint="eastAsia" w:ascii="宋体" w:hAnsi="宋体"/>
          <w:szCs w:val="21"/>
        </w:rPr>
        <w:t>（7）向采购项目相关人行贿或者提供其他不当利益的；</w:t>
      </w:r>
    </w:p>
    <w:p w14:paraId="48821B92">
      <w:pPr>
        <w:ind w:firstLine="411" w:firstLineChars="196"/>
        <w:rPr>
          <w:rFonts w:ascii="宋体" w:hAnsi="宋体"/>
          <w:szCs w:val="21"/>
        </w:rPr>
      </w:pPr>
      <w:r>
        <w:rPr>
          <w:rFonts w:hint="eastAsia" w:ascii="宋体" w:hAnsi="宋体"/>
          <w:szCs w:val="21"/>
        </w:rPr>
        <w:t>（8）阻碍、抗拒主管部门监督检查的；</w:t>
      </w:r>
    </w:p>
    <w:p w14:paraId="426892DF">
      <w:pPr>
        <w:ind w:firstLine="411" w:firstLineChars="196"/>
        <w:rPr>
          <w:rFonts w:ascii="宋体" w:hAnsi="宋体"/>
          <w:szCs w:val="21"/>
        </w:rPr>
      </w:pPr>
      <w:r>
        <w:rPr>
          <w:rFonts w:hint="eastAsia" w:ascii="宋体" w:hAnsi="宋体"/>
          <w:szCs w:val="21"/>
        </w:rPr>
        <w:t>（9）其他违反本条例规定的行为。</w:t>
      </w:r>
    </w:p>
    <w:p w14:paraId="40D73EE4">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根据《深圳市财政局关于明确政府采购保证金管理工作的通知》（深财购[2019]42号）的要求，供应商在政府采购活动中出现《深圳经济特区政府采购条例实施细则》第八十四条所列情形的，</w:t>
      </w:r>
      <w:bookmarkStart w:id="142" w:name="_Hlk72440769"/>
      <w:r>
        <w:rPr>
          <w:rFonts w:hint="eastAsia" w:ascii="宋体" w:hAnsi="宋体"/>
          <w:szCs w:val="21"/>
        </w:rPr>
        <w:t>采购人或政府集中采购机构</w:t>
      </w:r>
      <w:bookmarkEnd w:id="142"/>
      <w:r>
        <w:rPr>
          <w:rFonts w:hint="eastAsia" w:ascii="宋体" w:hAnsi="宋体"/>
          <w:szCs w:val="21"/>
        </w:rPr>
        <w:t>可将有关情况报同级财政部门，由财政部门根据实际情况记入供应商诚信档案，予以通报：</w:t>
      </w:r>
    </w:p>
    <w:p w14:paraId="1C948E6B">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14:paraId="0A284D55">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472B5AAB">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w:t>
      </w:r>
      <w:bookmarkStart w:id="145" w:name="_GoBack"/>
      <w:bookmarkEnd w:id="145"/>
      <w:r>
        <w:rPr>
          <w:rFonts w:ascii="宋体" w:hAnsi="宋体"/>
          <w:szCs w:val="21"/>
        </w:rPr>
        <w:t>或者在投标文件中未说明且未经采购人、采购招标机构同意，将中标项目分包给他人的；</w:t>
      </w:r>
    </w:p>
    <w:p w14:paraId="65423314">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126"/>
    <w:p w14:paraId="37AE61C1">
      <w:pPr>
        <w:pStyle w:val="5"/>
        <w:numPr>
          <w:ilvl w:val="0"/>
          <w:numId w:val="11"/>
        </w:numPr>
        <w:spacing w:before="120" w:beforeLines="50" w:after="120" w:afterLines="50"/>
        <w:ind w:left="562" w:hanging="562"/>
        <w:rPr>
          <w:sz w:val="28"/>
          <w:szCs w:val="28"/>
        </w:rPr>
      </w:pPr>
      <w:r>
        <w:rPr>
          <w:rFonts w:hint="eastAsia"/>
          <w:sz w:val="28"/>
          <w:szCs w:val="28"/>
        </w:rPr>
        <w:t>质疑处理</w:t>
      </w:r>
    </w:p>
    <w:p w14:paraId="37E8FAA3">
      <w:pPr>
        <w:rPr>
          <w:rFonts w:ascii="黑体" w:hAnsi="宋体" w:eastAsia="黑体"/>
          <w:sz w:val="24"/>
        </w:rPr>
      </w:pPr>
      <w:bookmarkStart w:id="143" w:name="_Hlk72439706"/>
      <w:r>
        <w:rPr>
          <w:rFonts w:hint="eastAsia" w:ascii="黑体" w:hAnsi="宋体" w:eastAsia="黑体"/>
          <w:sz w:val="24"/>
        </w:rPr>
        <w:t>52.质疑提出与答复</w:t>
      </w:r>
    </w:p>
    <w:p w14:paraId="7FE40AAA">
      <w:pPr>
        <w:rPr>
          <w:rFonts w:ascii="宋体" w:hAnsi="宋体"/>
          <w:szCs w:val="21"/>
        </w:rPr>
      </w:pPr>
      <w:r>
        <w:rPr>
          <w:rFonts w:hint="eastAsia" w:ascii="宋体" w:hAnsi="宋体"/>
          <w:szCs w:val="21"/>
        </w:rPr>
        <w:t xml:space="preserve">    52.1提出质疑</w:t>
      </w:r>
    </w:p>
    <w:p w14:paraId="6A7A1896">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690E2402">
      <w:pPr>
        <w:rPr>
          <w:rFonts w:ascii="宋体" w:hAnsi="宋体"/>
          <w:szCs w:val="21"/>
        </w:rPr>
      </w:pPr>
      <w:r>
        <w:rPr>
          <w:rFonts w:hint="eastAsia" w:ascii="宋体" w:hAnsi="宋体"/>
          <w:szCs w:val="21"/>
        </w:rPr>
        <w:t xml:space="preserve">    52.2</w:t>
      </w:r>
      <w:r>
        <w:rPr>
          <w:rFonts w:ascii="宋体" w:hAnsi="宋体"/>
          <w:szCs w:val="21"/>
        </w:rPr>
        <w:t>法律依据</w:t>
      </w:r>
    </w:p>
    <w:p w14:paraId="5E8841AF">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2C4CB210">
      <w:pPr>
        <w:rPr>
          <w:rFonts w:ascii="宋体" w:hAnsi="宋体"/>
          <w:szCs w:val="21"/>
        </w:rPr>
      </w:pPr>
      <w:r>
        <w:rPr>
          <w:rFonts w:hint="eastAsia" w:ascii="宋体" w:hAnsi="宋体"/>
          <w:szCs w:val="21"/>
        </w:rPr>
        <w:t>52.3质疑条件</w:t>
      </w:r>
    </w:p>
    <w:p w14:paraId="1557E156">
      <w:pPr>
        <w:rPr>
          <w:rFonts w:ascii="宋体" w:hAnsi="宋体"/>
          <w:szCs w:val="21"/>
        </w:rPr>
      </w:pPr>
      <w:r>
        <w:rPr>
          <w:rFonts w:hint="eastAsia" w:ascii="宋体" w:hAnsi="宋体"/>
          <w:szCs w:val="21"/>
        </w:rPr>
        <w:t xml:space="preserve">    52.3.1提出质疑的供应商应当是参与所质疑项目采购活动的供应商；</w:t>
      </w:r>
      <w:bookmarkStart w:id="144" w:name="_Hlk75374941"/>
      <w:r>
        <w:rPr>
          <w:rFonts w:hint="eastAsia" w:ascii="宋体" w:hAnsi="宋体"/>
          <w:szCs w:val="21"/>
        </w:rPr>
        <w:t>以联合体形式参与的，质疑应当由组成联合体的所有成员共同提出</w:t>
      </w:r>
      <w:bookmarkEnd w:id="144"/>
      <w:r>
        <w:rPr>
          <w:rFonts w:hint="eastAsia" w:ascii="宋体" w:hAnsi="宋体"/>
          <w:szCs w:val="21"/>
        </w:rPr>
        <w:t>；</w:t>
      </w:r>
    </w:p>
    <w:p w14:paraId="676C6BB1">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456C6222">
      <w:pPr>
        <w:ind w:firstLine="420"/>
        <w:rPr>
          <w:rFonts w:ascii="宋体" w:hAnsi="宋体"/>
          <w:szCs w:val="21"/>
        </w:rPr>
      </w:pPr>
      <w:r>
        <w:rPr>
          <w:rFonts w:hint="eastAsia" w:ascii="宋体" w:hAnsi="宋体"/>
          <w:szCs w:val="21"/>
        </w:rPr>
        <w:t>52.3.3应提交书面质疑函，质疑函应当包括以下内容：</w:t>
      </w:r>
    </w:p>
    <w:p w14:paraId="69FD7D5A">
      <w:pPr>
        <w:ind w:firstLine="420"/>
        <w:rPr>
          <w:rFonts w:ascii="宋体" w:hAnsi="宋体"/>
          <w:szCs w:val="21"/>
        </w:rPr>
      </w:pPr>
      <w:r>
        <w:rPr>
          <w:rFonts w:hint="eastAsia" w:ascii="宋体" w:hAnsi="宋体"/>
          <w:szCs w:val="21"/>
        </w:rPr>
        <w:t>（1）供应商的名称（或者姓名）、地址、邮编、邮箱、联系人及联系电话；</w:t>
      </w:r>
    </w:p>
    <w:p w14:paraId="3CBEDF14">
      <w:pPr>
        <w:ind w:firstLine="420" w:firstLineChars="200"/>
        <w:rPr>
          <w:rFonts w:ascii="宋体" w:hAnsi="宋体"/>
          <w:szCs w:val="21"/>
        </w:rPr>
      </w:pPr>
      <w:r>
        <w:rPr>
          <w:rFonts w:hint="eastAsia" w:ascii="宋体" w:hAnsi="宋体"/>
          <w:szCs w:val="21"/>
        </w:rPr>
        <w:t>（2）质疑项目的名称、编号；</w:t>
      </w:r>
    </w:p>
    <w:p w14:paraId="0180E600">
      <w:pPr>
        <w:ind w:firstLine="420" w:firstLineChars="200"/>
        <w:rPr>
          <w:rFonts w:ascii="宋体" w:hAnsi="宋体"/>
          <w:szCs w:val="21"/>
        </w:rPr>
      </w:pPr>
      <w:r>
        <w:rPr>
          <w:rFonts w:hint="eastAsia" w:ascii="宋体" w:hAnsi="宋体"/>
          <w:szCs w:val="21"/>
        </w:rPr>
        <w:t>（3）具体、明确的质疑对象、质疑事项和质疑请求；</w:t>
      </w:r>
    </w:p>
    <w:p w14:paraId="49043869">
      <w:pPr>
        <w:ind w:firstLine="420" w:firstLineChars="200"/>
        <w:rPr>
          <w:rFonts w:ascii="宋体" w:hAnsi="宋体"/>
          <w:szCs w:val="21"/>
        </w:rPr>
      </w:pPr>
      <w:r>
        <w:rPr>
          <w:rFonts w:hint="eastAsia" w:ascii="宋体" w:hAnsi="宋体"/>
          <w:szCs w:val="21"/>
        </w:rPr>
        <w:t>（4）因质疑事项而受损害的权益；</w:t>
      </w:r>
    </w:p>
    <w:p w14:paraId="41F4E6A4">
      <w:pPr>
        <w:ind w:firstLine="420" w:firstLineChars="200"/>
        <w:rPr>
          <w:rFonts w:ascii="宋体" w:hAnsi="宋体"/>
          <w:szCs w:val="21"/>
        </w:rPr>
      </w:pPr>
      <w:r>
        <w:rPr>
          <w:rFonts w:hint="eastAsia" w:ascii="宋体" w:hAnsi="宋体"/>
          <w:szCs w:val="21"/>
        </w:rPr>
        <w:t>（5）事实依据；</w:t>
      </w:r>
    </w:p>
    <w:p w14:paraId="6B41065B">
      <w:pPr>
        <w:ind w:firstLine="420" w:firstLineChars="200"/>
        <w:rPr>
          <w:rFonts w:ascii="宋体" w:hAnsi="宋体"/>
          <w:szCs w:val="21"/>
        </w:rPr>
      </w:pPr>
      <w:r>
        <w:rPr>
          <w:rFonts w:hint="eastAsia" w:ascii="宋体" w:hAnsi="宋体"/>
          <w:szCs w:val="21"/>
        </w:rPr>
        <w:t>（6）必要的法律依据；</w:t>
      </w:r>
    </w:p>
    <w:p w14:paraId="389DB6AA">
      <w:pPr>
        <w:ind w:firstLine="420" w:firstLineChars="200"/>
        <w:rPr>
          <w:rFonts w:ascii="宋体" w:hAnsi="宋体"/>
          <w:szCs w:val="21"/>
        </w:rPr>
      </w:pPr>
      <w:r>
        <w:rPr>
          <w:rFonts w:hint="eastAsia" w:ascii="宋体" w:hAnsi="宋体"/>
          <w:szCs w:val="21"/>
        </w:rPr>
        <w:t>（7）提出质疑的日期。</w:t>
      </w:r>
    </w:p>
    <w:p w14:paraId="157556ED">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51947A4B">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482471ED">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9337368">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5DF1C40">
      <w:pPr>
        <w:ind w:firstLine="420" w:firstLineChars="200"/>
        <w:rPr>
          <w:rFonts w:ascii="宋体" w:hAnsi="宋体"/>
          <w:szCs w:val="21"/>
        </w:rPr>
      </w:pPr>
      <w:r>
        <w:rPr>
          <w:rFonts w:hint="eastAsia" w:ascii="宋体" w:hAnsi="宋体"/>
          <w:szCs w:val="21"/>
        </w:rPr>
        <w:t>52.5收文地点</w:t>
      </w:r>
    </w:p>
    <w:p w14:paraId="5B4B70F4">
      <w:pPr>
        <w:ind w:firstLine="422" w:firstLineChars="200"/>
        <w:rPr>
          <w:rFonts w:ascii="宋体" w:hAnsi="宋体"/>
          <w:b/>
          <w:bCs/>
          <w:szCs w:val="21"/>
        </w:rPr>
      </w:pPr>
      <w:r>
        <w:rPr>
          <w:rFonts w:hint="eastAsia" w:ascii="宋体" w:hAnsi="宋体"/>
          <w:b/>
          <w:bCs/>
          <w:szCs w:val="21"/>
        </w:rPr>
        <w:t>地址：深圳公共资源交易中心（深圳交易集团有限公司政府采购业务分公司）3楼306室，质疑咨询电话：0755-86500054。</w:t>
      </w:r>
    </w:p>
    <w:p w14:paraId="78393932">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46543D55">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28C1BD9F">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2B944B23">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73135767">
      <w:pPr>
        <w:ind w:firstLine="420" w:firstLineChars="200"/>
        <w:rPr>
          <w:rFonts w:ascii="宋体" w:hAnsi="宋体"/>
          <w:szCs w:val="21"/>
        </w:rPr>
      </w:pPr>
      <w:r>
        <w:rPr>
          <w:rFonts w:hint="eastAsia" w:ascii="宋体" w:hAnsi="宋体"/>
          <w:szCs w:val="21"/>
        </w:rPr>
        <w:t>供应商提交的质疑存在下列情形之一的，不予受理：</w:t>
      </w:r>
    </w:p>
    <w:p w14:paraId="480CF484">
      <w:pPr>
        <w:ind w:firstLine="420" w:firstLineChars="200"/>
        <w:rPr>
          <w:rFonts w:ascii="宋体" w:hAnsi="宋体"/>
          <w:szCs w:val="21"/>
        </w:rPr>
      </w:pPr>
      <w:r>
        <w:rPr>
          <w:rFonts w:hint="eastAsia" w:ascii="宋体" w:hAnsi="宋体"/>
          <w:szCs w:val="21"/>
        </w:rPr>
        <w:t>（1）质疑主体不满足要求的；</w:t>
      </w:r>
    </w:p>
    <w:p w14:paraId="340D4D96">
      <w:pPr>
        <w:ind w:firstLine="420" w:firstLineChars="200"/>
        <w:rPr>
          <w:rFonts w:ascii="宋体" w:hAnsi="宋体"/>
          <w:szCs w:val="21"/>
        </w:rPr>
      </w:pPr>
      <w:r>
        <w:rPr>
          <w:rFonts w:hint="eastAsia" w:ascii="宋体" w:hAnsi="宋体"/>
          <w:szCs w:val="21"/>
        </w:rPr>
        <w:t>（2）供应商自身权益未受到损害的；</w:t>
      </w:r>
    </w:p>
    <w:p w14:paraId="7D6640F7">
      <w:pPr>
        <w:ind w:firstLine="420" w:firstLineChars="200"/>
        <w:rPr>
          <w:rFonts w:ascii="宋体" w:hAnsi="宋体"/>
          <w:szCs w:val="21"/>
        </w:rPr>
      </w:pPr>
      <w:r>
        <w:rPr>
          <w:rFonts w:hint="eastAsia" w:ascii="宋体" w:hAnsi="宋体"/>
          <w:szCs w:val="21"/>
        </w:rPr>
        <w:t>（3）供应商未在法定质疑期限内提出质疑的；</w:t>
      </w:r>
    </w:p>
    <w:p w14:paraId="56D73CE3">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1A47C5BB">
      <w:pPr>
        <w:ind w:firstLine="420" w:firstLineChars="200"/>
        <w:rPr>
          <w:rFonts w:ascii="宋体" w:hAnsi="宋体"/>
          <w:szCs w:val="21"/>
        </w:rPr>
      </w:pPr>
      <w:r>
        <w:rPr>
          <w:rFonts w:hint="eastAsia" w:ascii="宋体" w:hAnsi="宋体"/>
          <w:szCs w:val="21"/>
        </w:rPr>
        <w:t>（5）其他不符合受理条件情形的。</w:t>
      </w:r>
    </w:p>
    <w:p w14:paraId="4E7954AD">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1FB23E1A">
      <w:pPr>
        <w:rPr>
          <w:rFonts w:ascii="宋体" w:hAnsi="宋体"/>
          <w:szCs w:val="21"/>
        </w:rPr>
      </w:pPr>
      <w:r>
        <w:rPr>
          <w:rFonts w:hint="eastAsia" w:ascii="宋体" w:hAnsi="宋体"/>
          <w:szCs w:val="21"/>
        </w:rPr>
        <w:t xml:space="preserve">  52.7质疑答复时限</w:t>
      </w:r>
    </w:p>
    <w:p w14:paraId="14052957">
      <w:pPr>
        <w:rPr>
          <w:rFonts w:ascii="宋体" w:hAnsi="宋体"/>
          <w:szCs w:val="21"/>
        </w:rPr>
      </w:pPr>
      <w:r>
        <w:rPr>
          <w:rFonts w:hint="eastAsia" w:ascii="宋体" w:hAnsi="宋体"/>
          <w:szCs w:val="21"/>
        </w:rPr>
        <w:t xml:space="preserve">    自收文之日起七个工作日内。</w:t>
      </w:r>
    </w:p>
    <w:p w14:paraId="250FA36F">
      <w:pPr>
        <w:rPr>
          <w:rFonts w:ascii="宋体" w:hAnsi="宋体"/>
          <w:szCs w:val="21"/>
        </w:rPr>
      </w:pPr>
      <w:r>
        <w:rPr>
          <w:rFonts w:hint="eastAsia" w:ascii="宋体" w:hAnsi="宋体"/>
          <w:szCs w:val="21"/>
        </w:rPr>
        <w:t xml:space="preserve">    52.8投诉</w:t>
      </w:r>
    </w:p>
    <w:p w14:paraId="63FD8EF9">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14:paraId="1162C266">
      <w:pPr>
        <w:rPr>
          <w:rFonts w:ascii="黑体" w:hAnsi="宋体" w:eastAsia="黑体"/>
          <w:sz w:val="24"/>
        </w:rPr>
      </w:pPr>
      <w:r>
        <w:rPr>
          <w:rFonts w:hint="eastAsia" w:ascii="黑体" w:hAnsi="宋体" w:eastAsia="黑体"/>
          <w:sz w:val="24"/>
        </w:rPr>
        <w:t>53. 质疑后续处理</w:t>
      </w:r>
    </w:p>
    <w:p w14:paraId="14C871AA">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68BD397B">
      <w:pPr>
        <w:rPr>
          <w:rFonts w:ascii="宋体" w:hAnsi="宋体"/>
          <w:szCs w:val="21"/>
        </w:rP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E5322C3">
      <w:pPr>
        <w:jc w:val="center"/>
      </w:pPr>
      <w:r>
        <w:t>---- END ----</w:t>
      </w:r>
      <w:bookmarkEnd w:id="143"/>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85100">
    <w:pPr>
      <w:pStyle w:val="27"/>
      <w:framePr w:wrap="around" w:vAnchor="text" w:hAnchor="margin" w:xAlign="center" w:y="1"/>
      <w:rPr>
        <w:rStyle w:val="48"/>
      </w:rPr>
    </w:pPr>
    <w:r>
      <w:t xml:space="preserve">- </w:t>
    </w:r>
    <w:r>
      <w:fldChar w:fldCharType="begin"/>
    </w:r>
    <w:r>
      <w:instrText xml:space="preserve"> PAGE </w:instrText>
    </w:r>
    <w:r>
      <w:fldChar w:fldCharType="separate"/>
    </w:r>
    <w:r>
      <w:t>2</w:t>
    </w:r>
    <w:r>
      <w:fldChar w:fldCharType="end"/>
    </w:r>
    <w:r>
      <w:t xml:space="preserve"> -</w:t>
    </w:r>
  </w:p>
  <w:p w14:paraId="41982A24">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1A0C4">
    <w:pPr>
      <w:pStyle w:val="27"/>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14:paraId="7C3144E2">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17A8F">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9"/>
      <w:lvlText w:val="%1."/>
      <w:lvlJc w:val="left"/>
      <w:pPr>
        <w:tabs>
          <w:tab w:val="left" w:pos="7994"/>
        </w:tabs>
        <w:ind w:left="7994" w:leftChars="800" w:hanging="360" w:hangingChars="200"/>
      </w:pPr>
    </w:lvl>
  </w:abstractNum>
  <w:abstractNum w:abstractNumId="1">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2">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60D20D0"/>
    <w:multiLevelType w:val="multilevel"/>
    <w:tmpl w:val="160D20D0"/>
    <w:lvl w:ilvl="0" w:tentative="0">
      <w:start w:val="1"/>
      <w:numFmt w:val="bullet"/>
      <w:pStyle w:val="75"/>
      <w:lvlText w:val=""/>
      <w:lvlJc w:val="left"/>
      <w:pPr>
        <w:tabs>
          <w:tab w:val="left" w:pos="840"/>
        </w:tabs>
        <w:ind w:left="840" w:hanging="420"/>
      </w:pPr>
      <w:rPr>
        <w:rFonts w:hint="default" w:ascii="Wingdings" w:hAnsi="Wingdings"/>
      </w:rPr>
    </w:lvl>
    <w:lvl w:ilvl="1" w:tentative="0">
      <w:start w:val="1"/>
      <w:numFmt w:val="bullet"/>
      <w:pStyle w:val="7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1EBE16C1"/>
    <w:multiLevelType w:val="multilevel"/>
    <w:tmpl w:val="1EBE16C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F395B7B"/>
    <w:multiLevelType w:val="multilevel"/>
    <w:tmpl w:val="2F395B7B"/>
    <w:lvl w:ilvl="0" w:tentative="0">
      <w:start w:val="1"/>
      <w:numFmt w:val="bullet"/>
      <w:pStyle w:val="167"/>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3CB6A7FE"/>
    <w:multiLevelType w:val="singleLevel"/>
    <w:tmpl w:val="3CB6A7FE"/>
    <w:lvl w:ilvl="0" w:tentative="0">
      <w:start w:val="2"/>
      <w:numFmt w:val="decimal"/>
      <w:suff w:val="nothing"/>
      <w:lvlText w:val="%1、"/>
      <w:lvlJc w:val="left"/>
    </w:lvl>
  </w:abstractNum>
  <w:abstractNum w:abstractNumId="8">
    <w:nsid w:val="3EF508B4"/>
    <w:multiLevelType w:val="multilevel"/>
    <w:tmpl w:val="3EF508B4"/>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4D034486"/>
    <w:multiLevelType w:val="singleLevel"/>
    <w:tmpl w:val="4D034486"/>
    <w:lvl w:ilvl="0" w:tentative="0">
      <w:start w:val="3"/>
      <w:numFmt w:val="chineseCounting"/>
      <w:suff w:val="space"/>
      <w:lvlText w:val="第%1条"/>
      <w:lvlJc w:val="left"/>
      <w:rPr>
        <w:rFonts w:hint="eastAsia"/>
      </w:rPr>
    </w:lvl>
  </w:abstractNum>
  <w:abstractNum w:abstractNumId="10">
    <w:nsid w:val="7AEF7716"/>
    <w:multiLevelType w:val="multilevel"/>
    <w:tmpl w:val="7AEF7716"/>
    <w:lvl w:ilvl="0" w:tentative="0">
      <w:start w:val="1"/>
      <w:numFmt w:val="chineseCountingThousand"/>
      <w:pStyle w:val="12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10"/>
  </w:num>
  <w:num w:numId="6">
    <w:abstractNumId w:val="6"/>
  </w:num>
  <w:num w:numId="7">
    <w:abstractNumId w:val="8"/>
  </w:num>
  <w:num w:numId="8">
    <w:abstractNumId w:val="5"/>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OWU1MzY1OTQ5OTJmMDNkZTgyMmQxZGM1NzFkMjQifQ=="/>
  </w:docVars>
  <w:rsids>
    <w:rsidRoot w:val="006C5683"/>
    <w:rsid w:val="000006EA"/>
    <w:rsid w:val="00000AD9"/>
    <w:rsid w:val="000043C0"/>
    <w:rsid w:val="00004F2D"/>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0A3D"/>
    <w:rsid w:val="00060C1C"/>
    <w:rsid w:val="00061D20"/>
    <w:rsid w:val="0006267A"/>
    <w:rsid w:val="0006335B"/>
    <w:rsid w:val="00063C25"/>
    <w:rsid w:val="00064892"/>
    <w:rsid w:val="00066026"/>
    <w:rsid w:val="0006660A"/>
    <w:rsid w:val="0006670C"/>
    <w:rsid w:val="00067960"/>
    <w:rsid w:val="0007003A"/>
    <w:rsid w:val="00070210"/>
    <w:rsid w:val="000707BF"/>
    <w:rsid w:val="00072B70"/>
    <w:rsid w:val="00072CB4"/>
    <w:rsid w:val="000734CD"/>
    <w:rsid w:val="00074403"/>
    <w:rsid w:val="000750DC"/>
    <w:rsid w:val="00075497"/>
    <w:rsid w:val="0007583C"/>
    <w:rsid w:val="00075E26"/>
    <w:rsid w:val="00076057"/>
    <w:rsid w:val="000770EC"/>
    <w:rsid w:val="00080613"/>
    <w:rsid w:val="00082667"/>
    <w:rsid w:val="00082AD2"/>
    <w:rsid w:val="00083DC6"/>
    <w:rsid w:val="00084857"/>
    <w:rsid w:val="000849B8"/>
    <w:rsid w:val="000850AF"/>
    <w:rsid w:val="000852EB"/>
    <w:rsid w:val="000869D8"/>
    <w:rsid w:val="00086CA6"/>
    <w:rsid w:val="00090213"/>
    <w:rsid w:val="00092FC7"/>
    <w:rsid w:val="00093133"/>
    <w:rsid w:val="0009395E"/>
    <w:rsid w:val="00094C6E"/>
    <w:rsid w:val="000954D5"/>
    <w:rsid w:val="00095723"/>
    <w:rsid w:val="000959B5"/>
    <w:rsid w:val="00095A74"/>
    <w:rsid w:val="0009618D"/>
    <w:rsid w:val="0009709B"/>
    <w:rsid w:val="000975E3"/>
    <w:rsid w:val="000A1DD1"/>
    <w:rsid w:val="000A21A5"/>
    <w:rsid w:val="000A3908"/>
    <w:rsid w:val="000A4C29"/>
    <w:rsid w:val="000A5B36"/>
    <w:rsid w:val="000A6E2B"/>
    <w:rsid w:val="000A79D3"/>
    <w:rsid w:val="000B05E2"/>
    <w:rsid w:val="000B2568"/>
    <w:rsid w:val="000B41BB"/>
    <w:rsid w:val="000B5357"/>
    <w:rsid w:val="000B597F"/>
    <w:rsid w:val="000B634D"/>
    <w:rsid w:val="000B73D2"/>
    <w:rsid w:val="000B7465"/>
    <w:rsid w:val="000C14CB"/>
    <w:rsid w:val="000C18BC"/>
    <w:rsid w:val="000C1D03"/>
    <w:rsid w:val="000C1EE4"/>
    <w:rsid w:val="000C1FF9"/>
    <w:rsid w:val="000C4151"/>
    <w:rsid w:val="000C4425"/>
    <w:rsid w:val="000C4B12"/>
    <w:rsid w:val="000C5FA7"/>
    <w:rsid w:val="000C7E71"/>
    <w:rsid w:val="000D0BCE"/>
    <w:rsid w:val="000D16AA"/>
    <w:rsid w:val="000D1A7D"/>
    <w:rsid w:val="000D2309"/>
    <w:rsid w:val="000D2CCA"/>
    <w:rsid w:val="000D366B"/>
    <w:rsid w:val="000D37B4"/>
    <w:rsid w:val="000D38F9"/>
    <w:rsid w:val="000D5D6B"/>
    <w:rsid w:val="000D7A20"/>
    <w:rsid w:val="000E161C"/>
    <w:rsid w:val="000E2C39"/>
    <w:rsid w:val="000E355C"/>
    <w:rsid w:val="000E4445"/>
    <w:rsid w:val="000E470B"/>
    <w:rsid w:val="000E4DE8"/>
    <w:rsid w:val="000E4EF8"/>
    <w:rsid w:val="000E50F5"/>
    <w:rsid w:val="000E5E99"/>
    <w:rsid w:val="000E655B"/>
    <w:rsid w:val="000E6A66"/>
    <w:rsid w:val="000F0C3B"/>
    <w:rsid w:val="000F0E9F"/>
    <w:rsid w:val="000F1540"/>
    <w:rsid w:val="000F1D4A"/>
    <w:rsid w:val="000F2065"/>
    <w:rsid w:val="000F2A88"/>
    <w:rsid w:val="000F2C23"/>
    <w:rsid w:val="000F2D1B"/>
    <w:rsid w:val="000F3658"/>
    <w:rsid w:val="000F3B37"/>
    <w:rsid w:val="000F3C85"/>
    <w:rsid w:val="000F3F12"/>
    <w:rsid w:val="000F565B"/>
    <w:rsid w:val="000F5C6C"/>
    <w:rsid w:val="000F5F3F"/>
    <w:rsid w:val="000F64AD"/>
    <w:rsid w:val="00100570"/>
    <w:rsid w:val="00101CE5"/>
    <w:rsid w:val="00101DD0"/>
    <w:rsid w:val="00102555"/>
    <w:rsid w:val="0010291B"/>
    <w:rsid w:val="00102B4B"/>
    <w:rsid w:val="00103AB9"/>
    <w:rsid w:val="00103E80"/>
    <w:rsid w:val="00107187"/>
    <w:rsid w:val="00107272"/>
    <w:rsid w:val="00107D54"/>
    <w:rsid w:val="00110383"/>
    <w:rsid w:val="00110B62"/>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1FC"/>
    <w:rsid w:val="001306FE"/>
    <w:rsid w:val="00130827"/>
    <w:rsid w:val="001308A2"/>
    <w:rsid w:val="00131140"/>
    <w:rsid w:val="001317AD"/>
    <w:rsid w:val="00131FC3"/>
    <w:rsid w:val="0013281E"/>
    <w:rsid w:val="00132FD3"/>
    <w:rsid w:val="001339CF"/>
    <w:rsid w:val="0013673A"/>
    <w:rsid w:val="00136D81"/>
    <w:rsid w:val="001410EB"/>
    <w:rsid w:val="00141224"/>
    <w:rsid w:val="00143103"/>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0ED1"/>
    <w:rsid w:val="0017121A"/>
    <w:rsid w:val="00171401"/>
    <w:rsid w:val="0017141F"/>
    <w:rsid w:val="00171777"/>
    <w:rsid w:val="001719FB"/>
    <w:rsid w:val="00172B65"/>
    <w:rsid w:val="00172EF5"/>
    <w:rsid w:val="001732E1"/>
    <w:rsid w:val="0017486B"/>
    <w:rsid w:val="0017613E"/>
    <w:rsid w:val="00177167"/>
    <w:rsid w:val="00177753"/>
    <w:rsid w:val="00181A71"/>
    <w:rsid w:val="00182329"/>
    <w:rsid w:val="0018261B"/>
    <w:rsid w:val="001834A7"/>
    <w:rsid w:val="0018373B"/>
    <w:rsid w:val="00183C79"/>
    <w:rsid w:val="00183C8B"/>
    <w:rsid w:val="00183E75"/>
    <w:rsid w:val="001845CF"/>
    <w:rsid w:val="001865BB"/>
    <w:rsid w:val="00186EAE"/>
    <w:rsid w:val="00186F7A"/>
    <w:rsid w:val="00187518"/>
    <w:rsid w:val="00187743"/>
    <w:rsid w:val="00187F07"/>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5963"/>
    <w:rsid w:val="001B6FAD"/>
    <w:rsid w:val="001C04B2"/>
    <w:rsid w:val="001C14C1"/>
    <w:rsid w:val="001C1FDE"/>
    <w:rsid w:val="001C2063"/>
    <w:rsid w:val="001C21E1"/>
    <w:rsid w:val="001C3426"/>
    <w:rsid w:val="001C4675"/>
    <w:rsid w:val="001C4768"/>
    <w:rsid w:val="001C5839"/>
    <w:rsid w:val="001C6AF6"/>
    <w:rsid w:val="001C7129"/>
    <w:rsid w:val="001C77E1"/>
    <w:rsid w:val="001C7ADA"/>
    <w:rsid w:val="001C7B48"/>
    <w:rsid w:val="001C7EA0"/>
    <w:rsid w:val="001D121D"/>
    <w:rsid w:val="001D3543"/>
    <w:rsid w:val="001D4151"/>
    <w:rsid w:val="001D58E5"/>
    <w:rsid w:val="001D7299"/>
    <w:rsid w:val="001E0FAB"/>
    <w:rsid w:val="001E2084"/>
    <w:rsid w:val="001E2502"/>
    <w:rsid w:val="001E292F"/>
    <w:rsid w:val="001E351C"/>
    <w:rsid w:val="001E474D"/>
    <w:rsid w:val="001E5194"/>
    <w:rsid w:val="001E5851"/>
    <w:rsid w:val="001E5A81"/>
    <w:rsid w:val="001E62FB"/>
    <w:rsid w:val="001E6A0B"/>
    <w:rsid w:val="001E77DA"/>
    <w:rsid w:val="001E7A2F"/>
    <w:rsid w:val="001E7AB0"/>
    <w:rsid w:val="001E7DD0"/>
    <w:rsid w:val="001F0349"/>
    <w:rsid w:val="001F077B"/>
    <w:rsid w:val="001F0B74"/>
    <w:rsid w:val="001F2648"/>
    <w:rsid w:val="001F3E37"/>
    <w:rsid w:val="001F41B9"/>
    <w:rsid w:val="001F4BE8"/>
    <w:rsid w:val="001F4EB8"/>
    <w:rsid w:val="001F560A"/>
    <w:rsid w:val="001F6270"/>
    <w:rsid w:val="001F6318"/>
    <w:rsid w:val="001F65B1"/>
    <w:rsid w:val="001F6B83"/>
    <w:rsid w:val="001F6F6A"/>
    <w:rsid w:val="001F7595"/>
    <w:rsid w:val="002000B8"/>
    <w:rsid w:val="002005CD"/>
    <w:rsid w:val="00200B4C"/>
    <w:rsid w:val="00202F46"/>
    <w:rsid w:val="00203267"/>
    <w:rsid w:val="00203897"/>
    <w:rsid w:val="0020391D"/>
    <w:rsid w:val="00205F9C"/>
    <w:rsid w:val="002060F7"/>
    <w:rsid w:val="00207BC6"/>
    <w:rsid w:val="00210771"/>
    <w:rsid w:val="00210EE2"/>
    <w:rsid w:val="00211885"/>
    <w:rsid w:val="00212864"/>
    <w:rsid w:val="00212ADF"/>
    <w:rsid w:val="002134CF"/>
    <w:rsid w:val="00213A60"/>
    <w:rsid w:val="0021429B"/>
    <w:rsid w:val="00214AE6"/>
    <w:rsid w:val="00215699"/>
    <w:rsid w:val="002159DE"/>
    <w:rsid w:val="00215E99"/>
    <w:rsid w:val="0021667D"/>
    <w:rsid w:val="002166A1"/>
    <w:rsid w:val="002166A6"/>
    <w:rsid w:val="00216BB6"/>
    <w:rsid w:val="0022039D"/>
    <w:rsid w:val="0022048B"/>
    <w:rsid w:val="0022175C"/>
    <w:rsid w:val="00222261"/>
    <w:rsid w:val="002227DF"/>
    <w:rsid w:val="00223AC8"/>
    <w:rsid w:val="00223C96"/>
    <w:rsid w:val="00224852"/>
    <w:rsid w:val="0022634D"/>
    <w:rsid w:val="00227512"/>
    <w:rsid w:val="0022766E"/>
    <w:rsid w:val="0022777A"/>
    <w:rsid w:val="002278D5"/>
    <w:rsid w:val="00227C13"/>
    <w:rsid w:val="00227D49"/>
    <w:rsid w:val="00227FC7"/>
    <w:rsid w:val="0023110A"/>
    <w:rsid w:val="00233A54"/>
    <w:rsid w:val="00234440"/>
    <w:rsid w:val="002347C9"/>
    <w:rsid w:val="00236E72"/>
    <w:rsid w:val="0023738E"/>
    <w:rsid w:val="002411BD"/>
    <w:rsid w:val="00241DEE"/>
    <w:rsid w:val="00242ED3"/>
    <w:rsid w:val="00244711"/>
    <w:rsid w:val="00244AE4"/>
    <w:rsid w:val="00245EBE"/>
    <w:rsid w:val="002472C1"/>
    <w:rsid w:val="002473F4"/>
    <w:rsid w:val="00247D64"/>
    <w:rsid w:val="00250F42"/>
    <w:rsid w:val="00252EBA"/>
    <w:rsid w:val="0025361A"/>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2CD"/>
    <w:rsid w:val="00270B4E"/>
    <w:rsid w:val="00271500"/>
    <w:rsid w:val="00272E57"/>
    <w:rsid w:val="00274663"/>
    <w:rsid w:val="00275641"/>
    <w:rsid w:val="0027569A"/>
    <w:rsid w:val="002767D9"/>
    <w:rsid w:val="00280382"/>
    <w:rsid w:val="00280F4B"/>
    <w:rsid w:val="002816D0"/>
    <w:rsid w:val="002821E9"/>
    <w:rsid w:val="002827D2"/>
    <w:rsid w:val="002835B7"/>
    <w:rsid w:val="00284C1F"/>
    <w:rsid w:val="002851AF"/>
    <w:rsid w:val="00285866"/>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4E9"/>
    <w:rsid w:val="002B660D"/>
    <w:rsid w:val="002B7969"/>
    <w:rsid w:val="002C0031"/>
    <w:rsid w:val="002C0485"/>
    <w:rsid w:val="002C0762"/>
    <w:rsid w:val="002C257A"/>
    <w:rsid w:val="002C2BEC"/>
    <w:rsid w:val="002C30C0"/>
    <w:rsid w:val="002C4F4B"/>
    <w:rsid w:val="002C5233"/>
    <w:rsid w:val="002C6EC0"/>
    <w:rsid w:val="002C7258"/>
    <w:rsid w:val="002D0189"/>
    <w:rsid w:val="002D0356"/>
    <w:rsid w:val="002D07C0"/>
    <w:rsid w:val="002D0F98"/>
    <w:rsid w:val="002D1DFB"/>
    <w:rsid w:val="002D45BF"/>
    <w:rsid w:val="002D4A85"/>
    <w:rsid w:val="002D6162"/>
    <w:rsid w:val="002D64DF"/>
    <w:rsid w:val="002D750A"/>
    <w:rsid w:val="002E242E"/>
    <w:rsid w:val="002E2FEC"/>
    <w:rsid w:val="002E38DB"/>
    <w:rsid w:val="002E3BEB"/>
    <w:rsid w:val="002E441D"/>
    <w:rsid w:val="002E4AB1"/>
    <w:rsid w:val="002E4F11"/>
    <w:rsid w:val="002E4F8A"/>
    <w:rsid w:val="002E505D"/>
    <w:rsid w:val="002E6F69"/>
    <w:rsid w:val="002E7296"/>
    <w:rsid w:val="002E73B8"/>
    <w:rsid w:val="002F0545"/>
    <w:rsid w:val="002F0823"/>
    <w:rsid w:val="002F2471"/>
    <w:rsid w:val="002F2B7A"/>
    <w:rsid w:val="002F3105"/>
    <w:rsid w:val="002F59F2"/>
    <w:rsid w:val="002F5E6C"/>
    <w:rsid w:val="002F72FF"/>
    <w:rsid w:val="00300BF3"/>
    <w:rsid w:val="0030143F"/>
    <w:rsid w:val="00301A2B"/>
    <w:rsid w:val="00301BCD"/>
    <w:rsid w:val="00302988"/>
    <w:rsid w:val="00303ACF"/>
    <w:rsid w:val="0030463E"/>
    <w:rsid w:val="00304ED6"/>
    <w:rsid w:val="00306654"/>
    <w:rsid w:val="00306D5D"/>
    <w:rsid w:val="00306FF4"/>
    <w:rsid w:val="00310EE1"/>
    <w:rsid w:val="003122B0"/>
    <w:rsid w:val="00312390"/>
    <w:rsid w:val="003123F4"/>
    <w:rsid w:val="00313487"/>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7BA"/>
    <w:rsid w:val="00324A1D"/>
    <w:rsid w:val="00324C55"/>
    <w:rsid w:val="003250B4"/>
    <w:rsid w:val="00325742"/>
    <w:rsid w:val="00327224"/>
    <w:rsid w:val="00327AB3"/>
    <w:rsid w:val="00327F9E"/>
    <w:rsid w:val="00330527"/>
    <w:rsid w:val="00330C9F"/>
    <w:rsid w:val="003318A6"/>
    <w:rsid w:val="003321A8"/>
    <w:rsid w:val="00332EB1"/>
    <w:rsid w:val="00333E63"/>
    <w:rsid w:val="00334044"/>
    <w:rsid w:val="00334CB0"/>
    <w:rsid w:val="00335188"/>
    <w:rsid w:val="00335234"/>
    <w:rsid w:val="003373B8"/>
    <w:rsid w:val="003413F4"/>
    <w:rsid w:val="00342DC1"/>
    <w:rsid w:val="00342EF7"/>
    <w:rsid w:val="003432B6"/>
    <w:rsid w:val="003434E9"/>
    <w:rsid w:val="00343F41"/>
    <w:rsid w:val="00344BF3"/>
    <w:rsid w:val="00345CC1"/>
    <w:rsid w:val="00345EA7"/>
    <w:rsid w:val="0034652C"/>
    <w:rsid w:val="00346606"/>
    <w:rsid w:val="00346E73"/>
    <w:rsid w:val="00346F27"/>
    <w:rsid w:val="0035067B"/>
    <w:rsid w:val="00350681"/>
    <w:rsid w:val="00350B6E"/>
    <w:rsid w:val="00351A4A"/>
    <w:rsid w:val="00351D95"/>
    <w:rsid w:val="00351FB4"/>
    <w:rsid w:val="00353860"/>
    <w:rsid w:val="00354CD9"/>
    <w:rsid w:val="003556C1"/>
    <w:rsid w:val="00355EEE"/>
    <w:rsid w:val="00356FC1"/>
    <w:rsid w:val="00357883"/>
    <w:rsid w:val="00360494"/>
    <w:rsid w:val="00360C00"/>
    <w:rsid w:val="00361243"/>
    <w:rsid w:val="00361633"/>
    <w:rsid w:val="00361935"/>
    <w:rsid w:val="003626AE"/>
    <w:rsid w:val="0036292A"/>
    <w:rsid w:val="00362AF3"/>
    <w:rsid w:val="00362EFF"/>
    <w:rsid w:val="0036467D"/>
    <w:rsid w:val="00364BEE"/>
    <w:rsid w:val="0036508D"/>
    <w:rsid w:val="003651C8"/>
    <w:rsid w:val="00366321"/>
    <w:rsid w:val="00366419"/>
    <w:rsid w:val="003669F1"/>
    <w:rsid w:val="00366F10"/>
    <w:rsid w:val="003700A3"/>
    <w:rsid w:val="00370B40"/>
    <w:rsid w:val="00371A92"/>
    <w:rsid w:val="00371C15"/>
    <w:rsid w:val="00372CDF"/>
    <w:rsid w:val="00373411"/>
    <w:rsid w:val="00373D40"/>
    <w:rsid w:val="003741F6"/>
    <w:rsid w:val="00374A29"/>
    <w:rsid w:val="00374FA4"/>
    <w:rsid w:val="003756C6"/>
    <w:rsid w:val="00376E35"/>
    <w:rsid w:val="003773AC"/>
    <w:rsid w:val="00377F6C"/>
    <w:rsid w:val="00380094"/>
    <w:rsid w:val="00380256"/>
    <w:rsid w:val="0038165D"/>
    <w:rsid w:val="00383071"/>
    <w:rsid w:val="00385175"/>
    <w:rsid w:val="00385444"/>
    <w:rsid w:val="00385F39"/>
    <w:rsid w:val="00386070"/>
    <w:rsid w:val="00387DCF"/>
    <w:rsid w:val="00390006"/>
    <w:rsid w:val="003900A5"/>
    <w:rsid w:val="0039012D"/>
    <w:rsid w:val="003917AD"/>
    <w:rsid w:val="003917D1"/>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11D"/>
    <w:rsid w:val="003A0DC3"/>
    <w:rsid w:val="003A1675"/>
    <w:rsid w:val="003A1CA9"/>
    <w:rsid w:val="003A1CF5"/>
    <w:rsid w:val="003A2812"/>
    <w:rsid w:val="003A2D0C"/>
    <w:rsid w:val="003A3304"/>
    <w:rsid w:val="003A3551"/>
    <w:rsid w:val="003A38F0"/>
    <w:rsid w:val="003A443D"/>
    <w:rsid w:val="003A4DE4"/>
    <w:rsid w:val="003A6A5A"/>
    <w:rsid w:val="003A72E9"/>
    <w:rsid w:val="003B175A"/>
    <w:rsid w:val="003B3231"/>
    <w:rsid w:val="003B357A"/>
    <w:rsid w:val="003B499C"/>
    <w:rsid w:val="003B4CCD"/>
    <w:rsid w:val="003B53D4"/>
    <w:rsid w:val="003B56D7"/>
    <w:rsid w:val="003B7298"/>
    <w:rsid w:val="003C0FF8"/>
    <w:rsid w:val="003C1D0C"/>
    <w:rsid w:val="003C1F2E"/>
    <w:rsid w:val="003C42A3"/>
    <w:rsid w:val="003C49D5"/>
    <w:rsid w:val="003C4FD5"/>
    <w:rsid w:val="003C582B"/>
    <w:rsid w:val="003C6BFF"/>
    <w:rsid w:val="003C7930"/>
    <w:rsid w:val="003D2333"/>
    <w:rsid w:val="003D2E1B"/>
    <w:rsid w:val="003D3241"/>
    <w:rsid w:val="003D39AE"/>
    <w:rsid w:val="003D4804"/>
    <w:rsid w:val="003D5413"/>
    <w:rsid w:val="003D7685"/>
    <w:rsid w:val="003D7E9A"/>
    <w:rsid w:val="003E0366"/>
    <w:rsid w:val="003E100C"/>
    <w:rsid w:val="003E1C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C9D"/>
    <w:rsid w:val="003F5D2C"/>
    <w:rsid w:val="003F7679"/>
    <w:rsid w:val="00400C13"/>
    <w:rsid w:val="00401F48"/>
    <w:rsid w:val="00402311"/>
    <w:rsid w:val="0040239F"/>
    <w:rsid w:val="00402C97"/>
    <w:rsid w:val="00403364"/>
    <w:rsid w:val="0040415C"/>
    <w:rsid w:val="00404AA4"/>
    <w:rsid w:val="00404AF1"/>
    <w:rsid w:val="00404C61"/>
    <w:rsid w:val="004050C9"/>
    <w:rsid w:val="004051F0"/>
    <w:rsid w:val="00405C04"/>
    <w:rsid w:val="00406314"/>
    <w:rsid w:val="00406376"/>
    <w:rsid w:val="00406896"/>
    <w:rsid w:val="00411B37"/>
    <w:rsid w:val="0041244F"/>
    <w:rsid w:val="004125ED"/>
    <w:rsid w:val="0041353D"/>
    <w:rsid w:val="00413B39"/>
    <w:rsid w:val="0041450E"/>
    <w:rsid w:val="0041456E"/>
    <w:rsid w:val="00415370"/>
    <w:rsid w:val="00415781"/>
    <w:rsid w:val="00416485"/>
    <w:rsid w:val="00416F40"/>
    <w:rsid w:val="00417769"/>
    <w:rsid w:val="00417F0D"/>
    <w:rsid w:val="00420765"/>
    <w:rsid w:val="00421EF2"/>
    <w:rsid w:val="00422668"/>
    <w:rsid w:val="0042482B"/>
    <w:rsid w:val="00424946"/>
    <w:rsid w:val="0042602D"/>
    <w:rsid w:val="004261DA"/>
    <w:rsid w:val="00427004"/>
    <w:rsid w:val="00431540"/>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59DC"/>
    <w:rsid w:val="00446553"/>
    <w:rsid w:val="00446A92"/>
    <w:rsid w:val="004501B4"/>
    <w:rsid w:val="0045082F"/>
    <w:rsid w:val="00450C00"/>
    <w:rsid w:val="0045135E"/>
    <w:rsid w:val="00452434"/>
    <w:rsid w:val="00452C53"/>
    <w:rsid w:val="004539C7"/>
    <w:rsid w:val="00454026"/>
    <w:rsid w:val="00454597"/>
    <w:rsid w:val="004548E6"/>
    <w:rsid w:val="0045543A"/>
    <w:rsid w:val="0045543C"/>
    <w:rsid w:val="004556FB"/>
    <w:rsid w:val="00455880"/>
    <w:rsid w:val="004561F9"/>
    <w:rsid w:val="0045637C"/>
    <w:rsid w:val="004563C4"/>
    <w:rsid w:val="004569A3"/>
    <w:rsid w:val="004578ED"/>
    <w:rsid w:val="00457EFC"/>
    <w:rsid w:val="0046064C"/>
    <w:rsid w:val="004611B6"/>
    <w:rsid w:val="00461997"/>
    <w:rsid w:val="00463F8B"/>
    <w:rsid w:val="004644C2"/>
    <w:rsid w:val="004649AD"/>
    <w:rsid w:val="004650E7"/>
    <w:rsid w:val="0046687B"/>
    <w:rsid w:val="00466CB4"/>
    <w:rsid w:val="00470418"/>
    <w:rsid w:val="004704EA"/>
    <w:rsid w:val="0047071D"/>
    <w:rsid w:val="004720F6"/>
    <w:rsid w:val="004727C4"/>
    <w:rsid w:val="00472F62"/>
    <w:rsid w:val="00473579"/>
    <w:rsid w:val="00473E50"/>
    <w:rsid w:val="00474E5A"/>
    <w:rsid w:val="0047558F"/>
    <w:rsid w:val="00475FD5"/>
    <w:rsid w:val="00476FED"/>
    <w:rsid w:val="0047725A"/>
    <w:rsid w:val="004812F4"/>
    <w:rsid w:val="0048231B"/>
    <w:rsid w:val="004838D4"/>
    <w:rsid w:val="004845AC"/>
    <w:rsid w:val="00484C31"/>
    <w:rsid w:val="00485E3C"/>
    <w:rsid w:val="00486F09"/>
    <w:rsid w:val="004877FB"/>
    <w:rsid w:val="004906DB"/>
    <w:rsid w:val="00490C0F"/>
    <w:rsid w:val="00491FF2"/>
    <w:rsid w:val="004925EE"/>
    <w:rsid w:val="00492735"/>
    <w:rsid w:val="00493926"/>
    <w:rsid w:val="004945E8"/>
    <w:rsid w:val="00494FC9"/>
    <w:rsid w:val="00495228"/>
    <w:rsid w:val="004963B6"/>
    <w:rsid w:val="004A1AB1"/>
    <w:rsid w:val="004A2013"/>
    <w:rsid w:val="004A201B"/>
    <w:rsid w:val="004A2B7A"/>
    <w:rsid w:val="004A3EB3"/>
    <w:rsid w:val="004A4377"/>
    <w:rsid w:val="004A57EB"/>
    <w:rsid w:val="004A5824"/>
    <w:rsid w:val="004A59D3"/>
    <w:rsid w:val="004A6156"/>
    <w:rsid w:val="004A6D7C"/>
    <w:rsid w:val="004A6F11"/>
    <w:rsid w:val="004A74DD"/>
    <w:rsid w:val="004B00D1"/>
    <w:rsid w:val="004B0AC8"/>
    <w:rsid w:val="004B0B57"/>
    <w:rsid w:val="004B0BBE"/>
    <w:rsid w:val="004B0EB0"/>
    <w:rsid w:val="004B1246"/>
    <w:rsid w:val="004B1340"/>
    <w:rsid w:val="004B1CAB"/>
    <w:rsid w:val="004B2FF9"/>
    <w:rsid w:val="004B3506"/>
    <w:rsid w:val="004B36ED"/>
    <w:rsid w:val="004B40DB"/>
    <w:rsid w:val="004B4EF6"/>
    <w:rsid w:val="004B612E"/>
    <w:rsid w:val="004B623B"/>
    <w:rsid w:val="004B6554"/>
    <w:rsid w:val="004B6B22"/>
    <w:rsid w:val="004B6C50"/>
    <w:rsid w:val="004C0DA0"/>
    <w:rsid w:val="004C3E02"/>
    <w:rsid w:val="004C422D"/>
    <w:rsid w:val="004C440E"/>
    <w:rsid w:val="004C4CEB"/>
    <w:rsid w:val="004C5CBA"/>
    <w:rsid w:val="004C64D8"/>
    <w:rsid w:val="004C64F7"/>
    <w:rsid w:val="004C6C09"/>
    <w:rsid w:val="004C6EA3"/>
    <w:rsid w:val="004C7BCD"/>
    <w:rsid w:val="004D000F"/>
    <w:rsid w:val="004D055D"/>
    <w:rsid w:val="004D1240"/>
    <w:rsid w:val="004D12F6"/>
    <w:rsid w:val="004D1946"/>
    <w:rsid w:val="004D32ED"/>
    <w:rsid w:val="004D3E71"/>
    <w:rsid w:val="004D49EE"/>
    <w:rsid w:val="004D4AE0"/>
    <w:rsid w:val="004D4C0B"/>
    <w:rsid w:val="004D69FC"/>
    <w:rsid w:val="004D72BA"/>
    <w:rsid w:val="004D77BD"/>
    <w:rsid w:val="004D77DE"/>
    <w:rsid w:val="004D7BF4"/>
    <w:rsid w:val="004D7C92"/>
    <w:rsid w:val="004E295C"/>
    <w:rsid w:val="004E38B2"/>
    <w:rsid w:val="004E3936"/>
    <w:rsid w:val="004E490B"/>
    <w:rsid w:val="004E57F7"/>
    <w:rsid w:val="004E5D9C"/>
    <w:rsid w:val="004E6191"/>
    <w:rsid w:val="004E6707"/>
    <w:rsid w:val="004E6B8E"/>
    <w:rsid w:val="004F0543"/>
    <w:rsid w:val="004F0D33"/>
    <w:rsid w:val="004F2385"/>
    <w:rsid w:val="004F246C"/>
    <w:rsid w:val="004F3A97"/>
    <w:rsid w:val="004F5591"/>
    <w:rsid w:val="004F5D14"/>
    <w:rsid w:val="004F68DC"/>
    <w:rsid w:val="004F7F44"/>
    <w:rsid w:val="00500598"/>
    <w:rsid w:val="00500F7A"/>
    <w:rsid w:val="005012AD"/>
    <w:rsid w:val="005016E5"/>
    <w:rsid w:val="00501A56"/>
    <w:rsid w:val="00502317"/>
    <w:rsid w:val="005027BB"/>
    <w:rsid w:val="00503415"/>
    <w:rsid w:val="005034C1"/>
    <w:rsid w:val="005037E1"/>
    <w:rsid w:val="00503B5C"/>
    <w:rsid w:val="0050456A"/>
    <w:rsid w:val="00505C46"/>
    <w:rsid w:val="005068E1"/>
    <w:rsid w:val="005070B6"/>
    <w:rsid w:val="005077C5"/>
    <w:rsid w:val="00510111"/>
    <w:rsid w:val="00510B80"/>
    <w:rsid w:val="0051168A"/>
    <w:rsid w:val="005117D2"/>
    <w:rsid w:val="005118A6"/>
    <w:rsid w:val="005122F4"/>
    <w:rsid w:val="0051405F"/>
    <w:rsid w:val="0051444F"/>
    <w:rsid w:val="005156A6"/>
    <w:rsid w:val="00516393"/>
    <w:rsid w:val="00516669"/>
    <w:rsid w:val="005179A5"/>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1D9"/>
    <w:rsid w:val="00535324"/>
    <w:rsid w:val="00535504"/>
    <w:rsid w:val="005363B4"/>
    <w:rsid w:val="0053712D"/>
    <w:rsid w:val="005403F4"/>
    <w:rsid w:val="00540B60"/>
    <w:rsid w:val="00541076"/>
    <w:rsid w:val="00541136"/>
    <w:rsid w:val="0054216F"/>
    <w:rsid w:val="00542F18"/>
    <w:rsid w:val="0054343C"/>
    <w:rsid w:val="00544853"/>
    <w:rsid w:val="00544CA5"/>
    <w:rsid w:val="005450E2"/>
    <w:rsid w:val="00545B19"/>
    <w:rsid w:val="00547404"/>
    <w:rsid w:val="005474A2"/>
    <w:rsid w:val="00547520"/>
    <w:rsid w:val="0055035F"/>
    <w:rsid w:val="005507FD"/>
    <w:rsid w:val="005511C0"/>
    <w:rsid w:val="00551D4B"/>
    <w:rsid w:val="00551E3C"/>
    <w:rsid w:val="0055232C"/>
    <w:rsid w:val="0055278E"/>
    <w:rsid w:val="00555488"/>
    <w:rsid w:val="0055549A"/>
    <w:rsid w:val="00555B18"/>
    <w:rsid w:val="00555C9C"/>
    <w:rsid w:val="00556A4D"/>
    <w:rsid w:val="00557319"/>
    <w:rsid w:val="0055764E"/>
    <w:rsid w:val="00560528"/>
    <w:rsid w:val="00560699"/>
    <w:rsid w:val="00561503"/>
    <w:rsid w:val="00561923"/>
    <w:rsid w:val="005622F8"/>
    <w:rsid w:val="0056310A"/>
    <w:rsid w:val="0056336F"/>
    <w:rsid w:val="00565AF7"/>
    <w:rsid w:val="00566024"/>
    <w:rsid w:val="005671C3"/>
    <w:rsid w:val="0057060C"/>
    <w:rsid w:val="0057189C"/>
    <w:rsid w:val="00571BD2"/>
    <w:rsid w:val="00571CD7"/>
    <w:rsid w:val="00571D59"/>
    <w:rsid w:val="00572E3E"/>
    <w:rsid w:val="0057332B"/>
    <w:rsid w:val="0057364D"/>
    <w:rsid w:val="005737FC"/>
    <w:rsid w:val="0057420B"/>
    <w:rsid w:val="0057593B"/>
    <w:rsid w:val="005762CE"/>
    <w:rsid w:val="00580280"/>
    <w:rsid w:val="00580B9E"/>
    <w:rsid w:val="00580DAB"/>
    <w:rsid w:val="0058135A"/>
    <w:rsid w:val="005817D9"/>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08F"/>
    <w:rsid w:val="005903E4"/>
    <w:rsid w:val="005907D5"/>
    <w:rsid w:val="005910C0"/>
    <w:rsid w:val="005913EE"/>
    <w:rsid w:val="00592461"/>
    <w:rsid w:val="005950D6"/>
    <w:rsid w:val="0059519C"/>
    <w:rsid w:val="00595524"/>
    <w:rsid w:val="005974F3"/>
    <w:rsid w:val="0059751C"/>
    <w:rsid w:val="00597919"/>
    <w:rsid w:val="005A0B9F"/>
    <w:rsid w:val="005A0EFC"/>
    <w:rsid w:val="005A44E7"/>
    <w:rsid w:val="005A5D8E"/>
    <w:rsid w:val="005A63D8"/>
    <w:rsid w:val="005A7420"/>
    <w:rsid w:val="005A7C14"/>
    <w:rsid w:val="005A7DBE"/>
    <w:rsid w:val="005B152C"/>
    <w:rsid w:val="005B1C64"/>
    <w:rsid w:val="005B1DE8"/>
    <w:rsid w:val="005B2294"/>
    <w:rsid w:val="005B271E"/>
    <w:rsid w:val="005B2807"/>
    <w:rsid w:val="005B3606"/>
    <w:rsid w:val="005B388D"/>
    <w:rsid w:val="005B3E08"/>
    <w:rsid w:val="005B49B6"/>
    <w:rsid w:val="005B56EE"/>
    <w:rsid w:val="005B63E1"/>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C6E71"/>
    <w:rsid w:val="005C736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3B04"/>
    <w:rsid w:val="005F5574"/>
    <w:rsid w:val="005F5D1D"/>
    <w:rsid w:val="005F60C9"/>
    <w:rsid w:val="005F64C6"/>
    <w:rsid w:val="006008F1"/>
    <w:rsid w:val="00601714"/>
    <w:rsid w:val="00601735"/>
    <w:rsid w:val="00602BD2"/>
    <w:rsid w:val="00604980"/>
    <w:rsid w:val="0060614D"/>
    <w:rsid w:val="00610871"/>
    <w:rsid w:val="00610E48"/>
    <w:rsid w:val="00610FE0"/>
    <w:rsid w:val="00613C47"/>
    <w:rsid w:val="00615086"/>
    <w:rsid w:val="00616201"/>
    <w:rsid w:val="00616225"/>
    <w:rsid w:val="00616BA2"/>
    <w:rsid w:val="0061705E"/>
    <w:rsid w:val="00617914"/>
    <w:rsid w:val="00617A8B"/>
    <w:rsid w:val="00621904"/>
    <w:rsid w:val="00622248"/>
    <w:rsid w:val="00622FEA"/>
    <w:rsid w:val="00623CDF"/>
    <w:rsid w:val="00623DB1"/>
    <w:rsid w:val="006245F3"/>
    <w:rsid w:val="0062485E"/>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6067"/>
    <w:rsid w:val="00660693"/>
    <w:rsid w:val="006611D6"/>
    <w:rsid w:val="00661402"/>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126"/>
    <w:rsid w:val="00683993"/>
    <w:rsid w:val="006846E8"/>
    <w:rsid w:val="00685EBD"/>
    <w:rsid w:val="006861C3"/>
    <w:rsid w:val="00686AF3"/>
    <w:rsid w:val="00690F1F"/>
    <w:rsid w:val="006915BD"/>
    <w:rsid w:val="006915F2"/>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7EB"/>
    <w:rsid w:val="006A4AEE"/>
    <w:rsid w:val="006A5E74"/>
    <w:rsid w:val="006A70BE"/>
    <w:rsid w:val="006A7290"/>
    <w:rsid w:val="006A7934"/>
    <w:rsid w:val="006A7BC8"/>
    <w:rsid w:val="006B0001"/>
    <w:rsid w:val="006B054B"/>
    <w:rsid w:val="006B059F"/>
    <w:rsid w:val="006B0E3A"/>
    <w:rsid w:val="006B2048"/>
    <w:rsid w:val="006B215A"/>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C8F"/>
    <w:rsid w:val="006D52A0"/>
    <w:rsid w:val="006D57CB"/>
    <w:rsid w:val="006D5819"/>
    <w:rsid w:val="006D5E6F"/>
    <w:rsid w:val="006D693F"/>
    <w:rsid w:val="006D6CDD"/>
    <w:rsid w:val="006D7604"/>
    <w:rsid w:val="006D765E"/>
    <w:rsid w:val="006D76CB"/>
    <w:rsid w:val="006E0455"/>
    <w:rsid w:val="006E4238"/>
    <w:rsid w:val="006E4551"/>
    <w:rsid w:val="006E5F01"/>
    <w:rsid w:val="006E7033"/>
    <w:rsid w:val="006E7404"/>
    <w:rsid w:val="006E7B97"/>
    <w:rsid w:val="006F05B9"/>
    <w:rsid w:val="006F1972"/>
    <w:rsid w:val="006F1EA3"/>
    <w:rsid w:val="006F2627"/>
    <w:rsid w:val="006F2A57"/>
    <w:rsid w:val="006F3187"/>
    <w:rsid w:val="006F34B9"/>
    <w:rsid w:val="006F3568"/>
    <w:rsid w:val="006F40AD"/>
    <w:rsid w:val="006F53EB"/>
    <w:rsid w:val="006F6360"/>
    <w:rsid w:val="006F6436"/>
    <w:rsid w:val="006F65C5"/>
    <w:rsid w:val="006F687A"/>
    <w:rsid w:val="006F68EF"/>
    <w:rsid w:val="006F6D4C"/>
    <w:rsid w:val="006F6E67"/>
    <w:rsid w:val="006F7157"/>
    <w:rsid w:val="006F78E0"/>
    <w:rsid w:val="007023EA"/>
    <w:rsid w:val="00702B1B"/>
    <w:rsid w:val="007032B3"/>
    <w:rsid w:val="00704164"/>
    <w:rsid w:val="007063BD"/>
    <w:rsid w:val="00706A58"/>
    <w:rsid w:val="00707517"/>
    <w:rsid w:val="007078ED"/>
    <w:rsid w:val="00710187"/>
    <w:rsid w:val="007101D7"/>
    <w:rsid w:val="007110E1"/>
    <w:rsid w:val="00711B18"/>
    <w:rsid w:val="007126D1"/>
    <w:rsid w:val="00714394"/>
    <w:rsid w:val="00714C87"/>
    <w:rsid w:val="00714ED6"/>
    <w:rsid w:val="00715E8D"/>
    <w:rsid w:val="00721C26"/>
    <w:rsid w:val="00721F7E"/>
    <w:rsid w:val="00722E29"/>
    <w:rsid w:val="00723ECB"/>
    <w:rsid w:val="00724606"/>
    <w:rsid w:val="00724A36"/>
    <w:rsid w:val="00724A60"/>
    <w:rsid w:val="00724E85"/>
    <w:rsid w:val="0072525D"/>
    <w:rsid w:val="00726E8A"/>
    <w:rsid w:val="00727047"/>
    <w:rsid w:val="00727A0E"/>
    <w:rsid w:val="00727C81"/>
    <w:rsid w:val="00730B33"/>
    <w:rsid w:val="00734462"/>
    <w:rsid w:val="00734510"/>
    <w:rsid w:val="00734887"/>
    <w:rsid w:val="007365B6"/>
    <w:rsid w:val="00737394"/>
    <w:rsid w:val="007401E2"/>
    <w:rsid w:val="00740205"/>
    <w:rsid w:val="00740217"/>
    <w:rsid w:val="007411E5"/>
    <w:rsid w:val="00741605"/>
    <w:rsid w:val="00742788"/>
    <w:rsid w:val="007436F2"/>
    <w:rsid w:val="00743B2E"/>
    <w:rsid w:val="0074436D"/>
    <w:rsid w:val="00746951"/>
    <w:rsid w:val="00746F65"/>
    <w:rsid w:val="007472C3"/>
    <w:rsid w:val="0074791E"/>
    <w:rsid w:val="00750948"/>
    <w:rsid w:val="00750A23"/>
    <w:rsid w:val="0075115D"/>
    <w:rsid w:val="00751A33"/>
    <w:rsid w:val="00753890"/>
    <w:rsid w:val="0075466D"/>
    <w:rsid w:val="007555DF"/>
    <w:rsid w:val="007569DC"/>
    <w:rsid w:val="0075711E"/>
    <w:rsid w:val="00757549"/>
    <w:rsid w:val="007579F2"/>
    <w:rsid w:val="00761434"/>
    <w:rsid w:val="00761FD5"/>
    <w:rsid w:val="00762BB6"/>
    <w:rsid w:val="0076341D"/>
    <w:rsid w:val="0076446D"/>
    <w:rsid w:val="007647EF"/>
    <w:rsid w:val="00765DD8"/>
    <w:rsid w:val="00766230"/>
    <w:rsid w:val="00766B33"/>
    <w:rsid w:val="00766D36"/>
    <w:rsid w:val="00767607"/>
    <w:rsid w:val="00767ACD"/>
    <w:rsid w:val="007705B5"/>
    <w:rsid w:val="0077270D"/>
    <w:rsid w:val="00773874"/>
    <w:rsid w:val="0077393B"/>
    <w:rsid w:val="00775D3B"/>
    <w:rsid w:val="0077615A"/>
    <w:rsid w:val="007806A0"/>
    <w:rsid w:val="00782346"/>
    <w:rsid w:val="007838CD"/>
    <w:rsid w:val="007839A9"/>
    <w:rsid w:val="007840F3"/>
    <w:rsid w:val="007849BE"/>
    <w:rsid w:val="00785491"/>
    <w:rsid w:val="007858C0"/>
    <w:rsid w:val="0078679A"/>
    <w:rsid w:val="00786BDC"/>
    <w:rsid w:val="007871FE"/>
    <w:rsid w:val="00787C89"/>
    <w:rsid w:val="007908ED"/>
    <w:rsid w:val="00790F74"/>
    <w:rsid w:val="00792014"/>
    <w:rsid w:val="007921CD"/>
    <w:rsid w:val="00792288"/>
    <w:rsid w:val="00792447"/>
    <w:rsid w:val="007928C6"/>
    <w:rsid w:val="00792E73"/>
    <w:rsid w:val="0079694C"/>
    <w:rsid w:val="007A0187"/>
    <w:rsid w:val="007A19AC"/>
    <w:rsid w:val="007A268F"/>
    <w:rsid w:val="007A29EC"/>
    <w:rsid w:val="007A4A53"/>
    <w:rsid w:val="007A4C93"/>
    <w:rsid w:val="007A4E17"/>
    <w:rsid w:val="007A7F6D"/>
    <w:rsid w:val="007B0FBD"/>
    <w:rsid w:val="007B10EC"/>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358B"/>
    <w:rsid w:val="007D370E"/>
    <w:rsid w:val="007D4624"/>
    <w:rsid w:val="007D4A8F"/>
    <w:rsid w:val="007D563E"/>
    <w:rsid w:val="007D5A49"/>
    <w:rsid w:val="007D5FC1"/>
    <w:rsid w:val="007D6EB6"/>
    <w:rsid w:val="007D715A"/>
    <w:rsid w:val="007D76EE"/>
    <w:rsid w:val="007E002B"/>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800D05"/>
    <w:rsid w:val="00801D7A"/>
    <w:rsid w:val="008020F2"/>
    <w:rsid w:val="00803F74"/>
    <w:rsid w:val="00804653"/>
    <w:rsid w:val="00804C48"/>
    <w:rsid w:val="0080505A"/>
    <w:rsid w:val="008060B3"/>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434F"/>
    <w:rsid w:val="008543F7"/>
    <w:rsid w:val="008545DC"/>
    <w:rsid w:val="00854A7E"/>
    <w:rsid w:val="00855B06"/>
    <w:rsid w:val="00856B95"/>
    <w:rsid w:val="00856D1A"/>
    <w:rsid w:val="00857D29"/>
    <w:rsid w:val="00861313"/>
    <w:rsid w:val="0086161C"/>
    <w:rsid w:val="008617AF"/>
    <w:rsid w:val="00861DB0"/>
    <w:rsid w:val="00861E83"/>
    <w:rsid w:val="0086225C"/>
    <w:rsid w:val="008629A8"/>
    <w:rsid w:val="00863225"/>
    <w:rsid w:val="00863ADA"/>
    <w:rsid w:val="00865BAA"/>
    <w:rsid w:val="00865C83"/>
    <w:rsid w:val="008677CB"/>
    <w:rsid w:val="0087026D"/>
    <w:rsid w:val="0087056E"/>
    <w:rsid w:val="00870CB6"/>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833"/>
    <w:rsid w:val="00892DCB"/>
    <w:rsid w:val="00893479"/>
    <w:rsid w:val="0089375D"/>
    <w:rsid w:val="008943CB"/>
    <w:rsid w:val="008946B9"/>
    <w:rsid w:val="008A0882"/>
    <w:rsid w:val="008A10C1"/>
    <w:rsid w:val="008A181A"/>
    <w:rsid w:val="008A183F"/>
    <w:rsid w:val="008A1C47"/>
    <w:rsid w:val="008A2289"/>
    <w:rsid w:val="008A34BA"/>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14"/>
    <w:rsid w:val="008C08A5"/>
    <w:rsid w:val="008C1DD7"/>
    <w:rsid w:val="008C26FA"/>
    <w:rsid w:val="008C2BC1"/>
    <w:rsid w:val="008C4566"/>
    <w:rsid w:val="008C46B6"/>
    <w:rsid w:val="008C4935"/>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88D"/>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606D"/>
    <w:rsid w:val="008F7150"/>
    <w:rsid w:val="008F71CC"/>
    <w:rsid w:val="008F721C"/>
    <w:rsid w:val="009002F2"/>
    <w:rsid w:val="00900662"/>
    <w:rsid w:val="00901953"/>
    <w:rsid w:val="00902166"/>
    <w:rsid w:val="00903C31"/>
    <w:rsid w:val="009040A1"/>
    <w:rsid w:val="0090473B"/>
    <w:rsid w:val="0090487F"/>
    <w:rsid w:val="00904A00"/>
    <w:rsid w:val="00904EAB"/>
    <w:rsid w:val="00904EAC"/>
    <w:rsid w:val="00905282"/>
    <w:rsid w:val="00905908"/>
    <w:rsid w:val="00906AD1"/>
    <w:rsid w:val="009075A4"/>
    <w:rsid w:val="009101AF"/>
    <w:rsid w:val="00911808"/>
    <w:rsid w:val="009145FB"/>
    <w:rsid w:val="0091555E"/>
    <w:rsid w:val="00915786"/>
    <w:rsid w:val="0091746C"/>
    <w:rsid w:val="00917816"/>
    <w:rsid w:val="00917D06"/>
    <w:rsid w:val="009207DB"/>
    <w:rsid w:val="00921202"/>
    <w:rsid w:val="00922024"/>
    <w:rsid w:val="009222A3"/>
    <w:rsid w:val="009224EE"/>
    <w:rsid w:val="00922D24"/>
    <w:rsid w:val="00924853"/>
    <w:rsid w:val="009252E0"/>
    <w:rsid w:val="00925501"/>
    <w:rsid w:val="00926982"/>
    <w:rsid w:val="00926D4C"/>
    <w:rsid w:val="009270C4"/>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EC2"/>
    <w:rsid w:val="00946136"/>
    <w:rsid w:val="00946CD9"/>
    <w:rsid w:val="00946E7C"/>
    <w:rsid w:val="00947046"/>
    <w:rsid w:val="00950297"/>
    <w:rsid w:val="009505F4"/>
    <w:rsid w:val="00951216"/>
    <w:rsid w:val="00951614"/>
    <w:rsid w:val="0095279B"/>
    <w:rsid w:val="009533C3"/>
    <w:rsid w:val="009535D3"/>
    <w:rsid w:val="00953807"/>
    <w:rsid w:val="00954282"/>
    <w:rsid w:val="00954427"/>
    <w:rsid w:val="0095611C"/>
    <w:rsid w:val="009564ED"/>
    <w:rsid w:val="00956CA2"/>
    <w:rsid w:val="0096079B"/>
    <w:rsid w:val="0096218D"/>
    <w:rsid w:val="00964509"/>
    <w:rsid w:val="0096501B"/>
    <w:rsid w:val="0096625E"/>
    <w:rsid w:val="0096662B"/>
    <w:rsid w:val="009666AF"/>
    <w:rsid w:val="00967180"/>
    <w:rsid w:val="0096797D"/>
    <w:rsid w:val="00970704"/>
    <w:rsid w:val="00970B65"/>
    <w:rsid w:val="00970D66"/>
    <w:rsid w:val="00971127"/>
    <w:rsid w:val="0097119E"/>
    <w:rsid w:val="009718E9"/>
    <w:rsid w:val="009734B8"/>
    <w:rsid w:val="00973514"/>
    <w:rsid w:val="009739F9"/>
    <w:rsid w:val="009741E7"/>
    <w:rsid w:val="00975C75"/>
    <w:rsid w:val="00977506"/>
    <w:rsid w:val="00977DFD"/>
    <w:rsid w:val="0098177A"/>
    <w:rsid w:val="00983583"/>
    <w:rsid w:val="00983EFD"/>
    <w:rsid w:val="009855B0"/>
    <w:rsid w:val="009859A8"/>
    <w:rsid w:val="00985F2F"/>
    <w:rsid w:val="00986257"/>
    <w:rsid w:val="00986564"/>
    <w:rsid w:val="0098658A"/>
    <w:rsid w:val="00986861"/>
    <w:rsid w:val="00987CBC"/>
    <w:rsid w:val="00991EB0"/>
    <w:rsid w:val="0099212B"/>
    <w:rsid w:val="0099245F"/>
    <w:rsid w:val="00993891"/>
    <w:rsid w:val="00995768"/>
    <w:rsid w:val="00995F21"/>
    <w:rsid w:val="00996203"/>
    <w:rsid w:val="00996326"/>
    <w:rsid w:val="009964FB"/>
    <w:rsid w:val="00996F95"/>
    <w:rsid w:val="00997B35"/>
    <w:rsid w:val="00997EA5"/>
    <w:rsid w:val="009A07D5"/>
    <w:rsid w:val="009A1FE7"/>
    <w:rsid w:val="009A2967"/>
    <w:rsid w:val="009A3274"/>
    <w:rsid w:val="009A36B7"/>
    <w:rsid w:val="009A3720"/>
    <w:rsid w:val="009A392B"/>
    <w:rsid w:val="009A3D58"/>
    <w:rsid w:val="009A42CF"/>
    <w:rsid w:val="009A44E8"/>
    <w:rsid w:val="009A581E"/>
    <w:rsid w:val="009A698D"/>
    <w:rsid w:val="009A6AB4"/>
    <w:rsid w:val="009B1DA5"/>
    <w:rsid w:val="009B1E1D"/>
    <w:rsid w:val="009B28FD"/>
    <w:rsid w:val="009B2AD6"/>
    <w:rsid w:val="009B3172"/>
    <w:rsid w:val="009B408C"/>
    <w:rsid w:val="009B461D"/>
    <w:rsid w:val="009B4F1F"/>
    <w:rsid w:val="009B5594"/>
    <w:rsid w:val="009B59ED"/>
    <w:rsid w:val="009B6405"/>
    <w:rsid w:val="009B6D8D"/>
    <w:rsid w:val="009B729E"/>
    <w:rsid w:val="009B7498"/>
    <w:rsid w:val="009C217C"/>
    <w:rsid w:val="009C264B"/>
    <w:rsid w:val="009C34F1"/>
    <w:rsid w:val="009C3B80"/>
    <w:rsid w:val="009C3D84"/>
    <w:rsid w:val="009C3F5A"/>
    <w:rsid w:val="009C48C6"/>
    <w:rsid w:val="009C5D76"/>
    <w:rsid w:val="009C5DFB"/>
    <w:rsid w:val="009C5FDE"/>
    <w:rsid w:val="009C623B"/>
    <w:rsid w:val="009C69E7"/>
    <w:rsid w:val="009C7B1D"/>
    <w:rsid w:val="009C7F10"/>
    <w:rsid w:val="009C7FF8"/>
    <w:rsid w:val="009D03F1"/>
    <w:rsid w:val="009D0921"/>
    <w:rsid w:val="009D101B"/>
    <w:rsid w:val="009D118E"/>
    <w:rsid w:val="009D1CF4"/>
    <w:rsid w:val="009D271A"/>
    <w:rsid w:val="009D380F"/>
    <w:rsid w:val="009D57A7"/>
    <w:rsid w:val="009D65EE"/>
    <w:rsid w:val="009D6865"/>
    <w:rsid w:val="009D6903"/>
    <w:rsid w:val="009E02F1"/>
    <w:rsid w:val="009E0525"/>
    <w:rsid w:val="009E199C"/>
    <w:rsid w:val="009E1F76"/>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4B2F"/>
    <w:rsid w:val="00A054CB"/>
    <w:rsid w:val="00A05E8F"/>
    <w:rsid w:val="00A06A54"/>
    <w:rsid w:val="00A10423"/>
    <w:rsid w:val="00A10A6F"/>
    <w:rsid w:val="00A115B1"/>
    <w:rsid w:val="00A118B4"/>
    <w:rsid w:val="00A129C6"/>
    <w:rsid w:val="00A14BDD"/>
    <w:rsid w:val="00A15A52"/>
    <w:rsid w:val="00A169FE"/>
    <w:rsid w:val="00A1706F"/>
    <w:rsid w:val="00A1721D"/>
    <w:rsid w:val="00A20630"/>
    <w:rsid w:val="00A20956"/>
    <w:rsid w:val="00A210DB"/>
    <w:rsid w:val="00A21667"/>
    <w:rsid w:val="00A220FB"/>
    <w:rsid w:val="00A223A5"/>
    <w:rsid w:val="00A22946"/>
    <w:rsid w:val="00A23770"/>
    <w:rsid w:val="00A241FD"/>
    <w:rsid w:val="00A24BC5"/>
    <w:rsid w:val="00A2504C"/>
    <w:rsid w:val="00A26CA4"/>
    <w:rsid w:val="00A26D2E"/>
    <w:rsid w:val="00A26E5D"/>
    <w:rsid w:val="00A276A6"/>
    <w:rsid w:val="00A276FF"/>
    <w:rsid w:val="00A27A41"/>
    <w:rsid w:val="00A30C82"/>
    <w:rsid w:val="00A31A01"/>
    <w:rsid w:val="00A32211"/>
    <w:rsid w:val="00A33842"/>
    <w:rsid w:val="00A33A1E"/>
    <w:rsid w:val="00A33FDC"/>
    <w:rsid w:val="00A34114"/>
    <w:rsid w:val="00A34C81"/>
    <w:rsid w:val="00A34E19"/>
    <w:rsid w:val="00A35C90"/>
    <w:rsid w:val="00A362F9"/>
    <w:rsid w:val="00A36BE7"/>
    <w:rsid w:val="00A36F35"/>
    <w:rsid w:val="00A373CC"/>
    <w:rsid w:val="00A3760C"/>
    <w:rsid w:val="00A37704"/>
    <w:rsid w:val="00A378A0"/>
    <w:rsid w:val="00A37E59"/>
    <w:rsid w:val="00A40108"/>
    <w:rsid w:val="00A404AF"/>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943"/>
    <w:rsid w:val="00A60A2E"/>
    <w:rsid w:val="00A60A60"/>
    <w:rsid w:val="00A61263"/>
    <w:rsid w:val="00A614AD"/>
    <w:rsid w:val="00A61608"/>
    <w:rsid w:val="00A616BD"/>
    <w:rsid w:val="00A61886"/>
    <w:rsid w:val="00A61E92"/>
    <w:rsid w:val="00A63D89"/>
    <w:rsid w:val="00A63EF3"/>
    <w:rsid w:val="00A650F1"/>
    <w:rsid w:val="00A6526E"/>
    <w:rsid w:val="00A65DA4"/>
    <w:rsid w:val="00A66E04"/>
    <w:rsid w:val="00A67194"/>
    <w:rsid w:val="00A671B3"/>
    <w:rsid w:val="00A67864"/>
    <w:rsid w:val="00A70242"/>
    <w:rsid w:val="00A7040E"/>
    <w:rsid w:val="00A7286F"/>
    <w:rsid w:val="00A734F2"/>
    <w:rsid w:val="00A73DEE"/>
    <w:rsid w:val="00A74678"/>
    <w:rsid w:val="00A75AEA"/>
    <w:rsid w:val="00A76063"/>
    <w:rsid w:val="00A767EB"/>
    <w:rsid w:val="00A771BF"/>
    <w:rsid w:val="00A77299"/>
    <w:rsid w:val="00A803C1"/>
    <w:rsid w:val="00A815B6"/>
    <w:rsid w:val="00A81953"/>
    <w:rsid w:val="00A823D7"/>
    <w:rsid w:val="00A827C9"/>
    <w:rsid w:val="00A8350D"/>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78"/>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CE8"/>
    <w:rsid w:val="00AB2F06"/>
    <w:rsid w:val="00AB4FFF"/>
    <w:rsid w:val="00AB5190"/>
    <w:rsid w:val="00AB5513"/>
    <w:rsid w:val="00AB5A0C"/>
    <w:rsid w:val="00AB6070"/>
    <w:rsid w:val="00AB6DFC"/>
    <w:rsid w:val="00AB7354"/>
    <w:rsid w:val="00AB7C46"/>
    <w:rsid w:val="00AB7DD5"/>
    <w:rsid w:val="00AC05D0"/>
    <w:rsid w:val="00AC3637"/>
    <w:rsid w:val="00AC3D4F"/>
    <w:rsid w:val="00AC3DB7"/>
    <w:rsid w:val="00AC4699"/>
    <w:rsid w:val="00AC5650"/>
    <w:rsid w:val="00AC59DF"/>
    <w:rsid w:val="00AC72C7"/>
    <w:rsid w:val="00AC7899"/>
    <w:rsid w:val="00AD13D6"/>
    <w:rsid w:val="00AD4087"/>
    <w:rsid w:val="00AD4E84"/>
    <w:rsid w:val="00AD629C"/>
    <w:rsid w:val="00AD6A21"/>
    <w:rsid w:val="00AD6BE0"/>
    <w:rsid w:val="00AD752F"/>
    <w:rsid w:val="00AE0C8D"/>
    <w:rsid w:val="00AE0E2A"/>
    <w:rsid w:val="00AE1411"/>
    <w:rsid w:val="00AE19B4"/>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190C"/>
    <w:rsid w:val="00B01C3F"/>
    <w:rsid w:val="00B02315"/>
    <w:rsid w:val="00B02BF0"/>
    <w:rsid w:val="00B02EA8"/>
    <w:rsid w:val="00B034DD"/>
    <w:rsid w:val="00B03AB4"/>
    <w:rsid w:val="00B05B91"/>
    <w:rsid w:val="00B06ED4"/>
    <w:rsid w:val="00B077CC"/>
    <w:rsid w:val="00B07A28"/>
    <w:rsid w:val="00B102E7"/>
    <w:rsid w:val="00B12A63"/>
    <w:rsid w:val="00B13397"/>
    <w:rsid w:val="00B1400D"/>
    <w:rsid w:val="00B147C9"/>
    <w:rsid w:val="00B15BB2"/>
    <w:rsid w:val="00B16EBE"/>
    <w:rsid w:val="00B20E3B"/>
    <w:rsid w:val="00B21D0E"/>
    <w:rsid w:val="00B22C57"/>
    <w:rsid w:val="00B23C76"/>
    <w:rsid w:val="00B23EEE"/>
    <w:rsid w:val="00B27298"/>
    <w:rsid w:val="00B27384"/>
    <w:rsid w:val="00B276E4"/>
    <w:rsid w:val="00B27A6D"/>
    <w:rsid w:val="00B309F9"/>
    <w:rsid w:val="00B30DAD"/>
    <w:rsid w:val="00B31782"/>
    <w:rsid w:val="00B3402E"/>
    <w:rsid w:val="00B360B7"/>
    <w:rsid w:val="00B36928"/>
    <w:rsid w:val="00B37293"/>
    <w:rsid w:val="00B4076A"/>
    <w:rsid w:val="00B413EB"/>
    <w:rsid w:val="00B428F3"/>
    <w:rsid w:val="00B42C20"/>
    <w:rsid w:val="00B43287"/>
    <w:rsid w:val="00B43864"/>
    <w:rsid w:val="00B43AD9"/>
    <w:rsid w:val="00B443D5"/>
    <w:rsid w:val="00B44482"/>
    <w:rsid w:val="00B450D9"/>
    <w:rsid w:val="00B46FF2"/>
    <w:rsid w:val="00B51B75"/>
    <w:rsid w:val="00B52AD3"/>
    <w:rsid w:val="00B539EB"/>
    <w:rsid w:val="00B54B76"/>
    <w:rsid w:val="00B55ECC"/>
    <w:rsid w:val="00B560E5"/>
    <w:rsid w:val="00B5610F"/>
    <w:rsid w:val="00B576E1"/>
    <w:rsid w:val="00B6088D"/>
    <w:rsid w:val="00B608F1"/>
    <w:rsid w:val="00B60F79"/>
    <w:rsid w:val="00B61158"/>
    <w:rsid w:val="00B6252C"/>
    <w:rsid w:val="00B62CBE"/>
    <w:rsid w:val="00B62EFD"/>
    <w:rsid w:val="00B63999"/>
    <w:rsid w:val="00B63B4A"/>
    <w:rsid w:val="00B63E1F"/>
    <w:rsid w:val="00B641C5"/>
    <w:rsid w:val="00B64F8D"/>
    <w:rsid w:val="00B6533C"/>
    <w:rsid w:val="00B65388"/>
    <w:rsid w:val="00B6731A"/>
    <w:rsid w:val="00B673CA"/>
    <w:rsid w:val="00B70903"/>
    <w:rsid w:val="00B7108D"/>
    <w:rsid w:val="00B7117A"/>
    <w:rsid w:val="00B713F0"/>
    <w:rsid w:val="00B72053"/>
    <w:rsid w:val="00B733A9"/>
    <w:rsid w:val="00B73BEF"/>
    <w:rsid w:val="00B74530"/>
    <w:rsid w:val="00B7458C"/>
    <w:rsid w:val="00B74E4D"/>
    <w:rsid w:val="00B75D3F"/>
    <w:rsid w:val="00B75D4C"/>
    <w:rsid w:val="00B76F2C"/>
    <w:rsid w:val="00B77723"/>
    <w:rsid w:val="00B77863"/>
    <w:rsid w:val="00B801AC"/>
    <w:rsid w:val="00B815D3"/>
    <w:rsid w:val="00B8270D"/>
    <w:rsid w:val="00B827F1"/>
    <w:rsid w:val="00B82B33"/>
    <w:rsid w:val="00B8384C"/>
    <w:rsid w:val="00B843A1"/>
    <w:rsid w:val="00B8441F"/>
    <w:rsid w:val="00B854BE"/>
    <w:rsid w:val="00B85704"/>
    <w:rsid w:val="00B86421"/>
    <w:rsid w:val="00B866BF"/>
    <w:rsid w:val="00B868D6"/>
    <w:rsid w:val="00B86D0A"/>
    <w:rsid w:val="00B8748B"/>
    <w:rsid w:val="00B87B3F"/>
    <w:rsid w:val="00B90972"/>
    <w:rsid w:val="00B91818"/>
    <w:rsid w:val="00B922D6"/>
    <w:rsid w:val="00B92819"/>
    <w:rsid w:val="00B93E18"/>
    <w:rsid w:val="00B93E2C"/>
    <w:rsid w:val="00B94BE5"/>
    <w:rsid w:val="00B95B44"/>
    <w:rsid w:val="00B96069"/>
    <w:rsid w:val="00BA0A76"/>
    <w:rsid w:val="00BA11A9"/>
    <w:rsid w:val="00BA1642"/>
    <w:rsid w:val="00BA30C2"/>
    <w:rsid w:val="00BA31C6"/>
    <w:rsid w:val="00BA4B0A"/>
    <w:rsid w:val="00BA4FE7"/>
    <w:rsid w:val="00BA5F9C"/>
    <w:rsid w:val="00BA699B"/>
    <w:rsid w:val="00BA76AB"/>
    <w:rsid w:val="00BB0225"/>
    <w:rsid w:val="00BB0423"/>
    <w:rsid w:val="00BB1D73"/>
    <w:rsid w:val="00BB2CE4"/>
    <w:rsid w:val="00BB2D17"/>
    <w:rsid w:val="00BB2D1B"/>
    <w:rsid w:val="00BB42D2"/>
    <w:rsid w:val="00BB6ECF"/>
    <w:rsid w:val="00BB74B3"/>
    <w:rsid w:val="00BB777A"/>
    <w:rsid w:val="00BC06FE"/>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EF9"/>
    <w:rsid w:val="00BD754C"/>
    <w:rsid w:val="00BD764C"/>
    <w:rsid w:val="00BD78C6"/>
    <w:rsid w:val="00BE01E1"/>
    <w:rsid w:val="00BE07A5"/>
    <w:rsid w:val="00BE1494"/>
    <w:rsid w:val="00BE15DA"/>
    <w:rsid w:val="00BE19AD"/>
    <w:rsid w:val="00BE369C"/>
    <w:rsid w:val="00BE4FBC"/>
    <w:rsid w:val="00BE5B7C"/>
    <w:rsid w:val="00BE6DBE"/>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BF7EB2"/>
    <w:rsid w:val="00C00D03"/>
    <w:rsid w:val="00C00D9C"/>
    <w:rsid w:val="00C01DFC"/>
    <w:rsid w:val="00C0270E"/>
    <w:rsid w:val="00C0282B"/>
    <w:rsid w:val="00C03262"/>
    <w:rsid w:val="00C047A4"/>
    <w:rsid w:val="00C05013"/>
    <w:rsid w:val="00C067E0"/>
    <w:rsid w:val="00C0773D"/>
    <w:rsid w:val="00C07B99"/>
    <w:rsid w:val="00C1025D"/>
    <w:rsid w:val="00C11733"/>
    <w:rsid w:val="00C12CC1"/>
    <w:rsid w:val="00C12D93"/>
    <w:rsid w:val="00C12EE2"/>
    <w:rsid w:val="00C12EE5"/>
    <w:rsid w:val="00C1324B"/>
    <w:rsid w:val="00C139DE"/>
    <w:rsid w:val="00C13B55"/>
    <w:rsid w:val="00C13CB8"/>
    <w:rsid w:val="00C151CE"/>
    <w:rsid w:val="00C1561B"/>
    <w:rsid w:val="00C15BBB"/>
    <w:rsid w:val="00C16087"/>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614"/>
    <w:rsid w:val="00C33AEC"/>
    <w:rsid w:val="00C357CB"/>
    <w:rsid w:val="00C35C8E"/>
    <w:rsid w:val="00C36B1D"/>
    <w:rsid w:val="00C3742C"/>
    <w:rsid w:val="00C410D2"/>
    <w:rsid w:val="00C41363"/>
    <w:rsid w:val="00C42A78"/>
    <w:rsid w:val="00C437D6"/>
    <w:rsid w:val="00C45C94"/>
    <w:rsid w:val="00C4601D"/>
    <w:rsid w:val="00C46612"/>
    <w:rsid w:val="00C509D2"/>
    <w:rsid w:val="00C51CCA"/>
    <w:rsid w:val="00C523ED"/>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31E1"/>
    <w:rsid w:val="00C73883"/>
    <w:rsid w:val="00C7443F"/>
    <w:rsid w:val="00C745D7"/>
    <w:rsid w:val="00C7702A"/>
    <w:rsid w:val="00C7732F"/>
    <w:rsid w:val="00C773C8"/>
    <w:rsid w:val="00C80A25"/>
    <w:rsid w:val="00C80E5E"/>
    <w:rsid w:val="00C82930"/>
    <w:rsid w:val="00C82C9E"/>
    <w:rsid w:val="00C841BF"/>
    <w:rsid w:val="00C84F61"/>
    <w:rsid w:val="00C8531E"/>
    <w:rsid w:val="00C85560"/>
    <w:rsid w:val="00C85A3E"/>
    <w:rsid w:val="00C85A50"/>
    <w:rsid w:val="00C85B6C"/>
    <w:rsid w:val="00C85ECE"/>
    <w:rsid w:val="00C86BFE"/>
    <w:rsid w:val="00C86D8A"/>
    <w:rsid w:val="00C86FF3"/>
    <w:rsid w:val="00C87E2F"/>
    <w:rsid w:val="00C900B0"/>
    <w:rsid w:val="00C9080B"/>
    <w:rsid w:val="00C90EA7"/>
    <w:rsid w:val="00C90EF9"/>
    <w:rsid w:val="00C9146C"/>
    <w:rsid w:val="00C91711"/>
    <w:rsid w:val="00C91A95"/>
    <w:rsid w:val="00C92931"/>
    <w:rsid w:val="00C92949"/>
    <w:rsid w:val="00C9312F"/>
    <w:rsid w:val="00C94499"/>
    <w:rsid w:val="00C9491A"/>
    <w:rsid w:val="00C94BE9"/>
    <w:rsid w:val="00C95DD7"/>
    <w:rsid w:val="00C95ED6"/>
    <w:rsid w:val="00C96BBB"/>
    <w:rsid w:val="00CA04D5"/>
    <w:rsid w:val="00CA1AC8"/>
    <w:rsid w:val="00CA1FB0"/>
    <w:rsid w:val="00CA24D1"/>
    <w:rsid w:val="00CA2AD9"/>
    <w:rsid w:val="00CA39CC"/>
    <w:rsid w:val="00CA3C11"/>
    <w:rsid w:val="00CA403D"/>
    <w:rsid w:val="00CA4743"/>
    <w:rsid w:val="00CA57FE"/>
    <w:rsid w:val="00CA5FF6"/>
    <w:rsid w:val="00CA6F32"/>
    <w:rsid w:val="00CA735E"/>
    <w:rsid w:val="00CB01B1"/>
    <w:rsid w:val="00CB138F"/>
    <w:rsid w:val="00CB13CF"/>
    <w:rsid w:val="00CB13E0"/>
    <w:rsid w:val="00CB1F09"/>
    <w:rsid w:val="00CB2282"/>
    <w:rsid w:val="00CB2F02"/>
    <w:rsid w:val="00CB44CC"/>
    <w:rsid w:val="00CB4522"/>
    <w:rsid w:val="00CB76B8"/>
    <w:rsid w:val="00CB7703"/>
    <w:rsid w:val="00CB77EE"/>
    <w:rsid w:val="00CB783B"/>
    <w:rsid w:val="00CB7AE2"/>
    <w:rsid w:val="00CC1C1E"/>
    <w:rsid w:val="00CC2611"/>
    <w:rsid w:val="00CC2803"/>
    <w:rsid w:val="00CC295E"/>
    <w:rsid w:val="00CC48D6"/>
    <w:rsid w:val="00CC4B7F"/>
    <w:rsid w:val="00CC544C"/>
    <w:rsid w:val="00CC559E"/>
    <w:rsid w:val="00CC707F"/>
    <w:rsid w:val="00CC708A"/>
    <w:rsid w:val="00CC79CD"/>
    <w:rsid w:val="00CD0365"/>
    <w:rsid w:val="00CD1447"/>
    <w:rsid w:val="00CD1841"/>
    <w:rsid w:val="00CD1BF1"/>
    <w:rsid w:val="00CD1D2E"/>
    <w:rsid w:val="00CD27CD"/>
    <w:rsid w:val="00CD4BF8"/>
    <w:rsid w:val="00CD52CD"/>
    <w:rsid w:val="00CD652E"/>
    <w:rsid w:val="00CD6828"/>
    <w:rsid w:val="00CD685C"/>
    <w:rsid w:val="00CD68DD"/>
    <w:rsid w:val="00CD7B8B"/>
    <w:rsid w:val="00CE01F8"/>
    <w:rsid w:val="00CE0D43"/>
    <w:rsid w:val="00CE24B9"/>
    <w:rsid w:val="00CE2B04"/>
    <w:rsid w:val="00CE3E8B"/>
    <w:rsid w:val="00CE47DC"/>
    <w:rsid w:val="00CE4F3D"/>
    <w:rsid w:val="00CE5298"/>
    <w:rsid w:val="00CE5322"/>
    <w:rsid w:val="00CE58EB"/>
    <w:rsid w:val="00CE6939"/>
    <w:rsid w:val="00CE705F"/>
    <w:rsid w:val="00CE745E"/>
    <w:rsid w:val="00CF0041"/>
    <w:rsid w:val="00CF0D4B"/>
    <w:rsid w:val="00CF2605"/>
    <w:rsid w:val="00CF2804"/>
    <w:rsid w:val="00CF35B2"/>
    <w:rsid w:val="00CF36C4"/>
    <w:rsid w:val="00CF38D4"/>
    <w:rsid w:val="00CF5C07"/>
    <w:rsid w:val="00CF5CFC"/>
    <w:rsid w:val="00D00272"/>
    <w:rsid w:val="00D00AF5"/>
    <w:rsid w:val="00D00E75"/>
    <w:rsid w:val="00D00EE2"/>
    <w:rsid w:val="00D01917"/>
    <w:rsid w:val="00D01EBC"/>
    <w:rsid w:val="00D036AC"/>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DF4"/>
    <w:rsid w:val="00D27131"/>
    <w:rsid w:val="00D31AD0"/>
    <w:rsid w:val="00D31BBD"/>
    <w:rsid w:val="00D34305"/>
    <w:rsid w:val="00D34E83"/>
    <w:rsid w:val="00D35189"/>
    <w:rsid w:val="00D352D0"/>
    <w:rsid w:val="00D37354"/>
    <w:rsid w:val="00D404B1"/>
    <w:rsid w:val="00D4104F"/>
    <w:rsid w:val="00D43988"/>
    <w:rsid w:val="00D4707E"/>
    <w:rsid w:val="00D47238"/>
    <w:rsid w:val="00D4762C"/>
    <w:rsid w:val="00D47867"/>
    <w:rsid w:val="00D47B4E"/>
    <w:rsid w:val="00D47EAF"/>
    <w:rsid w:val="00D50B2A"/>
    <w:rsid w:val="00D51517"/>
    <w:rsid w:val="00D52D4A"/>
    <w:rsid w:val="00D52D7F"/>
    <w:rsid w:val="00D53034"/>
    <w:rsid w:val="00D538B0"/>
    <w:rsid w:val="00D541A8"/>
    <w:rsid w:val="00D55A05"/>
    <w:rsid w:val="00D562A8"/>
    <w:rsid w:val="00D61A9F"/>
    <w:rsid w:val="00D61EDD"/>
    <w:rsid w:val="00D628AF"/>
    <w:rsid w:val="00D6294B"/>
    <w:rsid w:val="00D654F8"/>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563E"/>
    <w:rsid w:val="00D76E21"/>
    <w:rsid w:val="00D770D5"/>
    <w:rsid w:val="00D809B7"/>
    <w:rsid w:val="00D812A9"/>
    <w:rsid w:val="00D813B0"/>
    <w:rsid w:val="00D8141C"/>
    <w:rsid w:val="00D81A57"/>
    <w:rsid w:val="00D81A98"/>
    <w:rsid w:val="00D8269A"/>
    <w:rsid w:val="00D82962"/>
    <w:rsid w:val="00D82A4C"/>
    <w:rsid w:val="00D830B5"/>
    <w:rsid w:val="00D83A65"/>
    <w:rsid w:val="00D846CF"/>
    <w:rsid w:val="00D84999"/>
    <w:rsid w:val="00D85683"/>
    <w:rsid w:val="00D86D21"/>
    <w:rsid w:val="00D8772B"/>
    <w:rsid w:val="00D9031D"/>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0A19"/>
    <w:rsid w:val="00DA16AA"/>
    <w:rsid w:val="00DA28A7"/>
    <w:rsid w:val="00DA2BB0"/>
    <w:rsid w:val="00DA2FCA"/>
    <w:rsid w:val="00DA348E"/>
    <w:rsid w:val="00DA373A"/>
    <w:rsid w:val="00DA4A4E"/>
    <w:rsid w:val="00DA59D2"/>
    <w:rsid w:val="00DA5A9C"/>
    <w:rsid w:val="00DA5F60"/>
    <w:rsid w:val="00DA6E9D"/>
    <w:rsid w:val="00DA6FF3"/>
    <w:rsid w:val="00DB0066"/>
    <w:rsid w:val="00DB0F33"/>
    <w:rsid w:val="00DB1595"/>
    <w:rsid w:val="00DB297D"/>
    <w:rsid w:val="00DB2B7E"/>
    <w:rsid w:val="00DB2BA7"/>
    <w:rsid w:val="00DB2F6C"/>
    <w:rsid w:val="00DB345D"/>
    <w:rsid w:val="00DB5719"/>
    <w:rsid w:val="00DB624E"/>
    <w:rsid w:val="00DB65FF"/>
    <w:rsid w:val="00DB7C6B"/>
    <w:rsid w:val="00DC02EA"/>
    <w:rsid w:val="00DC035C"/>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66C8"/>
    <w:rsid w:val="00DD7F9B"/>
    <w:rsid w:val="00DE1C74"/>
    <w:rsid w:val="00DE1CCF"/>
    <w:rsid w:val="00DE1D7B"/>
    <w:rsid w:val="00DE3385"/>
    <w:rsid w:val="00DE3CA1"/>
    <w:rsid w:val="00DE4007"/>
    <w:rsid w:val="00DE4053"/>
    <w:rsid w:val="00DE4638"/>
    <w:rsid w:val="00DE4651"/>
    <w:rsid w:val="00DE4FEE"/>
    <w:rsid w:val="00DE51C1"/>
    <w:rsid w:val="00DE534A"/>
    <w:rsid w:val="00DE55FD"/>
    <w:rsid w:val="00DE60A8"/>
    <w:rsid w:val="00DE7265"/>
    <w:rsid w:val="00DE7525"/>
    <w:rsid w:val="00DE7C1C"/>
    <w:rsid w:val="00DF0111"/>
    <w:rsid w:val="00DF01E6"/>
    <w:rsid w:val="00DF14DF"/>
    <w:rsid w:val="00DF2247"/>
    <w:rsid w:val="00DF2353"/>
    <w:rsid w:val="00DF3AB2"/>
    <w:rsid w:val="00DF4116"/>
    <w:rsid w:val="00DF5129"/>
    <w:rsid w:val="00DF5784"/>
    <w:rsid w:val="00DF58B8"/>
    <w:rsid w:val="00DF5FF8"/>
    <w:rsid w:val="00DF6EE5"/>
    <w:rsid w:val="00DF7E7E"/>
    <w:rsid w:val="00E0077B"/>
    <w:rsid w:val="00E00898"/>
    <w:rsid w:val="00E03634"/>
    <w:rsid w:val="00E050B6"/>
    <w:rsid w:val="00E0557E"/>
    <w:rsid w:val="00E05980"/>
    <w:rsid w:val="00E05D14"/>
    <w:rsid w:val="00E0628E"/>
    <w:rsid w:val="00E06460"/>
    <w:rsid w:val="00E073CF"/>
    <w:rsid w:val="00E07997"/>
    <w:rsid w:val="00E07A6A"/>
    <w:rsid w:val="00E07EB8"/>
    <w:rsid w:val="00E107B2"/>
    <w:rsid w:val="00E10EB1"/>
    <w:rsid w:val="00E114CF"/>
    <w:rsid w:val="00E120E4"/>
    <w:rsid w:val="00E13636"/>
    <w:rsid w:val="00E149F4"/>
    <w:rsid w:val="00E14A90"/>
    <w:rsid w:val="00E17F53"/>
    <w:rsid w:val="00E20354"/>
    <w:rsid w:val="00E207DB"/>
    <w:rsid w:val="00E20BB5"/>
    <w:rsid w:val="00E21F5A"/>
    <w:rsid w:val="00E221D8"/>
    <w:rsid w:val="00E234F1"/>
    <w:rsid w:val="00E23ACB"/>
    <w:rsid w:val="00E23BDA"/>
    <w:rsid w:val="00E25124"/>
    <w:rsid w:val="00E261F8"/>
    <w:rsid w:val="00E26E25"/>
    <w:rsid w:val="00E27DF3"/>
    <w:rsid w:val="00E3110A"/>
    <w:rsid w:val="00E319DC"/>
    <w:rsid w:val="00E324AD"/>
    <w:rsid w:val="00E3342D"/>
    <w:rsid w:val="00E33683"/>
    <w:rsid w:val="00E33734"/>
    <w:rsid w:val="00E33F82"/>
    <w:rsid w:val="00E34AA9"/>
    <w:rsid w:val="00E36A4F"/>
    <w:rsid w:val="00E376C4"/>
    <w:rsid w:val="00E37D5F"/>
    <w:rsid w:val="00E4230B"/>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4E5"/>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BB7"/>
    <w:rsid w:val="00E64EEE"/>
    <w:rsid w:val="00E66F49"/>
    <w:rsid w:val="00E721A9"/>
    <w:rsid w:val="00E73549"/>
    <w:rsid w:val="00E7484F"/>
    <w:rsid w:val="00E74861"/>
    <w:rsid w:val="00E74B50"/>
    <w:rsid w:val="00E74EC9"/>
    <w:rsid w:val="00E75572"/>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A5A"/>
    <w:rsid w:val="00E90C1F"/>
    <w:rsid w:val="00E9124A"/>
    <w:rsid w:val="00E9222C"/>
    <w:rsid w:val="00E9296D"/>
    <w:rsid w:val="00E92AA5"/>
    <w:rsid w:val="00E94509"/>
    <w:rsid w:val="00E94A0D"/>
    <w:rsid w:val="00E9558B"/>
    <w:rsid w:val="00E95A44"/>
    <w:rsid w:val="00E95D1B"/>
    <w:rsid w:val="00E969A4"/>
    <w:rsid w:val="00E9735C"/>
    <w:rsid w:val="00EA0266"/>
    <w:rsid w:val="00EA234B"/>
    <w:rsid w:val="00EA274B"/>
    <w:rsid w:val="00EA2EFA"/>
    <w:rsid w:val="00EA3184"/>
    <w:rsid w:val="00EA3732"/>
    <w:rsid w:val="00EA3794"/>
    <w:rsid w:val="00EA3CDD"/>
    <w:rsid w:val="00EA4124"/>
    <w:rsid w:val="00EA42EB"/>
    <w:rsid w:val="00EA5028"/>
    <w:rsid w:val="00EA50D6"/>
    <w:rsid w:val="00EA5714"/>
    <w:rsid w:val="00EA5E70"/>
    <w:rsid w:val="00EA60EF"/>
    <w:rsid w:val="00EA6A30"/>
    <w:rsid w:val="00EA6A41"/>
    <w:rsid w:val="00EA7662"/>
    <w:rsid w:val="00EA7CC3"/>
    <w:rsid w:val="00EB016F"/>
    <w:rsid w:val="00EB04F4"/>
    <w:rsid w:val="00EB05E3"/>
    <w:rsid w:val="00EB212C"/>
    <w:rsid w:val="00EB2216"/>
    <w:rsid w:val="00EB27D1"/>
    <w:rsid w:val="00EB33F4"/>
    <w:rsid w:val="00EB3B9C"/>
    <w:rsid w:val="00EB40E0"/>
    <w:rsid w:val="00EB4C04"/>
    <w:rsid w:val="00EB6502"/>
    <w:rsid w:val="00EB7D9C"/>
    <w:rsid w:val="00EC01F0"/>
    <w:rsid w:val="00EC1406"/>
    <w:rsid w:val="00EC1526"/>
    <w:rsid w:val="00EC23F3"/>
    <w:rsid w:val="00EC2677"/>
    <w:rsid w:val="00EC2AB5"/>
    <w:rsid w:val="00EC36F2"/>
    <w:rsid w:val="00EC4B79"/>
    <w:rsid w:val="00EC4F33"/>
    <w:rsid w:val="00EC7E82"/>
    <w:rsid w:val="00ED0B81"/>
    <w:rsid w:val="00ED19B3"/>
    <w:rsid w:val="00ED1A64"/>
    <w:rsid w:val="00ED28DD"/>
    <w:rsid w:val="00ED421C"/>
    <w:rsid w:val="00ED43A6"/>
    <w:rsid w:val="00ED4E89"/>
    <w:rsid w:val="00ED502A"/>
    <w:rsid w:val="00ED69B3"/>
    <w:rsid w:val="00ED6AF3"/>
    <w:rsid w:val="00ED6FB9"/>
    <w:rsid w:val="00ED7371"/>
    <w:rsid w:val="00ED7E2F"/>
    <w:rsid w:val="00ED7EA8"/>
    <w:rsid w:val="00EE1162"/>
    <w:rsid w:val="00EE1313"/>
    <w:rsid w:val="00EE2126"/>
    <w:rsid w:val="00EE3363"/>
    <w:rsid w:val="00EE3725"/>
    <w:rsid w:val="00EE3F3C"/>
    <w:rsid w:val="00EE4C7E"/>
    <w:rsid w:val="00EE556D"/>
    <w:rsid w:val="00EE60A2"/>
    <w:rsid w:val="00EE6184"/>
    <w:rsid w:val="00EE679C"/>
    <w:rsid w:val="00EE686B"/>
    <w:rsid w:val="00EE7596"/>
    <w:rsid w:val="00EE7A2C"/>
    <w:rsid w:val="00EF06D3"/>
    <w:rsid w:val="00EF09D3"/>
    <w:rsid w:val="00EF108A"/>
    <w:rsid w:val="00EF1240"/>
    <w:rsid w:val="00EF1F75"/>
    <w:rsid w:val="00EF2240"/>
    <w:rsid w:val="00EF297A"/>
    <w:rsid w:val="00EF3069"/>
    <w:rsid w:val="00EF31A5"/>
    <w:rsid w:val="00EF3742"/>
    <w:rsid w:val="00EF3EB5"/>
    <w:rsid w:val="00EF57B9"/>
    <w:rsid w:val="00EF57DF"/>
    <w:rsid w:val="00EF632B"/>
    <w:rsid w:val="00EF6556"/>
    <w:rsid w:val="00EF689A"/>
    <w:rsid w:val="00F02BAD"/>
    <w:rsid w:val="00F0319D"/>
    <w:rsid w:val="00F07890"/>
    <w:rsid w:val="00F07A4C"/>
    <w:rsid w:val="00F07B03"/>
    <w:rsid w:val="00F115A2"/>
    <w:rsid w:val="00F11635"/>
    <w:rsid w:val="00F11928"/>
    <w:rsid w:val="00F12D86"/>
    <w:rsid w:val="00F131AA"/>
    <w:rsid w:val="00F131FD"/>
    <w:rsid w:val="00F1350B"/>
    <w:rsid w:val="00F13B05"/>
    <w:rsid w:val="00F13B5A"/>
    <w:rsid w:val="00F13EED"/>
    <w:rsid w:val="00F15AF2"/>
    <w:rsid w:val="00F21290"/>
    <w:rsid w:val="00F2299F"/>
    <w:rsid w:val="00F231F0"/>
    <w:rsid w:val="00F24787"/>
    <w:rsid w:val="00F25311"/>
    <w:rsid w:val="00F259A5"/>
    <w:rsid w:val="00F263E5"/>
    <w:rsid w:val="00F301E0"/>
    <w:rsid w:val="00F307CC"/>
    <w:rsid w:val="00F30BBA"/>
    <w:rsid w:val="00F31630"/>
    <w:rsid w:val="00F31A8F"/>
    <w:rsid w:val="00F320C0"/>
    <w:rsid w:val="00F32D63"/>
    <w:rsid w:val="00F33C8D"/>
    <w:rsid w:val="00F34012"/>
    <w:rsid w:val="00F343A3"/>
    <w:rsid w:val="00F34C99"/>
    <w:rsid w:val="00F3531A"/>
    <w:rsid w:val="00F353E8"/>
    <w:rsid w:val="00F35AB2"/>
    <w:rsid w:val="00F400FB"/>
    <w:rsid w:val="00F41DB0"/>
    <w:rsid w:val="00F43631"/>
    <w:rsid w:val="00F43947"/>
    <w:rsid w:val="00F439BB"/>
    <w:rsid w:val="00F43CEB"/>
    <w:rsid w:val="00F449D7"/>
    <w:rsid w:val="00F460C4"/>
    <w:rsid w:val="00F461AE"/>
    <w:rsid w:val="00F467F9"/>
    <w:rsid w:val="00F47426"/>
    <w:rsid w:val="00F50D6C"/>
    <w:rsid w:val="00F5184D"/>
    <w:rsid w:val="00F51B88"/>
    <w:rsid w:val="00F51CB2"/>
    <w:rsid w:val="00F534D3"/>
    <w:rsid w:val="00F5421D"/>
    <w:rsid w:val="00F55022"/>
    <w:rsid w:val="00F55184"/>
    <w:rsid w:val="00F5704A"/>
    <w:rsid w:val="00F60DF3"/>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1A48"/>
    <w:rsid w:val="00F82021"/>
    <w:rsid w:val="00F82080"/>
    <w:rsid w:val="00F82A7B"/>
    <w:rsid w:val="00F8476C"/>
    <w:rsid w:val="00F850A1"/>
    <w:rsid w:val="00F85CBD"/>
    <w:rsid w:val="00F87810"/>
    <w:rsid w:val="00F905B8"/>
    <w:rsid w:val="00F91164"/>
    <w:rsid w:val="00F91292"/>
    <w:rsid w:val="00F91D47"/>
    <w:rsid w:val="00F92B0F"/>
    <w:rsid w:val="00F9354E"/>
    <w:rsid w:val="00F941FC"/>
    <w:rsid w:val="00F9464C"/>
    <w:rsid w:val="00F96D24"/>
    <w:rsid w:val="00F97093"/>
    <w:rsid w:val="00F97FF3"/>
    <w:rsid w:val="00FA0091"/>
    <w:rsid w:val="00FA1AA9"/>
    <w:rsid w:val="00FA2C8B"/>
    <w:rsid w:val="00FA3E0C"/>
    <w:rsid w:val="00FA4DBA"/>
    <w:rsid w:val="00FA4FBA"/>
    <w:rsid w:val="00FA5580"/>
    <w:rsid w:val="00FA655A"/>
    <w:rsid w:val="00FA69C3"/>
    <w:rsid w:val="00FA6AAC"/>
    <w:rsid w:val="00FA6CBC"/>
    <w:rsid w:val="00FA6D48"/>
    <w:rsid w:val="00FA7027"/>
    <w:rsid w:val="00FA7775"/>
    <w:rsid w:val="00FA7EC0"/>
    <w:rsid w:val="00FB1729"/>
    <w:rsid w:val="00FB30A2"/>
    <w:rsid w:val="00FB4993"/>
    <w:rsid w:val="00FC072E"/>
    <w:rsid w:val="00FC1364"/>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4A75"/>
    <w:rsid w:val="00FD54E6"/>
    <w:rsid w:val="00FD5688"/>
    <w:rsid w:val="00FD5725"/>
    <w:rsid w:val="00FD5E1C"/>
    <w:rsid w:val="00FD5F36"/>
    <w:rsid w:val="00FD6624"/>
    <w:rsid w:val="00FD7F6B"/>
    <w:rsid w:val="00FE0948"/>
    <w:rsid w:val="00FE1880"/>
    <w:rsid w:val="00FE3256"/>
    <w:rsid w:val="00FE3F8E"/>
    <w:rsid w:val="00FE445D"/>
    <w:rsid w:val="00FE47ED"/>
    <w:rsid w:val="00FE5101"/>
    <w:rsid w:val="00FE61DC"/>
    <w:rsid w:val="00FE67D0"/>
    <w:rsid w:val="00FE689B"/>
    <w:rsid w:val="00FE7081"/>
    <w:rsid w:val="00FE79CE"/>
    <w:rsid w:val="00FF06FA"/>
    <w:rsid w:val="00FF081E"/>
    <w:rsid w:val="00FF145C"/>
    <w:rsid w:val="00FF26EE"/>
    <w:rsid w:val="00FF28EC"/>
    <w:rsid w:val="00FF47A3"/>
    <w:rsid w:val="00FF4B3F"/>
    <w:rsid w:val="00FF4B43"/>
    <w:rsid w:val="00FF574F"/>
    <w:rsid w:val="011E42FB"/>
    <w:rsid w:val="012146C6"/>
    <w:rsid w:val="05066D94"/>
    <w:rsid w:val="05821997"/>
    <w:rsid w:val="066418D7"/>
    <w:rsid w:val="08435AFA"/>
    <w:rsid w:val="090A7A65"/>
    <w:rsid w:val="090C7C1B"/>
    <w:rsid w:val="0A91755D"/>
    <w:rsid w:val="0AFB5724"/>
    <w:rsid w:val="0C4C5587"/>
    <w:rsid w:val="0E6E6F80"/>
    <w:rsid w:val="0F2B7FAC"/>
    <w:rsid w:val="0FF94323"/>
    <w:rsid w:val="108D4A90"/>
    <w:rsid w:val="12C138CE"/>
    <w:rsid w:val="161A1EE6"/>
    <w:rsid w:val="198E1224"/>
    <w:rsid w:val="1B325F2A"/>
    <w:rsid w:val="219A1B7F"/>
    <w:rsid w:val="23AA6A32"/>
    <w:rsid w:val="25F11338"/>
    <w:rsid w:val="266037B3"/>
    <w:rsid w:val="2B033371"/>
    <w:rsid w:val="2C086A8E"/>
    <w:rsid w:val="2C240F34"/>
    <w:rsid w:val="2C64115C"/>
    <w:rsid w:val="2D0B54A3"/>
    <w:rsid w:val="2D230138"/>
    <w:rsid w:val="2F0B2B64"/>
    <w:rsid w:val="300801AF"/>
    <w:rsid w:val="3063463F"/>
    <w:rsid w:val="30982688"/>
    <w:rsid w:val="30A71E98"/>
    <w:rsid w:val="324B16F5"/>
    <w:rsid w:val="33B67A9F"/>
    <w:rsid w:val="33DB45CD"/>
    <w:rsid w:val="348457D1"/>
    <w:rsid w:val="34B86C05"/>
    <w:rsid w:val="34E60A39"/>
    <w:rsid w:val="3A7B4230"/>
    <w:rsid w:val="3CDF3135"/>
    <w:rsid w:val="3DE66FEA"/>
    <w:rsid w:val="3FB269C3"/>
    <w:rsid w:val="410061AC"/>
    <w:rsid w:val="41571D6E"/>
    <w:rsid w:val="428F0410"/>
    <w:rsid w:val="457928A5"/>
    <w:rsid w:val="483D546E"/>
    <w:rsid w:val="48D43EA7"/>
    <w:rsid w:val="4A534E59"/>
    <w:rsid w:val="4BF03461"/>
    <w:rsid w:val="4D8A00B7"/>
    <w:rsid w:val="4E352C84"/>
    <w:rsid w:val="4F2B4EB0"/>
    <w:rsid w:val="4FEC07C0"/>
    <w:rsid w:val="503D1BEF"/>
    <w:rsid w:val="53B57275"/>
    <w:rsid w:val="546D3EF1"/>
    <w:rsid w:val="58236A15"/>
    <w:rsid w:val="58321EC6"/>
    <w:rsid w:val="586757C9"/>
    <w:rsid w:val="5D652999"/>
    <w:rsid w:val="5E643D94"/>
    <w:rsid w:val="5EEC4F2C"/>
    <w:rsid w:val="5F7F0394"/>
    <w:rsid w:val="604D7180"/>
    <w:rsid w:val="666B09B5"/>
    <w:rsid w:val="66885224"/>
    <w:rsid w:val="669C7644"/>
    <w:rsid w:val="68D357B0"/>
    <w:rsid w:val="69D4537F"/>
    <w:rsid w:val="710140E2"/>
    <w:rsid w:val="728B1D53"/>
    <w:rsid w:val="741A6F8E"/>
    <w:rsid w:val="76D10E3F"/>
    <w:rsid w:val="77901832"/>
    <w:rsid w:val="77E471E7"/>
    <w:rsid w:val="786B73C0"/>
    <w:rsid w:val="78991D6F"/>
    <w:rsid w:val="7BC363CB"/>
    <w:rsid w:val="7C5B0A50"/>
    <w:rsid w:val="7DB23C95"/>
    <w:rsid w:val="7F8873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6"/>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71"/>
    <w:qFormat/>
    <w:uiPriority w:val="0"/>
    <w:pPr>
      <w:adjustRightInd w:val="0"/>
      <w:jc w:val="center"/>
      <w:textAlignment w:val="baseline"/>
      <w:outlineLvl w:val="1"/>
    </w:pPr>
    <w:rPr>
      <w:kern w:val="0"/>
      <w:sz w:val="24"/>
      <w:szCs w:val="20"/>
    </w:rPr>
  </w:style>
  <w:style w:type="paragraph" w:styleId="3">
    <w:name w:val="heading 3"/>
    <w:basedOn w:val="4"/>
    <w:next w:val="1"/>
    <w:link w:val="55"/>
    <w:qFormat/>
    <w:uiPriority w:val="9"/>
    <w:pPr>
      <w:spacing w:before="260" w:after="260" w:line="240" w:lineRule="auto"/>
      <w:outlineLvl w:val="2"/>
    </w:pPr>
    <w:rPr>
      <w:rFonts w:ascii="宋体" w:hAnsi="宋体" w:eastAsia="宋体"/>
      <w:szCs w:val="32"/>
    </w:rPr>
  </w:style>
  <w:style w:type="paragraph" w:styleId="4">
    <w:name w:val="heading 4"/>
    <w:basedOn w:val="1"/>
    <w:next w:val="1"/>
    <w:link w:val="53"/>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0"/>
    <w:qFormat/>
    <w:uiPriority w:val="0"/>
    <w:pPr>
      <w:keepNext/>
      <w:keepLines/>
      <w:spacing w:before="280" w:after="290" w:line="376" w:lineRule="auto"/>
      <w:outlineLvl w:val="4"/>
    </w:pPr>
    <w:rPr>
      <w:b/>
      <w:sz w:val="28"/>
      <w:szCs w:val="20"/>
    </w:rPr>
  </w:style>
  <w:style w:type="paragraph" w:styleId="8">
    <w:name w:val="heading 6"/>
    <w:basedOn w:val="1"/>
    <w:next w:val="7"/>
    <w:link w:val="8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84"/>
    <w:qFormat/>
    <w:uiPriority w:val="0"/>
    <w:pPr>
      <w:keepNext/>
      <w:keepLines/>
      <w:spacing w:before="240" w:after="64" w:line="320" w:lineRule="auto"/>
      <w:outlineLvl w:val="6"/>
    </w:pPr>
    <w:rPr>
      <w:b/>
      <w:sz w:val="24"/>
      <w:szCs w:val="20"/>
    </w:rPr>
  </w:style>
  <w:style w:type="paragraph" w:styleId="10">
    <w:name w:val="heading 8"/>
    <w:basedOn w:val="1"/>
    <w:next w:val="7"/>
    <w:link w:val="8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86"/>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7">
    <w:name w:val="Normal Indent"/>
    <w:basedOn w:val="1"/>
    <w:link w:val="57"/>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4"/>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98"/>
    <w:qFormat/>
    <w:uiPriority w:val="0"/>
    <w:pPr>
      <w:spacing w:after="120"/>
    </w:pPr>
    <w:rPr>
      <w:sz w:val="16"/>
      <w:szCs w:val="16"/>
    </w:rPr>
  </w:style>
  <w:style w:type="paragraph" w:styleId="18">
    <w:name w:val="Body Text"/>
    <w:basedOn w:val="1"/>
    <w:link w:val="92"/>
    <w:qFormat/>
    <w:uiPriority w:val="0"/>
    <w:pPr>
      <w:spacing w:line="360" w:lineRule="auto"/>
    </w:pPr>
    <w:rPr>
      <w:b/>
      <w:bCs/>
      <w:sz w:val="24"/>
    </w:rPr>
  </w:style>
  <w:style w:type="paragraph" w:styleId="19">
    <w:name w:val="Body Text Indent"/>
    <w:basedOn w:val="1"/>
    <w:link w:val="79"/>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0"/>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8"/>
    <w:qFormat/>
    <w:uiPriority w:val="0"/>
    <w:rPr>
      <w:rFonts w:ascii="宋体" w:hAnsi="Courier New"/>
      <w:sz w:val="32"/>
      <w:szCs w:val="20"/>
    </w:rPr>
  </w:style>
  <w:style w:type="paragraph" w:styleId="25">
    <w:name w:val="Body Text Indent 2"/>
    <w:basedOn w:val="1"/>
    <w:link w:val="93"/>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9"/>
    <w:semiHidden/>
    <w:qFormat/>
    <w:uiPriority w:val="99"/>
    <w:rPr>
      <w:sz w:val="18"/>
      <w:szCs w:val="18"/>
    </w:rPr>
  </w:style>
  <w:style w:type="paragraph" w:styleId="27">
    <w:name w:val="footer"/>
    <w:basedOn w:val="1"/>
    <w:link w:val="97"/>
    <w:qFormat/>
    <w:uiPriority w:val="0"/>
    <w:pPr>
      <w:tabs>
        <w:tab w:val="center" w:pos="4153"/>
        <w:tab w:val="right" w:pos="8306"/>
      </w:tabs>
      <w:snapToGrid w:val="0"/>
      <w:jc w:val="left"/>
    </w:pPr>
    <w:rPr>
      <w:sz w:val="18"/>
      <w:szCs w:val="18"/>
    </w:rPr>
  </w:style>
  <w:style w:type="paragraph" w:styleId="28">
    <w:name w:val="header"/>
    <w:basedOn w:val="1"/>
    <w:link w:val="94"/>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Subtitle"/>
    <w:next w:val="1"/>
    <w:link w:val="309"/>
    <w:qFormat/>
    <w:uiPriority w:val="0"/>
    <w:pPr>
      <w:wordWrap w:val="0"/>
      <w:spacing w:after="60"/>
      <w:jc w:val="center"/>
    </w:pPr>
    <w:rPr>
      <w:rFonts w:ascii="Calibri" w:hAnsi="Calibri" w:eastAsia="宋体" w:cs="Times New Roman"/>
      <w:sz w:val="24"/>
      <w:lang w:val="en-US" w:eastAsia="zh-CN" w:bidi="ar-SA"/>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5"/>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96"/>
    <w:qFormat/>
    <w:uiPriority w:val="0"/>
    <w:pPr>
      <w:spacing w:line="360" w:lineRule="auto"/>
    </w:pPr>
    <w:rPr>
      <w:sz w:val="24"/>
    </w:rPr>
  </w:style>
  <w:style w:type="paragraph" w:styleId="37">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99"/>
    <w:pPr>
      <w:spacing w:beforeAutospacing="1" w:afterAutospacing="1"/>
      <w:jc w:val="left"/>
    </w:pPr>
    <w:rPr>
      <w:kern w:val="0"/>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7"/>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185"/>
    <w:qFormat/>
    <w:uiPriority w:val="99"/>
    <w:pPr>
      <w:autoSpaceDE/>
      <w:autoSpaceDN/>
      <w:adjustRightInd/>
      <w:textAlignment w:val="auto"/>
    </w:pPr>
    <w:rPr>
      <w:rFonts w:ascii="Times New Roman"/>
      <w:b/>
      <w:bCs/>
      <w:kern w:val="2"/>
      <w:sz w:val="21"/>
      <w:szCs w:val="24"/>
    </w:rPr>
  </w:style>
  <w:style w:type="paragraph" w:styleId="42">
    <w:name w:val="Body Text First Indent"/>
    <w:basedOn w:val="18"/>
    <w:link w:val="130"/>
    <w:qFormat/>
    <w:uiPriority w:val="0"/>
    <w:pPr>
      <w:spacing w:after="120" w:line="240" w:lineRule="auto"/>
      <w:ind w:firstLine="420" w:firstLineChars="100"/>
    </w:pPr>
    <w:rPr>
      <w:sz w:val="21"/>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Table Elegant"/>
    <w:basedOn w:val="43"/>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basedOn w:val="46"/>
    <w:qFormat/>
    <w:uiPriority w:val="0"/>
    <w:rPr>
      <w:sz w:val="20"/>
    </w:rPr>
  </w:style>
  <w:style w:type="character" w:styleId="51">
    <w:name w:val="Hyperlink"/>
    <w:qFormat/>
    <w:uiPriority w:val="0"/>
    <w:rPr>
      <w:color w:val="0000FF"/>
      <w:u w:val="single"/>
    </w:rPr>
  </w:style>
  <w:style w:type="character" w:styleId="52">
    <w:name w:val="annotation reference"/>
    <w:basedOn w:val="46"/>
    <w:qFormat/>
    <w:uiPriority w:val="99"/>
    <w:rPr>
      <w:sz w:val="21"/>
      <w:szCs w:val="21"/>
    </w:rPr>
  </w:style>
  <w:style w:type="character" w:customStyle="1" w:styleId="53">
    <w:name w:val="标题 4 字符"/>
    <w:link w:val="4"/>
    <w:qFormat/>
    <w:uiPriority w:val="9"/>
    <w:rPr>
      <w:rFonts w:ascii="Arial" w:hAnsi="Arial" w:eastAsia="黑体"/>
      <w:b/>
      <w:bCs/>
      <w:kern w:val="2"/>
      <w:sz w:val="28"/>
      <w:szCs w:val="28"/>
      <w:lang w:val="en-US" w:eastAsia="zh-CN" w:bidi="ar-SA"/>
    </w:rPr>
  </w:style>
  <w:style w:type="paragraph" w:customStyle="1" w:styleId="5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5">
    <w:name w:val="标题 3 字符"/>
    <w:link w:val="3"/>
    <w:qFormat/>
    <w:uiPriority w:val="9"/>
    <w:rPr>
      <w:rFonts w:ascii="宋体" w:hAnsi="宋体" w:eastAsia="宋体"/>
      <w:b/>
      <w:bCs/>
      <w:kern w:val="2"/>
      <w:sz w:val="28"/>
      <w:szCs w:val="32"/>
      <w:lang w:val="en-US" w:eastAsia="zh-CN" w:bidi="ar-SA"/>
    </w:rPr>
  </w:style>
  <w:style w:type="character" w:customStyle="1" w:styleId="56">
    <w:name w:val="标题 1 字符"/>
    <w:link w:val="2"/>
    <w:qFormat/>
    <w:uiPriority w:val="0"/>
    <w:rPr>
      <w:rFonts w:ascii="宋体" w:hAnsi="宋体" w:eastAsia="黑体"/>
      <w:b/>
      <w:bCs/>
      <w:kern w:val="44"/>
      <w:sz w:val="28"/>
      <w:szCs w:val="44"/>
      <w:lang w:val="en-US" w:eastAsia="zh-CN" w:bidi="ar-SA"/>
    </w:rPr>
  </w:style>
  <w:style w:type="character" w:customStyle="1" w:styleId="57">
    <w:name w:val="正文缩进 字符"/>
    <w:link w:val="7"/>
    <w:qFormat/>
    <w:uiPriority w:val="0"/>
    <w:rPr>
      <w:rFonts w:eastAsia="宋体"/>
      <w:kern w:val="2"/>
      <w:sz w:val="21"/>
      <w:lang w:val="en-US" w:eastAsia="zh-CN" w:bidi="ar-SA"/>
    </w:rPr>
  </w:style>
  <w:style w:type="character" w:customStyle="1" w:styleId="58">
    <w:name w:val="标题 3 Char"/>
    <w:qFormat/>
    <w:uiPriority w:val="0"/>
    <w:rPr>
      <w:rFonts w:ascii="黑体" w:eastAsia="黑体"/>
      <w:bCs/>
      <w:sz w:val="30"/>
    </w:rPr>
  </w:style>
  <w:style w:type="paragraph" w:customStyle="1" w:styleId="59">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1">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
    <w:name w:val="自定义正文"/>
    <w:basedOn w:val="1"/>
    <w:qFormat/>
    <w:uiPriority w:val="0"/>
    <w:pPr>
      <w:spacing w:afterLines="50"/>
      <w:ind w:left="600" w:leftChars="600"/>
    </w:pPr>
  </w:style>
  <w:style w:type="paragraph" w:customStyle="1" w:styleId="67">
    <w:name w:val="Char Char Char Char Char"/>
    <w:basedOn w:val="1"/>
    <w:qFormat/>
    <w:uiPriority w:val="0"/>
    <w:rPr>
      <w:rFonts w:ascii="Tahoma" w:hAnsi="Tahoma"/>
      <w:sz w:val="24"/>
      <w:szCs w:val="20"/>
    </w:rPr>
  </w:style>
  <w:style w:type="paragraph" w:customStyle="1" w:styleId="6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9">
    <w:name w:val="Char Char"/>
    <w:basedOn w:val="1"/>
    <w:qFormat/>
    <w:uiPriority w:val="0"/>
    <w:rPr>
      <w:rFonts w:ascii="Tahoma" w:hAnsi="Tahoma"/>
      <w:sz w:val="24"/>
      <w:szCs w:val="2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1">
    <w:name w:val="标题 2 字符"/>
    <w:link w:val="5"/>
    <w:qFormat/>
    <w:uiPriority w:val="0"/>
    <w:rPr>
      <w:rFonts w:ascii="宋体" w:hAnsi="宋体" w:eastAsia="宋体"/>
      <w:b/>
      <w:bCs/>
      <w:sz w:val="24"/>
      <w:lang w:val="en-US" w:eastAsia="zh-CN" w:bidi="ar-SA"/>
    </w:rPr>
  </w:style>
  <w:style w:type="paragraph" w:customStyle="1" w:styleId="7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3">
    <w:name w:val="List Paragraph"/>
    <w:basedOn w:val="1"/>
    <w:qFormat/>
    <w:uiPriority w:val="0"/>
    <w:pPr>
      <w:ind w:firstLine="420" w:firstLineChars="200"/>
    </w:pPr>
    <w:rPr>
      <w:rFonts w:ascii="Calibri" w:hAnsi="Calibri"/>
      <w:szCs w:val="22"/>
    </w:rPr>
  </w:style>
  <w:style w:type="paragraph" w:customStyle="1" w:styleId="74">
    <w:name w:val="USE 1"/>
    <w:basedOn w:val="1"/>
    <w:qFormat/>
    <w:uiPriority w:val="0"/>
    <w:pPr>
      <w:spacing w:line="200" w:lineRule="atLeast"/>
      <w:jc w:val="left"/>
    </w:pPr>
    <w:rPr>
      <w:rFonts w:ascii="宋体" w:hAnsi="宋体"/>
      <w:b/>
      <w:sz w:val="24"/>
      <w:szCs w:val="28"/>
    </w:rPr>
  </w:style>
  <w:style w:type="paragraph" w:customStyle="1" w:styleId="75">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6">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7">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78">
    <w:name w:val="H4 Char2"/>
    <w:qFormat/>
    <w:uiPriority w:val="0"/>
    <w:rPr>
      <w:rFonts w:ascii="Arial" w:hAnsi="Arial" w:eastAsia="黑体"/>
      <w:b/>
      <w:bCs/>
      <w:kern w:val="2"/>
      <w:sz w:val="28"/>
      <w:szCs w:val="28"/>
      <w:lang w:val="en-US" w:eastAsia="zh-CN" w:bidi="ar-SA"/>
    </w:rPr>
  </w:style>
  <w:style w:type="character" w:customStyle="1" w:styleId="79">
    <w:name w:val="正文文本缩进 字符"/>
    <w:link w:val="19"/>
    <w:qFormat/>
    <w:uiPriority w:val="0"/>
    <w:rPr>
      <w:rFonts w:eastAsia="宋体"/>
      <w:kern w:val="2"/>
      <w:sz w:val="21"/>
      <w:szCs w:val="24"/>
      <w:lang w:val="en-US" w:eastAsia="zh-CN" w:bidi="ar-SA"/>
    </w:rPr>
  </w:style>
  <w:style w:type="character" w:customStyle="1" w:styleId="80">
    <w:name w:val="标题 5 字符"/>
    <w:link w:val="6"/>
    <w:qFormat/>
    <w:uiPriority w:val="0"/>
    <w:rPr>
      <w:rFonts w:eastAsia="宋体"/>
      <w:b/>
      <w:kern w:val="2"/>
      <w:sz w:val="28"/>
      <w:lang w:val="en-US" w:eastAsia="zh-CN" w:bidi="ar-SA"/>
    </w:rPr>
  </w:style>
  <w:style w:type="character" w:customStyle="1" w:styleId="81">
    <w:name w:val="第*章 Char"/>
    <w:qFormat/>
    <w:uiPriority w:val="0"/>
    <w:rPr>
      <w:rFonts w:ascii="Arial" w:hAnsi="Arial" w:eastAsia="黑体"/>
      <w:b/>
      <w:bCs/>
      <w:kern w:val="2"/>
      <w:sz w:val="32"/>
      <w:szCs w:val="32"/>
    </w:rPr>
  </w:style>
  <w:style w:type="character" w:customStyle="1" w:styleId="82">
    <w:name w:val="章标题1 Char"/>
    <w:qFormat/>
    <w:uiPriority w:val="0"/>
    <w:rPr>
      <w:rFonts w:eastAsia="宋体"/>
      <w:b/>
      <w:bCs/>
      <w:kern w:val="2"/>
      <w:sz w:val="32"/>
      <w:szCs w:val="32"/>
      <w:lang w:val="en-US" w:eastAsia="zh-CN" w:bidi="ar-SA"/>
    </w:rPr>
  </w:style>
  <w:style w:type="character" w:customStyle="1" w:styleId="83">
    <w:name w:val="标题 6 字符"/>
    <w:link w:val="8"/>
    <w:qFormat/>
    <w:uiPriority w:val="0"/>
    <w:rPr>
      <w:rFonts w:ascii="Arial" w:hAnsi="Arial" w:eastAsia="黑体"/>
      <w:b/>
      <w:kern w:val="2"/>
      <w:sz w:val="24"/>
      <w:lang w:val="en-US" w:eastAsia="zh-CN" w:bidi="ar-SA"/>
    </w:rPr>
  </w:style>
  <w:style w:type="character" w:customStyle="1" w:styleId="84">
    <w:name w:val="标题 7 字符"/>
    <w:link w:val="9"/>
    <w:qFormat/>
    <w:uiPriority w:val="0"/>
    <w:rPr>
      <w:rFonts w:eastAsia="宋体"/>
      <w:b/>
      <w:kern w:val="2"/>
      <w:sz w:val="24"/>
      <w:lang w:val="en-US" w:eastAsia="zh-CN" w:bidi="ar-SA"/>
    </w:rPr>
  </w:style>
  <w:style w:type="character" w:customStyle="1" w:styleId="85">
    <w:name w:val="标题 8 字符"/>
    <w:link w:val="10"/>
    <w:qFormat/>
    <w:uiPriority w:val="0"/>
    <w:rPr>
      <w:rFonts w:ascii="Arial" w:hAnsi="Arial" w:eastAsia="黑体"/>
      <w:kern w:val="2"/>
      <w:sz w:val="24"/>
      <w:lang w:val="en-US" w:eastAsia="zh-CN" w:bidi="ar-SA"/>
    </w:rPr>
  </w:style>
  <w:style w:type="character" w:customStyle="1" w:styleId="86">
    <w:name w:val="标题 9 字符"/>
    <w:link w:val="11"/>
    <w:qFormat/>
    <w:uiPriority w:val="0"/>
    <w:rPr>
      <w:rFonts w:ascii="Arial" w:hAnsi="Arial" w:eastAsia="黑体"/>
      <w:kern w:val="2"/>
      <w:sz w:val="21"/>
      <w:lang w:val="en-US" w:eastAsia="zh-CN" w:bidi="ar-SA"/>
    </w:rPr>
  </w:style>
  <w:style w:type="character" w:customStyle="1" w:styleId="87">
    <w:name w:val="标题 字符"/>
    <w:link w:val="40"/>
    <w:qFormat/>
    <w:uiPriority w:val="0"/>
    <w:rPr>
      <w:rFonts w:ascii="Arial" w:hAnsi="Arial" w:eastAsia="隶书" w:cs="Arial"/>
      <w:b/>
      <w:bCs/>
      <w:kern w:val="2"/>
      <w:sz w:val="32"/>
      <w:szCs w:val="32"/>
      <w:lang w:val="en-US" w:eastAsia="zh-CN" w:bidi="ar-SA"/>
    </w:rPr>
  </w:style>
  <w:style w:type="character" w:customStyle="1" w:styleId="88">
    <w:name w:val="日期 字符"/>
    <w:link w:val="24"/>
    <w:qFormat/>
    <w:uiPriority w:val="0"/>
    <w:rPr>
      <w:rFonts w:ascii="宋体" w:hAnsi="Courier New" w:eastAsia="宋体"/>
      <w:kern w:val="2"/>
      <w:sz w:val="32"/>
      <w:lang w:val="en-US" w:eastAsia="zh-CN" w:bidi="ar-SA"/>
    </w:rPr>
  </w:style>
  <w:style w:type="character" w:customStyle="1" w:styleId="89">
    <w:name w:val="HTML 预设格式 字符"/>
    <w:link w:val="37"/>
    <w:qFormat/>
    <w:uiPriority w:val="0"/>
    <w:rPr>
      <w:rFonts w:ascii="Arial Unicode MS" w:hAnsi="Arial Unicode MS" w:eastAsia="Arial Unicode MS"/>
      <w:color w:val="000000"/>
      <w:lang w:val="en-US" w:eastAsia="zh-CN" w:bidi="ar-SA"/>
    </w:rPr>
  </w:style>
  <w:style w:type="character" w:customStyle="1" w:styleId="90">
    <w:name w:val="纯文本 字符"/>
    <w:link w:val="22"/>
    <w:qFormat/>
    <w:uiPriority w:val="0"/>
    <w:rPr>
      <w:rFonts w:ascii="宋体" w:hAnsi="Courier New" w:eastAsia="宋体"/>
      <w:kern w:val="2"/>
      <w:sz w:val="21"/>
      <w:lang w:val="en-US" w:eastAsia="zh-CN" w:bidi="ar-SA"/>
    </w:rPr>
  </w:style>
  <w:style w:type="character" w:customStyle="1" w:styleId="91">
    <w:name w:val="正文文字首行缩进 Char"/>
    <w:qFormat/>
    <w:uiPriority w:val="0"/>
    <w:rPr>
      <w:kern w:val="2"/>
      <w:sz w:val="21"/>
      <w:szCs w:val="24"/>
    </w:rPr>
  </w:style>
  <w:style w:type="character" w:customStyle="1" w:styleId="92">
    <w:name w:val="正文文本 字符"/>
    <w:link w:val="18"/>
    <w:qFormat/>
    <w:uiPriority w:val="0"/>
    <w:rPr>
      <w:rFonts w:eastAsia="宋体"/>
      <w:b/>
      <w:bCs/>
      <w:kern w:val="2"/>
      <w:sz w:val="24"/>
      <w:szCs w:val="24"/>
      <w:lang w:val="en-US" w:eastAsia="zh-CN" w:bidi="ar-SA"/>
    </w:rPr>
  </w:style>
  <w:style w:type="character" w:customStyle="1" w:styleId="93">
    <w:name w:val="正文文本缩进 2 字符"/>
    <w:link w:val="25"/>
    <w:qFormat/>
    <w:uiPriority w:val="0"/>
    <w:rPr>
      <w:rFonts w:ascii="宋体" w:hAnsi="宋体" w:eastAsia="宋体"/>
      <w:kern w:val="2"/>
      <w:sz w:val="21"/>
      <w:szCs w:val="24"/>
      <w:lang w:val="en-US" w:eastAsia="zh-CN" w:bidi="ar-SA"/>
    </w:rPr>
  </w:style>
  <w:style w:type="character" w:customStyle="1" w:styleId="94">
    <w:name w:val="页眉 字符"/>
    <w:link w:val="28"/>
    <w:qFormat/>
    <w:uiPriority w:val="99"/>
    <w:rPr>
      <w:rFonts w:eastAsia="宋体"/>
      <w:kern w:val="2"/>
      <w:sz w:val="18"/>
      <w:szCs w:val="18"/>
      <w:lang w:val="en-US" w:eastAsia="zh-CN" w:bidi="ar-SA"/>
    </w:rPr>
  </w:style>
  <w:style w:type="character" w:customStyle="1" w:styleId="95">
    <w:name w:val="正文文本缩进 3 字符"/>
    <w:link w:val="33"/>
    <w:qFormat/>
    <w:uiPriority w:val="0"/>
    <w:rPr>
      <w:rFonts w:ascii="宋体" w:eastAsia="宋体"/>
      <w:b/>
      <w:bCs/>
      <w:kern w:val="2"/>
      <w:sz w:val="24"/>
      <w:szCs w:val="24"/>
      <w:lang w:val="en-US" w:eastAsia="zh-CN" w:bidi="ar-SA"/>
    </w:rPr>
  </w:style>
  <w:style w:type="character" w:customStyle="1" w:styleId="96">
    <w:name w:val="正文文本 2 字符"/>
    <w:link w:val="36"/>
    <w:qFormat/>
    <w:uiPriority w:val="0"/>
    <w:rPr>
      <w:rFonts w:eastAsia="宋体"/>
      <w:kern w:val="2"/>
      <w:sz w:val="24"/>
      <w:szCs w:val="24"/>
      <w:lang w:val="en-US" w:eastAsia="zh-CN" w:bidi="ar-SA"/>
    </w:rPr>
  </w:style>
  <w:style w:type="character" w:customStyle="1" w:styleId="97">
    <w:name w:val="页脚 字符"/>
    <w:link w:val="27"/>
    <w:qFormat/>
    <w:uiPriority w:val="0"/>
    <w:rPr>
      <w:rFonts w:eastAsia="宋体"/>
      <w:kern w:val="2"/>
      <w:sz w:val="18"/>
      <w:szCs w:val="18"/>
      <w:lang w:val="en-US" w:eastAsia="zh-CN" w:bidi="ar-SA"/>
    </w:rPr>
  </w:style>
  <w:style w:type="character" w:customStyle="1" w:styleId="98">
    <w:name w:val="正文文本 3 字符"/>
    <w:link w:val="17"/>
    <w:qFormat/>
    <w:uiPriority w:val="0"/>
    <w:rPr>
      <w:rFonts w:eastAsia="宋体"/>
      <w:kern w:val="2"/>
      <w:sz w:val="16"/>
      <w:szCs w:val="16"/>
      <w:lang w:val="en-US" w:eastAsia="zh-CN" w:bidi="ar-SA"/>
    </w:rPr>
  </w:style>
  <w:style w:type="character" w:customStyle="1" w:styleId="99">
    <w:name w:val="批注框文本 字符"/>
    <w:link w:val="26"/>
    <w:semiHidden/>
    <w:qFormat/>
    <w:uiPriority w:val="99"/>
    <w:rPr>
      <w:rFonts w:eastAsia="宋体"/>
      <w:kern w:val="2"/>
      <w:sz w:val="18"/>
      <w:szCs w:val="18"/>
      <w:lang w:val="en-US" w:eastAsia="zh-CN" w:bidi="ar-SA"/>
    </w:rPr>
  </w:style>
  <w:style w:type="paragraph" w:customStyle="1" w:styleId="100">
    <w:name w:val="样式1"/>
    <w:basedOn w:val="40"/>
    <w:qFormat/>
    <w:uiPriority w:val="0"/>
    <w:pPr>
      <w:spacing w:before="120" w:after="120"/>
    </w:pPr>
    <w:rPr>
      <w:rFonts w:eastAsia="黑体"/>
      <w:b w:val="0"/>
      <w:sz w:val="30"/>
      <w:szCs w:val="21"/>
    </w:rPr>
  </w:style>
  <w:style w:type="paragraph" w:customStyle="1" w:styleId="101">
    <w:name w:val="样式2"/>
    <w:basedOn w:val="40"/>
    <w:next w:val="100"/>
    <w:qFormat/>
    <w:uiPriority w:val="0"/>
    <w:pPr>
      <w:spacing w:before="120" w:after="120"/>
    </w:pPr>
    <w:rPr>
      <w:rFonts w:eastAsia="黑体"/>
      <w:b w:val="0"/>
      <w:sz w:val="30"/>
      <w:szCs w:val="30"/>
    </w:rPr>
  </w:style>
  <w:style w:type="character" w:customStyle="1" w:styleId="102">
    <w:name w:val="标题 3 Char Char"/>
    <w:qFormat/>
    <w:uiPriority w:val="0"/>
    <w:rPr>
      <w:rFonts w:eastAsia="宋体"/>
      <w:b/>
      <w:bCs/>
      <w:kern w:val="2"/>
      <w:sz w:val="32"/>
      <w:szCs w:val="32"/>
      <w:lang w:val="en-US" w:eastAsia="zh-CN" w:bidi="ar-SA"/>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szCs w:val="20"/>
    </w:rPr>
  </w:style>
  <w:style w:type="paragraph" w:customStyle="1" w:styleId="106">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7">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sz w:val="24"/>
    </w:rPr>
  </w:style>
  <w:style w:type="paragraph" w:customStyle="1" w:styleId="109">
    <w:name w:val="文字"/>
    <w:basedOn w:val="1"/>
    <w:qFormat/>
    <w:uiPriority w:val="0"/>
    <w:pPr>
      <w:tabs>
        <w:tab w:val="left" w:pos="8520"/>
      </w:tabs>
      <w:spacing w:line="312" w:lineRule="auto"/>
      <w:ind w:right="-210" w:firstLine="556"/>
    </w:pPr>
    <w:rPr>
      <w:rFonts w:ascii="宋体"/>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szCs w:val="21"/>
    </w:rPr>
  </w:style>
  <w:style w:type="paragraph" w:customStyle="1" w:styleId="113">
    <w:name w:val="--规划-题注"/>
    <w:basedOn w:val="1"/>
    <w:next w:val="105"/>
    <w:qFormat/>
    <w:uiPriority w:val="0"/>
    <w:pPr>
      <w:spacing w:line="360" w:lineRule="auto"/>
      <w:jc w:val="center"/>
    </w:pPr>
    <w:rPr>
      <w:rFonts w:eastAsia="黑体"/>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eastAsia="黑体"/>
    </w:rPr>
  </w:style>
  <w:style w:type="paragraph" w:customStyle="1" w:styleId="116">
    <w:name w:val="--规划正文 Char"/>
    <w:basedOn w:val="1"/>
    <w:qFormat/>
    <w:uiPriority w:val="0"/>
    <w:pPr>
      <w:spacing w:line="360" w:lineRule="auto"/>
      <w:ind w:firstLine="200" w:firstLineChars="200"/>
    </w:pPr>
    <w:rPr>
      <w:sz w:val="24"/>
    </w:rPr>
  </w:style>
  <w:style w:type="paragraph" w:customStyle="1" w:styleId="117">
    <w:name w:val="缺省文本"/>
    <w:basedOn w:val="1"/>
    <w:qFormat/>
    <w:uiPriority w:val="0"/>
    <w:pPr>
      <w:autoSpaceDE w:val="0"/>
      <w:autoSpaceDN w:val="0"/>
      <w:adjustRightInd w:val="0"/>
      <w:jc w:val="left"/>
    </w:pPr>
    <w:rPr>
      <w:kern w:val="0"/>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9">
    <w:name w:val="--规划正文 Char Char"/>
    <w:qFormat/>
    <w:uiPriority w:val="0"/>
    <w:rPr>
      <w:rFonts w:eastAsia="宋体"/>
      <w:kern w:val="2"/>
      <w:sz w:val="24"/>
      <w:szCs w:val="24"/>
      <w:lang w:val="en-US" w:eastAsia="zh-CN" w:bidi="ar-SA"/>
    </w:rPr>
  </w:style>
  <w:style w:type="paragraph" w:customStyle="1" w:styleId="120">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1">
    <w:name w:val="--规划正文 Char1"/>
    <w:qFormat/>
    <w:uiPriority w:val="0"/>
    <w:rPr>
      <w:rFonts w:eastAsia="宋体"/>
      <w:kern w:val="2"/>
      <w:sz w:val="21"/>
      <w:lang w:val="en-US" w:eastAsia="zh-CN" w:bidi="ar-SA"/>
    </w:rPr>
  </w:style>
  <w:style w:type="paragraph" w:customStyle="1" w:styleId="12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3">
    <w:name w:val="列表项目"/>
    <w:basedOn w:val="1"/>
    <w:qFormat/>
    <w:uiPriority w:val="0"/>
    <w:pPr>
      <w:tabs>
        <w:tab w:val="left" w:pos="420"/>
        <w:tab w:val="left" w:pos="1080"/>
      </w:tabs>
      <w:spacing w:line="288" w:lineRule="auto"/>
      <w:ind w:left="1080" w:hanging="360"/>
    </w:pPr>
    <w:rPr>
      <w:sz w:val="24"/>
      <w:szCs w:val="20"/>
    </w:rPr>
  </w:style>
  <w:style w:type="character" w:customStyle="1" w:styleId="124">
    <w:name w:val="content1"/>
    <w:qFormat/>
    <w:uiPriority w:val="0"/>
    <w:rPr>
      <w:rFonts w:hint="default" w:ascii="??" w:hAnsi="??"/>
      <w:sz w:val="16"/>
      <w:szCs w:val="16"/>
      <w:u w:val="none"/>
    </w:rPr>
  </w:style>
  <w:style w:type="character" w:customStyle="1" w:styleId="125">
    <w:name w:val="unnamed4"/>
    <w:basedOn w:val="46"/>
    <w:qFormat/>
    <w:uiPriority w:val="0"/>
  </w:style>
  <w:style w:type="character" w:customStyle="1" w:styleId="126">
    <w:name w:val="font2"/>
    <w:basedOn w:val="46"/>
    <w:qFormat/>
    <w:uiPriority w:val="0"/>
  </w:style>
  <w:style w:type="character" w:customStyle="1" w:styleId="127">
    <w:name w:val="font41"/>
    <w:qFormat/>
    <w:uiPriority w:val="0"/>
    <w:rPr>
      <w:color w:val="000000"/>
      <w:spacing w:val="260"/>
      <w:sz w:val="18"/>
      <w:szCs w:val="18"/>
      <w:u w:val="none"/>
    </w:rPr>
  </w:style>
  <w:style w:type="paragraph" w:customStyle="1" w:styleId="128">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9">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0">
    <w:name w:val="正文首行缩进 字符"/>
    <w:link w:val="42"/>
    <w:qFormat/>
    <w:uiPriority w:val="0"/>
    <w:rPr>
      <w:rFonts w:eastAsia="宋体"/>
      <w:b/>
      <w:bCs/>
      <w:kern w:val="2"/>
      <w:sz w:val="21"/>
      <w:szCs w:val="24"/>
      <w:lang w:val="en-US" w:eastAsia="zh-CN" w:bidi="ar-SA"/>
    </w:rPr>
  </w:style>
  <w:style w:type="paragraph" w:customStyle="1" w:styleId="13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4">
    <w:name w:val="mode"/>
    <w:basedOn w:val="46"/>
    <w:qFormat/>
    <w:uiPriority w:val="0"/>
  </w:style>
  <w:style w:type="paragraph" w:customStyle="1" w:styleId="135">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36">
    <w:name w:val="unnamed3"/>
    <w:basedOn w:val="46"/>
    <w:qFormat/>
    <w:uiPriority w:val="0"/>
  </w:style>
  <w:style w:type="paragraph" w:customStyle="1" w:styleId="137">
    <w:name w:val="8"/>
    <w:basedOn w:val="1"/>
    <w:next w:val="19"/>
    <w:qFormat/>
    <w:uiPriority w:val="0"/>
    <w:pPr>
      <w:spacing w:after="120"/>
      <w:ind w:left="420" w:leftChars="200"/>
    </w:pPr>
  </w:style>
  <w:style w:type="paragraph" w:customStyle="1" w:styleId="138">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9">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0">
    <w:name w:val="5"/>
    <w:basedOn w:val="1"/>
    <w:qFormat/>
    <w:uiPriority w:val="0"/>
    <w:pPr>
      <w:autoSpaceDE w:val="0"/>
      <w:autoSpaceDN w:val="0"/>
      <w:adjustRightInd w:val="0"/>
      <w:jc w:val="left"/>
    </w:pPr>
    <w:rPr>
      <w:rFonts w:ascii="宋体"/>
      <w:b/>
      <w:bCs/>
      <w:kern w:val="0"/>
      <w:sz w:val="18"/>
      <w:szCs w:val="18"/>
    </w:rPr>
  </w:style>
  <w:style w:type="paragraph" w:customStyle="1" w:styleId="141">
    <w:name w:val="6"/>
    <w:basedOn w:val="140"/>
    <w:qFormat/>
    <w:uiPriority w:val="0"/>
    <w:pPr>
      <w:spacing w:line="270" w:lineRule="atLeast"/>
      <w:jc w:val="both"/>
    </w:pPr>
    <w:rPr>
      <w:b w:val="0"/>
      <w:bCs w:val="0"/>
    </w:rPr>
  </w:style>
  <w:style w:type="paragraph" w:customStyle="1" w:styleId="142">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3">
    <w:name w:val="姜文清定义的正文"/>
    <w:basedOn w:val="1"/>
    <w:qFormat/>
    <w:uiPriority w:val="0"/>
    <w:pPr>
      <w:spacing w:line="240" w:lineRule="atLeast"/>
      <w:ind w:firstLine="567"/>
    </w:pPr>
    <w:rPr>
      <w:szCs w:val="20"/>
    </w:rPr>
  </w:style>
  <w:style w:type="paragraph" w:customStyle="1" w:styleId="14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5">
    <w:name w:val="CM2"/>
    <w:basedOn w:val="144"/>
    <w:next w:val="144"/>
    <w:qFormat/>
    <w:uiPriority w:val="0"/>
    <w:pPr>
      <w:spacing w:line="200" w:lineRule="atLeast"/>
    </w:pPr>
    <w:rPr>
      <w:rFonts w:ascii="Arial" w:hAnsi="Arial" w:eastAsia="宋体" w:cs="Times New Roman"/>
      <w:color w:val="auto"/>
    </w:rPr>
  </w:style>
  <w:style w:type="paragraph" w:customStyle="1" w:styleId="146">
    <w:name w:val="Normal Paragraph"/>
    <w:basedOn w:val="1"/>
    <w:qFormat/>
    <w:uiPriority w:val="0"/>
    <w:pPr>
      <w:widowControl/>
      <w:spacing w:before="120" w:line="360" w:lineRule="auto"/>
      <w:ind w:firstLine="425"/>
    </w:pPr>
    <w:rPr>
      <w:kern w:val="0"/>
      <w:sz w:val="24"/>
    </w:rPr>
  </w:style>
  <w:style w:type="character" w:customStyle="1" w:styleId="147">
    <w:name w:val="blue"/>
    <w:basedOn w:val="46"/>
    <w:qFormat/>
    <w:uiPriority w:val="0"/>
  </w:style>
  <w:style w:type="paragraph" w:customStyle="1" w:styleId="148">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9">
    <w:name w:val="font"/>
    <w:basedOn w:val="46"/>
    <w:qFormat/>
    <w:uiPriority w:val="0"/>
  </w:style>
  <w:style w:type="character" w:customStyle="1" w:styleId="150">
    <w:name w:val="font11"/>
    <w:qFormat/>
    <w:uiPriority w:val="0"/>
    <w:rPr>
      <w:rFonts w:hint="default" w:ascii="ˎ̥" w:hAnsi="ˎ̥"/>
    </w:rPr>
  </w:style>
  <w:style w:type="paragraph" w:customStyle="1" w:styleId="15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2">
    <w:name w:val="proddescription"/>
    <w:basedOn w:val="46"/>
    <w:qFormat/>
    <w:uiPriority w:val="0"/>
  </w:style>
  <w:style w:type="character" w:customStyle="1" w:styleId="153">
    <w:name w:val="prodheadlines"/>
    <w:basedOn w:val="46"/>
    <w:qFormat/>
    <w:uiPriority w:val="0"/>
  </w:style>
  <w:style w:type="character" w:customStyle="1" w:styleId="154">
    <w:name w:val="text"/>
    <w:basedOn w:val="46"/>
    <w:qFormat/>
    <w:uiPriority w:val="0"/>
  </w:style>
  <w:style w:type="paragraph" w:customStyle="1" w:styleId="155">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7">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8">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9">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0">
    <w:name w:val="段落正文"/>
    <w:basedOn w:val="22"/>
    <w:qFormat/>
    <w:uiPriority w:val="0"/>
    <w:pPr>
      <w:ind w:firstLine="560" w:firstLineChars="200"/>
    </w:pPr>
    <w:rPr>
      <w:sz w:val="28"/>
    </w:rPr>
  </w:style>
  <w:style w:type="character" w:customStyle="1" w:styleId="161">
    <w:name w:val="gray6"/>
    <w:basedOn w:val="46"/>
    <w:qFormat/>
    <w:uiPriority w:val="0"/>
  </w:style>
  <w:style w:type="character" w:customStyle="1" w:styleId="162">
    <w:name w:val="style9"/>
    <w:basedOn w:val="46"/>
    <w:qFormat/>
    <w:uiPriority w:val="0"/>
  </w:style>
  <w:style w:type="paragraph" w:customStyle="1" w:styleId="163">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4">
    <w:name w:val="grame"/>
    <w:basedOn w:val="46"/>
    <w:qFormat/>
    <w:uiPriority w:val="0"/>
  </w:style>
  <w:style w:type="paragraph" w:customStyle="1" w:styleId="16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Char1"/>
    <w:basedOn w:val="1"/>
    <w:qFormat/>
    <w:uiPriority w:val="0"/>
    <w:pPr>
      <w:jc w:val="left"/>
    </w:pPr>
    <w:rPr>
      <w:rFonts w:ascii="Tahoma" w:hAnsi="Tahoma"/>
      <w:sz w:val="24"/>
      <w:szCs w:val="20"/>
    </w:rPr>
  </w:style>
  <w:style w:type="paragraph" w:customStyle="1" w:styleId="167">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8">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1">
    <w:name w:val="font6"/>
    <w:basedOn w:val="1"/>
    <w:qFormat/>
    <w:uiPriority w:val="0"/>
    <w:pPr>
      <w:widowControl/>
      <w:spacing w:before="100" w:beforeAutospacing="1" w:after="100" w:afterAutospacing="1"/>
      <w:jc w:val="left"/>
    </w:pPr>
    <w:rPr>
      <w:kern w:val="0"/>
      <w:sz w:val="24"/>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4">
    <w:name w:val="表格字"/>
    <w:basedOn w:val="1"/>
    <w:qFormat/>
    <w:uiPriority w:val="0"/>
    <w:pPr>
      <w:adjustRightInd w:val="0"/>
      <w:jc w:val="center"/>
    </w:pPr>
    <w:rPr>
      <w:rFonts w:ascii="宋体"/>
      <w:sz w:val="24"/>
      <w:szCs w:val="20"/>
    </w:rPr>
  </w:style>
  <w:style w:type="character" w:customStyle="1" w:styleId="175">
    <w:name w:val="样式 小三 加粗"/>
    <w:qFormat/>
    <w:uiPriority w:val="0"/>
    <w:rPr>
      <w:rFonts w:eastAsia="宋体"/>
      <w:b/>
      <w:bCs/>
      <w:sz w:val="32"/>
    </w:rPr>
  </w:style>
  <w:style w:type="paragraph" w:customStyle="1" w:styleId="1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8">
    <w:name w:val="Char Char Char"/>
    <w:basedOn w:val="1"/>
    <w:qFormat/>
    <w:uiPriority w:val="0"/>
    <w:rPr>
      <w:rFonts w:ascii="Tahoma" w:hAnsi="Tahoma"/>
      <w:sz w:val="24"/>
      <w:szCs w:val="20"/>
    </w:rPr>
  </w:style>
  <w:style w:type="paragraph" w:customStyle="1" w:styleId="17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0">
    <w:name w:val="info4"/>
    <w:basedOn w:val="46"/>
    <w:qFormat/>
    <w:uiPriority w:val="0"/>
  </w:style>
  <w:style w:type="paragraph" w:customStyle="1" w:styleId="181">
    <w:name w:val="缩进正文"/>
    <w:basedOn w:val="1"/>
    <w:link w:val="182"/>
    <w:qFormat/>
    <w:uiPriority w:val="0"/>
    <w:pPr>
      <w:ind w:firstLine="560" w:firstLineChars="200"/>
    </w:pPr>
    <w:rPr>
      <w:rFonts w:eastAsia="仿宋_GB2312" w:cs="宋体"/>
      <w:sz w:val="28"/>
      <w:szCs w:val="20"/>
    </w:rPr>
  </w:style>
  <w:style w:type="character" w:customStyle="1" w:styleId="182">
    <w:name w:val="缩进正文 Char"/>
    <w:link w:val="181"/>
    <w:qFormat/>
    <w:uiPriority w:val="0"/>
    <w:rPr>
      <w:rFonts w:eastAsia="仿宋_GB2312" w:cs="宋体"/>
      <w:kern w:val="2"/>
      <w:sz w:val="28"/>
      <w:lang w:val="en-US" w:eastAsia="zh-CN" w:bidi="ar-SA"/>
    </w:rPr>
  </w:style>
  <w:style w:type="paragraph" w:customStyle="1" w:styleId="183">
    <w:name w:val="列出段落1"/>
    <w:basedOn w:val="1"/>
    <w:qFormat/>
    <w:uiPriority w:val="0"/>
    <w:pPr>
      <w:ind w:firstLine="420" w:firstLineChars="200"/>
    </w:pPr>
    <w:rPr>
      <w:rFonts w:ascii="Calibri" w:hAnsi="Calibri" w:cs="Calibri"/>
      <w:szCs w:val="21"/>
    </w:rPr>
  </w:style>
  <w:style w:type="character" w:customStyle="1" w:styleId="184">
    <w:name w:val="批注文字 字符"/>
    <w:basedOn w:val="46"/>
    <w:link w:val="16"/>
    <w:qFormat/>
    <w:uiPriority w:val="0"/>
    <w:rPr>
      <w:rFonts w:ascii="宋体"/>
      <w:sz w:val="34"/>
    </w:rPr>
  </w:style>
  <w:style w:type="character" w:customStyle="1" w:styleId="185">
    <w:name w:val="批注主题 字符"/>
    <w:basedOn w:val="184"/>
    <w:link w:val="41"/>
    <w:qFormat/>
    <w:uiPriority w:val="99"/>
    <w:rPr>
      <w:rFonts w:ascii="宋体"/>
      <w:sz w:val="34"/>
    </w:rPr>
  </w:style>
  <w:style w:type="paragraph" w:customStyle="1" w:styleId="186">
    <w:name w:val="评价"/>
    <w:basedOn w:val="1"/>
    <w:qFormat/>
    <w:uiPriority w:val="0"/>
    <w:pPr>
      <w:spacing w:afterLines="20"/>
      <w:ind w:firstLine="1446" w:firstLineChars="200"/>
    </w:pPr>
    <w:rPr>
      <w:rFonts w:ascii="Calibri" w:hAnsi="Calibri"/>
      <w:sz w:val="24"/>
    </w:rPr>
  </w:style>
  <w:style w:type="paragraph" w:customStyle="1" w:styleId="1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8">
    <w:name w:val="alt-edited1"/>
    <w:qFormat/>
    <w:uiPriority w:val="0"/>
    <w:rPr>
      <w:color w:val="4D90F0"/>
    </w:rPr>
  </w:style>
  <w:style w:type="paragraph" w:customStyle="1" w:styleId="189">
    <w:name w:val="toc 14"/>
    <w:next w:val="1"/>
    <w:qFormat/>
    <w:uiPriority w:val="0"/>
    <w:pPr>
      <w:wordWrap w:val="0"/>
      <w:jc w:val="both"/>
    </w:pPr>
    <w:rPr>
      <w:rFonts w:ascii="Calibri" w:hAnsi="Calibri" w:eastAsia="宋体" w:cs="Times New Roman"/>
      <w:sz w:val="21"/>
      <w:lang w:val="en-US" w:eastAsia="zh-CN" w:bidi="ar-SA"/>
    </w:rPr>
  </w:style>
  <w:style w:type="character" w:customStyle="1" w:styleId="190">
    <w:name w:val="文档结构图 Char1"/>
    <w:semiHidden/>
    <w:qFormat/>
    <w:uiPriority w:val="0"/>
    <w:rPr>
      <w:sz w:val="20"/>
    </w:rPr>
  </w:style>
  <w:style w:type="character" w:customStyle="1" w:styleId="191">
    <w:name w:val="文档结构图 Char"/>
    <w:semiHidden/>
    <w:qFormat/>
    <w:uiPriority w:val="0"/>
    <w:rPr>
      <w:sz w:val="20"/>
    </w:rPr>
  </w:style>
  <w:style w:type="character" w:customStyle="1" w:styleId="192">
    <w:name w:val="short_text"/>
    <w:basedOn w:val="46"/>
    <w:qFormat/>
    <w:uiPriority w:val="0"/>
    <w:rPr>
      <w:sz w:val="20"/>
    </w:rPr>
  </w:style>
  <w:style w:type="character" w:customStyle="1" w:styleId="193">
    <w:name w:val="标题 Char1"/>
    <w:qFormat/>
    <w:uiPriority w:val="0"/>
    <w:rPr>
      <w:b/>
      <w:sz w:val="20"/>
    </w:rPr>
  </w:style>
  <w:style w:type="character" w:customStyle="1" w:styleId="194">
    <w:name w:val="正文文本缩进 3 Char1"/>
    <w:semiHidden/>
    <w:qFormat/>
    <w:uiPriority w:val="0"/>
    <w:rPr>
      <w:sz w:val="20"/>
    </w:rPr>
  </w:style>
  <w:style w:type="character" w:customStyle="1" w:styleId="195">
    <w:name w:val="font21"/>
    <w:qFormat/>
    <w:uiPriority w:val="0"/>
    <w:rPr>
      <w:color w:val="FF0000"/>
      <w:sz w:val="20"/>
      <w:u w:val="none"/>
    </w:rPr>
  </w:style>
  <w:style w:type="character" w:customStyle="1" w:styleId="196">
    <w:name w:val="不明显强调1"/>
    <w:qFormat/>
    <w:uiPriority w:val="0"/>
    <w:rPr>
      <w:i/>
      <w:sz w:val="20"/>
    </w:rPr>
  </w:style>
  <w:style w:type="character" w:customStyle="1" w:styleId="197">
    <w:name w:val="font71"/>
    <w:qFormat/>
    <w:uiPriority w:val="0"/>
    <w:rPr>
      <w:sz w:val="20"/>
      <w:u w:val="none"/>
    </w:rPr>
  </w:style>
  <w:style w:type="character" w:customStyle="1" w:styleId="198">
    <w:name w:val="页眉 Char1"/>
    <w:semiHidden/>
    <w:qFormat/>
    <w:uiPriority w:val="0"/>
    <w:rPr>
      <w:sz w:val="20"/>
    </w:rPr>
  </w:style>
  <w:style w:type="character" w:customStyle="1" w:styleId="199">
    <w:name w:val="正文文本缩进 2 Char1"/>
    <w:semiHidden/>
    <w:qFormat/>
    <w:uiPriority w:val="0"/>
    <w:rPr>
      <w:sz w:val="20"/>
    </w:rPr>
  </w:style>
  <w:style w:type="character" w:customStyle="1" w:styleId="200">
    <w:name w:val="font61"/>
    <w:qFormat/>
    <w:uiPriority w:val="0"/>
    <w:rPr>
      <w:sz w:val="20"/>
      <w:u w:val="none"/>
    </w:rPr>
  </w:style>
  <w:style w:type="character" w:customStyle="1" w:styleId="201">
    <w:name w:val="纯文本 Char1"/>
    <w:semiHidden/>
    <w:qFormat/>
    <w:uiPriority w:val="0"/>
    <w:rPr>
      <w:sz w:val="20"/>
    </w:rPr>
  </w:style>
  <w:style w:type="character" w:customStyle="1" w:styleId="202">
    <w:name w:val="正文文本 3 Char1"/>
    <w:semiHidden/>
    <w:qFormat/>
    <w:uiPriority w:val="0"/>
    <w:rPr>
      <w:sz w:val="20"/>
    </w:rPr>
  </w:style>
  <w:style w:type="character" w:customStyle="1" w:styleId="203">
    <w:name w:val="正文文本缩进 Char1"/>
    <w:semiHidden/>
    <w:qFormat/>
    <w:uiPriority w:val="0"/>
    <w:rPr>
      <w:sz w:val="20"/>
    </w:rPr>
  </w:style>
  <w:style w:type="character" w:customStyle="1" w:styleId="204">
    <w:name w:val="明显参考1"/>
    <w:qFormat/>
    <w:uiPriority w:val="0"/>
    <w:rPr>
      <w:b/>
      <w:sz w:val="20"/>
    </w:rPr>
  </w:style>
  <w:style w:type="character" w:customStyle="1" w:styleId="205">
    <w:name w:val="apple-converted-space"/>
    <w:qFormat/>
    <w:uiPriority w:val="0"/>
    <w:rPr>
      <w:sz w:val="20"/>
    </w:rPr>
  </w:style>
  <w:style w:type="character" w:customStyle="1" w:styleId="206">
    <w:name w:val="书籍标题1"/>
    <w:qFormat/>
    <w:uiPriority w:val="0"/>
    <w:rPr>
      <w:b/>
      <w:i/>
      <w:sz w:val="20"/>
    </w:rPr>
  </w:style>
  <w:style w:type="character" w:customStyle="1" w:styleId="207">
    <w:name w:val="long_text"/>
    <w:qFormat/>
    <w:uiPriority w:val="0"/>
    <w:rPr>
      <w:sz w:val="20"/>
    </w:rPr>
  </w:style>
  <w:style w:type="character" w:customStyle="1" w:styleId="208">
    <w:name w:val="日期 Char1"/>
    <w:semiHidden/>
    <w:qFormat/>
    <w:uiPriority w:val="0"/>
    <w:rPr>
      <w:sz w:val="20"/>
    </w:rPr>
  </w:style>
  <w:style w:type="character" w:customStyle="1" w:styleId="209">
    <w:name w:val="批注文字 Char1"/>
    <w:semiHidden/>
    <w:qFormat/>
    <w:uiPriority w:val="0"/>
    <w:rPr>
      <w:sz w:val="20"/>
    </w:rPr>
  </w:style>
  <w:style w:type="character" w:customStyle="1" w:styleId="210">
    <w:name w:val="明显强调1"/>
    <w:qFormat/>
    <w:uiPriority w:val="0"/>
    <w:rPr>
      <w:i/>
      <w:sz w:val="20"/>
    </w:rPr>
  </w:style>
  <w:style w:type="character" w:customStyle="1" w:styleId="211">
    <w:name w:val="16"/>
    <w:qFormat/>
    <w:uiPriority w:val="0"/>
    <w:rPr>
      <w:b/>
      <w:color w:val="FF0356"/>
      <w:sz w:val="20"/>
    </w:rPr>
  </w:style>
  <w:style w:type="character" w:customStyle="1" w:styleId="212">
    <w:name w:val="批注主题 Char1"/>
    <w:semiHidden/>
    <w:qFormat/>
    <w:uiPriority w:val="0"/>
    <w:rPr>
      <w:b/>
      <w:sz w:val="20"/>
    </w:rPr>
  </w:style>
  <w:style w:type="character" w:customStyle="1" w:styleId="213">
    <w:name w:val="正文文本 2 Char1"/>
    <w:semiHidden/>
    <w:qFormat/>
    <w:uiPriority w:val="0"/>
    <w:rPr>
      <w:sz w:val="20"/>
    </w:rPr>
  </w:style>
  <w:style w:type="character" w:customStyle="1" w:styleId="214">
    <w:name w:val="font31"/>
    <w:qFormat/>
    <w:uiPriority w:val="0"/>
    <w:rPr>
      <w:color w:val="FF0000"/>
      <w:sz w:val="20"/>
      <w:u w:val="none"/>
      <w:vertAlign w:val="superscript"/>
    </w:rPr>
  </w:style>
  <w:style w:type="character" w:customStyle="1" w:styleId="215">
    <w:name w:val="不明显参考1"/>
    <w:qFormat/>
    <w:uiPriority w:val="0"/>
    <w:rPr>
      <w:sz w:val="20"/>
    </w:rPr>
  </w:style>
  <w:style w:type="character" w:customStyle="1" w:styleId="216">
    <w:name w:val="HTML 预设格式 Char1"/>
    <w:semiHidden/>
    <w:qFormat/>
    <w:uiPriority w:val="0"/>
    <w:rPr>
      <w:sz w:val="20"/>
    </w:rPr>
  </w:style>
  <w:style w:type="character" w:customStyle="1" w:styleId="217">
    <w:name w:val="font01"/>
    <w:basedOn w:val="46"/>
    <w:qFormat/>
    <w:uiPriority w:val="0"/>
    <w:rPr>
      <w:color w:val="FF0000"/>
      <w:sz w:val="20"/>
      <w:u w:val="none"/>
      <w:vertAlign w:val="superscript"/>
    </w:rPr>
  </w:style>
  <w:style w:type="character" w:customStyle="1" w:styleId="218">
    <w:name w:val="页脚 Char1"/>
    <w:semiHidden/>
    <w:qFormat/>
    <w:uiPriority w:val="0"/>
    <w:rPr>
      <w:sz w:val="20"/>
    </w:rPr>
  </w:style>
  <w:style w:type="character" w:customStyle="1" w:styleId="219">
    <w:name w:val="批注框文本 Char1"/>
    <w:semiHidden/>
    <w:qFormat/>
    <w:uiPriority w:val="0"/>
    <w:rPr>
      <w:sz w:val="20"/>
    </w:rPr>
  </w:style>
  <w:style w:type="paragraph" w:customStyle="1" w:styleId="220">
    <w:name w:val="列出段落2"/>
    <w:basedOn w:val="1"/>
    <w:next w:val="221"/>
    <w:qFormat/>
    <w:uiPriority w:val="0"/>
    <w:pPr>
      <w:ind w:firstLine="420"/>
    </w:pPr>
    <w:rPr>
      <w:rFonts w:hAnsi="Calibri"/>
      <w:kern w:val="0"/>
      <w:szCs w:val="20"/>
    </w:rPr>
  </w:style>
  <w:style w:type="paragraph" w:customStyle="1" w:styleId="221">
    <w:name w:val="toc 814"/>
    <w:next w:val="1"/>
    <w:qFormat/>
    <w:uiPriority w:val="0"/>
    <w:pPr>
      <w:wordWrap w:val="0"/>
      <w:ind w:left="2975"/>
      <w:jc w:val="both"/>
    </w:pPr>
    <w:rPr>
      <w:rFonts w:ascii="Calibri" w:hAnsi="Calibri" w:eastAsia="宋体" w:cs="Times New Roman"/>
      <w:sz w:val="21"/>
      <w:lang w:val="en-US" w:eastAsia="zh-CN" w:bidi="ar-SA"/>
    </w:rPr>
  </w:style>
  <w:style w:type="paragraph" w:customStyle="1" w:styleId="222">
    <w:name w:val="toc 62"/>
    <w:next w:val="1"/>
    <w:qFormat/>
    <w:uiPriority w:val="0"/>
    <w:pPr>
      <w:wordWrap w:val="0"/>
      <w:ind w:left="2125"/>
      <w:jc w:val="both"/>
    </w:pPr>
    <w:rPr>
      <w:rFonts w:ascii="Calibri" w:hAnsi="Calibri" w:eastAsia="宋体" w:cs="Times New Roman"/>
      <w:sz w:val="21"/>
      <w:lang w:val="en-US" w:eastAsia="zh-CN" w:bidi="ar-SA"/>
    </w:rPr>
  </w:style>
  <w:style w:type="paragraph" w:customStyle="1" w:styleId="223">
    <w:name w:val="toc 414"/>
    <w:next w:val="1"/>
    <w:qFormat/>
    <w:uiPriority w:val="0"/>
    <w:pPr>
      <w:wordWrap w:val="0"/>
      <w:ind w:left="1275"/>
      <w:jc w:val="both"/>
    </w:pPr>
    <w:rPr>
      <w:rFonts w:ascii="Calibri" w:hAnsi="Calibri" w:eastAsia="宋体" w:cs="Times New Roman"/>
      <w:sz w:val="21"/>
      <w:lang w:val="en-US" w:eastAsia="zh-CN" w:bidi="ar-SA"/>
    </w:rPr>
  </w:style>
  <w:style w:type="paragraph" w:customStyle="1" w:styleId="224">
    <w:name w:val="toc 411"/>
    <w:next w:val="1"/>
    <w:qFormat/>
    <w:uiPriority w:val="0"/>
    <w:pPr>
      <w:wordWrap w:val="0"/>
      <w:ind w:left="1275"/>
      <w:jc w:val="both"/>
    </w:pPr>
    <w:rPr>
      <w:rFonts w:ascii="Calibri" w:hAnsi="Calibri" w:eastAsia="宋体" w:cs="Times New Roman"/>
      <w:sz w:val="21"/>
      <w:lang w:val="en-US" w:eastAsia="zh-CN" w:bidi="ar-SA"/>
    </w:rPr>
  </w:style>
  <w:style w:type="paragraph" w:customStyle="1" w:styleId="225">
    <w:name w:val="xl86"/>
    <w:basedOn w:val="1"/>
    <w:next w:val="226"/>
    <w:qFormat/>
    <w:uiPriority w:val="0"/>
    <w:pPr>
      <w:widowControl/>
      <w:shd w:val="clear" w:color="000000" w:fill="FFFFFF"/>
      <w:spacing w:before="280" w:after="280"/>
      <w:jc w:val="center"/>
    </w:pPr>
    <w:rPr>
      <w:rFonts w:ascii="宋体" w:hAnsi="Calibri"/>
      <w:kern w:val="0"/>
      <w:sz w:val="20"/>
      <w:szCs w:val="20"/>
    </w:rPr>
  </w:style>
  <w:style w:type="paragraph" w:customStyle="1" w:styleId="226">
    <w:name w:val="toc 515"/>
    <w:next w:val="1"/>
    <w:qFormat/>
    <w:uiPriority w:val="0"/>
    <w:pPr>
      <w:wordWrap w:val="0"/>
      <w:ind w:left="1700"/>
      <w:jc w:val="both"/>
    </w:pPr>
    <w:rPr>
      <w:rFonts w:ascii="Calibri" w:hAnsi="Calibri" w:eastAsia="宋体" w:cs="Times New Roman"/>
      <w:sz w:val="21"/>
      <w:lang w:val="en-US" w:eastAsia="zh-CN" w:bidi="ar-SA"/>
    </w:rPr>
  </w:style>
  <w:style w:type="paragraph" w:customStyle="1" w:styleId="227">
    <w:name w:val="TOC Heading4"/>
    <w:next w:val="1"/>
    <w:qFormat/>
    <w:uiPriority w:val="0"/>
    <w:pPr>
      <w:wordWrap w:val="0"/>
    </w:pPr>
    <w:rPr>
      <w:rFonts w:ascii="Calibri" w:hAnsi="Calibri" w:eastAsia="宋体" w:cs="Times New Roman"/>
      <w:sz w:val="32"/>
      <w:lang w:val="en-US" w:eastAsia="zh-CN" w:bidi="ar-SA"/>
    </w:rPr>
  </w:style>
  <w:style w:type="paragraph" w:customStyle="1" w:styleId="228">
    <w:name w:val="toc 15"/>
    <w:next w:val="1"/>
    <w:qFormat/>
    <w:uiPriority w:val="0"/>
    <w:pPr>
      <w:wordWrap w:val="0"/>
      <w:jc w:val="both"/>
    </w:pPr>
    <w:rPr>
      <w:rFonts w:ascii="Calibri" w:hAnsi="Calibri" w:eastAsia="宋体" w:cs="Times New Roman"/>
      <w:sz w:val="21"/>
      <w:lang w:val="en-US" w:eastAsia="zh-CN" w:bidi="ar-SA"/>
    </w:rPr>
  </w:style>
  <w:style w:type="paragraph" w:customStyle="1" w:styleId="229">
    <w:name w:val="TOC Heading2"/>
    <w:next w:val="1"/>
    <w:qFormat/>
    <w:uiPriority w:val="0"/>
    <w:pPr>
      <w:wordWrap w:val="0"/>
    </w:pPr>
    <w:rPr>
      <w:rFonts w:ascii="Calibri" w:hAnsi="Calibri" w:eastAsia="宋体" w:cs="Times New Roman"/>
      <w:sz w:val="32"/>
      <w:lang w:val="en-US" w:eastAsia="zh-CN" w:bidi="ar-SA"/>
    </w:rPr>
  </w:style>
  <w:style w:type="paragraph" w:customStyle="1" w:styleId="230">
    <w:name w:val="TOC Heading1"/>
    <w:next w:val="1"/>
    <w:qFormat/>
    <w:uiPriority w:val="0"/>
    <w:pPr>
      <w:wordWrap w:val="0"/>
    </w:pPr>
    <w:rPr>
      <w:rFonts w:ascii="Calibri" w:hAnsi="Calibri" w:eastAsia="宋体" w:cs="Times New Roman"/>
      <w:sz w:val="32"/>
      <w:lang w:val="en-US" w:eastAsia="zh-CN" w:bidi="ar-SA"/>
    </w:rPr>
  </w:style>
  <w:style w:type="paragraph" w:customStyle="1" w:styleId="231">
    <w:name w:val="toc 73"/>
    <w:next w:val="1"/>
    <w:qFormat/>
    <w:uiPriority w:val="0"/>
    <w:pPr>
      <w:wordWrap w:val="0"/>
      <w:ind w:left="2550"/>
      <w:jc w:val="both"/>
    </w:pPr>
    <w:rPr>
      <w:rFonts w:ascii="Calibri" w:hAnsi="Calibri" w:eastAsia="宋体" w:cs="Times New Roman"/>
      <w:sz w:val="21"/>
      <w:lang w:val="en-US" w:eastAsia="zh-CN" w:bidi="ar-SA"/>
    </w:rPr>
  </w:style>
  <w:style w:type="paragraph" w:customStyle="1" w:styleId="232">
    <w:name w:val="font7"/>
    <w:basedOn w:val="1"/>
    <w:next w:val="233"/>
    <w:qFormat/>
    <w:uiPriority w:val="0"/>
    <w:pPr>
      <w:widowControl/>
      <w:spacing w:before="280" w:after="280"/>
    </w:pPr>
    <w:rPr>
      <w:rFonts w:ascii="Arial" w:hAnsi="Calibri"/>
      <w:kern w:val="0"/>
      <w:sz w:val="18"/>
      <w:szCs w:val="20"/>
    </w:rPr>
  </w:style>
  <w:style w:type="paragraph" w:customStyle="1" w:styleId="233">
    <w:name w:val="toc 810"/>
    <w:next w:val="1"/>
    <w:qFormat/>
    <w:uiPriority w:val="0"/>
    <w:pPr>
      <w:wordWrap w:val="0"/>
      <w:ind w:left="2975"/>
      <w:jc w:val="both"/>
    </w:pPr>
    <w:rPr>
      <w:rFonts w:ascii="Calibri" w:hAnsi="Calibri" w:eastAsia="宋体" w:cs="Times New Roman"/>
      <w:sz w:val="21"/>
      <w:lang w:val="en-US" w:eastAsia="zh-CN" w:bidi="ar-SA"/>
    </w:rPr>
  </w:style>
  <w:style w:type="paragraph" w:customStyle="1" w:styleId="234">
    <w:name w:val="xl113"/>
    <w:basedOn w:val="1"/>
    <w:next w:val="235"/>
    <w:qFormat/>
    <w:uiPriority w:val="0"/>
    <w:pPr>
      <w:widowControl/>
      <w:shd w:val="clear" w:color="000000" w:fill="FFFFFF"/>
      <w:spacing w:before="280" w:after="280"/>
      <w:jc w:val="center"/>
    </w:pPr>
    <w:rPr>
      <w:rFonts w:ascii="宋体" w:hAnsi="Calibri"/>
      <w:b/>
      <w:kern w:val="0"/>
      <w:sz w:val="20"/>
      <w:szCs w:val="20"/>
    </w:rPr>
  </w:style>
  <w:style w:type="paragraph" w:customStyle="1" w:styleId="235">
    <w:name w:val="TOC Heading10"/>
    <w:next w:val="1"/>
    <w:qFormat/>
    <w:uiPriority w:val="0"/>
    <w:pPr>
      <w:wordWrap w:val="0"/>
    </w:pPr>
    <w:rPr>
      <w:rFonts w:ascii="Calibri" w:hAnsi="Calibri" w:eastAsia="宋体" w:cs="Times New Roman"/>
      <w:sz w:val="32"/>
      <w:lang w:val="en-US" w:eastAsia="zh-CN" w:bidi="ar-SA"/>
    </w:rPr>
  </w:style>
  <w:style w:type="paragraph" w:customStyle="1" w:styleId="236">
    <w:name w:val="toc 89"/>
    <w:next w:val="1"/>
    <w:qFormat/>
    <w:uiPriority w:val="0"/>
    <w:pPr>
      <w:wordWrap w:val="0"/>
      <w:ind w:left="2975"/>
      <w:jc w:val="both"/>
    </w:pPr>
    <w:rPr>
      <w:rFonts w:ascii="Calibri" w:hAnsi="Calibri" w:eastAsia="宋体" w:cs="Times New Roman"/>
      <w:sz w:val="21"/>
      <w:lang w:val="en-US" w:eastAsia="zh-CN" w:bidi="ar-SA"/>
    </w:rPr>
  </w:style>
  <w:style w:type="paragraph" w:customStyle="1" w:styleId="237">
    <w:name w:val="xl73"/>
    <w:basedOn w:val="1"/>
    <w:next w:val="238"/>
    <w:qFormat/>
    <w:uiPriority w:val="0"/>
    <w:pPr>
      <w:widowControl/>
      <w:shd w:val="clear" w:color="000000" w:fill="FFFFFF"/>
      <w:spacing w:before="280" w:after="280"/>
      <w:jc w:val="center"/>
    </w:pPr>
    <w:rPr>
      <w:rFonts w:ascii="宋体" w:hAnsi="Calibri"/>
      <w:kern w:val="0"/>
      <w:sz w:val="20"/>
      <w:szCs w:val="20"/>
    </w:rPr>
  </w:style>
  <w:style w:type="paragraph" w:customStyle="1" w:styleId="238">
    <w:name w:val="toc 613"/>
    <w:next w:val="1"/>
    <w:qFormat/>
    <w:uiPriority w:val="0"/>
    <w:pPr>
      <w:wordWrap w:val="0"/>
      <w:ind w:left="2125"/>
      <w:jc w:val="both"/>
    </w:pPr>
    <w:rPr>
      <w:rFonts w:ascii="Calibri" w:hAnsi="Calibri" w:eastAsia="宋体" w:cs="Times New Roman"/>
      <w:sz w:val="21"/>
      <w:lang w:val="en-US" w:eastAsia="zh-CN" w:bidi="ar-SA"/>
    </w:rPr>
  </w:style>
  <w:style w:type="paragraph" w:customStyle="1" w:styleId="239">
    <w:name w:val="xl79"/>
    <w:basedOn w:val="1"/>
    <w:next w:val="240"/>
    <w:qFormat/>
    <w:uiPriority w:val="0"/>
    <w:pPr>
      <w:widowControl/>
      <w:shd w:val="clear" w:color="000000" w:fill="FFFFFF"/>
      <w:spacing w:before="280" w:after="280"/>
    </w:pPr>
    <w:rPr>
      <w:rFonts w:ascii="宋体" w:hAnsi="Calibri"/>
      <w:b/>
      <w:kern w:val="0"/>
      <w:sz w:val="20"/>
      <w:szCs w:val="20"/>
    </w:rPr>
  </w:style>
  <w:style w:type="paragraph" w:customStyle="1" w:styleId="240">
    <w:name w:val="toc 87"/>
    <w:next w:val="1"/>
    <w:qFormat/>
    <w:uiPriority w:val="0"/>
    <w:pPr>
      <w:wordWrap w:val="0"/>
      <w:ind w:left="2975"/>
      <w:jc w:val="both"/>
    </w:pPr>
    <w:rPr>
      <w:rFonts w:ascii="Calibri" w:hAnsi="Calibri" w:eastAsia="宋体" w:cs="Times New Roman"/>
      <w:sz w:val="21"/>
      <w:lang w:val="en-US" w:eastAsia="zh-CN" w:bidi="ar-SA"/>
    </w:rPr>
  </w:style>
  <w:style w:type="paragraph" w:customStyle="1" w:styleId="241">
    <w:name w:val="toc 11"/>
    <w:next w:val="1"/>
    <w:qFormat/>
    <w:uiPriority w:val="0"/>
    <w:pPr>
      <w:wordWrap w:val="0"/>
      <w:jc w:val="both"/>
    </w:pPr>
    <w:rPr>
      <w:rFonts w:ascii="Calibri" w:hAnsi="Calibri" w:eastAsia="宋体" w:cs="Times New Roman"/>
      <w:sz w:val="21"/>
      <w:lang w:val="en-US" w:eastAsia="zh-CN" w:bidi="ar-SA"/>
    </w:rPr>
  </w:style>
  <w:style w:type="paragraph" w:customStyle="1" w:styleId="242">
    <w:name w:val="toc 410"/>
    <w:next w:val="1"/>
    <w:qFormat/>
    <w:uiPriority w:val="0"/>
    <w:pPr>
      <w:wordWrap w:val="0"/>
      <w:ind w:left="1275"/>
      <w:jc w:val="both"/>
    </w:pPr>
    <w:rPr>
      <w:rFonts w:ascii="Calibri" w:hAnsi="Calibri" w:eastAsia="宋体" w:cs="Times New Roman"/>
      <w:sz w:val="21"/>
      <w:lang w:val="en-US" w:eastAsia="zh-CN" w:bidi="ar-SA"/>
    </w:rPr>
  </w:style>
  <w:style w:type="paragraph" w:customStyle="1" w:styleId="243">
    <w:name w:val="toc 611"/>
    <w:next w:val="1"/>
    <w:qFormat/>
    <w:uiPriority w:val="0"/>
    <w:pPr>
      <w:wordWrap w:val="0"/>
      <w:ind w:left="2125"/>
      <w:jc w:val="both"/>
    </w:pPr>
    <w:rPr>
      <w:rFonts w:ascii="Calibri" w:hAnsi="Calibri" w:eastAsia="宋体" w:cs="Times New Roman"/>
      <w:sz w:val="21"/>
      <w:lang w:val="en-US" w:eastAsia="zh-CN" w:bidi="ar-SA"/>
    </w:rPr>
  </w:style>
  <w:style w:type="paragraph" w:customStyle="1" w:styleId="244">
    <w:name w:val="xl112"/>
    <w:basedOn w:val="1"/>
    <w:next w:val="243"/>
    <w:qFormat/>
    <w:uiPriority w:val="0"/>
    <w:pPr>
      <w:widowControl/>
      <w:shd w:val="clear" w:color="000000" w:fill="FFFFFF"/>
      <w:spacing w:before="280" w:after="280"/>
      <w:jc w:val="center"/>
    </w:pPr>
    <w:rPr>
      <w:rFonts w:ascii="宋体" w:hAnsi="Calibri"/>
      <w:b/>
      <w:kern w:val="0"/>
      <w:sz w:val="20"/>
      <w:szCs w:val="20"/>
    </w:rPr>
  </w:style>
  <w:style w:type="paragraph" w:customStyle="1" w:styleId="245">
    <w:name w:val="toc 514"/>
    <w:next w:val="1"/>
    <w:qFormat/>
    <w:uiPriority w:val="0"/>
    <w:pPr>
      <w:wordWrap w:val="0"/>
      <w:ind w:left="1700"/>
      <w:jc w:val="both"/>
    </w:pPr>
    <w:rPr>
      <w:rFonts w:ascii="Calibri" w:hAnsi="Calibri" w:eastAsia="宋体" w:cs="Times New Roman"/>
      <w:sz w:val="21"/>
      <w:lang w:val="en-US" w:eastAsia="zh-CN" w:bidi="ar-SA"/>
    </w:rPr>
  </w:style>
  <w:style w:type="paragraph" w:customStyle="1" w:styleId="246">
    <w:name w:val="toc 44"/>
    <w:next w:val="1"/>
    <w:qFormat/>
    <w:uiPriority w:val="0"/>
    <w:pPr>
      <w:wordWrap w:val="0"/>
      <w:ind w:left="1275"/>
      <w:jc w:val="both"/>
    </w:pPr>
    <w:rPr>
      <w:rFonts w:ascii="Calibri" w:hAnsi="Calibri" w:eastAsia="宋体" w:cs="Times New Roman"/>
      <w:sz w:val="21"/>
      <w:lang w:val="en-US" w:eastAsia="zh-CN" w:bidi="ar-SA"/>
    </w:rPr>
  </w:style>
  <w:style w:type="paragraph" w:customStyle="1" w:styleId="247">
    <w:name w:val="toc 412"/>
    <w:next w:val="1"/>
    <w:qFormat/>
    <w:uiPriority w:val="0"/>
    <w:pPr>
      <w:wordWrap w:val="0"/>
      <w:ind w:left="1275"/>
      <w:jc w:val="both"/>
    </w:pPr>
    <w:rPr>
      <w:rFonts w:ascii="Calibri" w:hAnsi="Calibri" w:eastAsia="宋体" w:cs="Times New Roman"/>
      <w:sz w:val="21"/>
      <w:lang w:val="en-US" w:eastAsia="zh-CN" w:bidi="ar-SA"/>
    </w:rPr>
  </w:style>
  <w:style w:type="paragraph" w:customStyle="1" w:styleId="248">
    <w:name w:val="xl74"/>
    <w:basedOn w:val="1"/>
    <w:next w:val="249"/>
    <w:qFormat/>
    <w:uiPriority w:val="0"/>
    <w:pPr>
      <w:widowControl/>
      <w:shd w:val="clear" w:color="000000" w:fill="FFFFFF"/>
      <w:spacing w:before="280" w:after="280"/>
    </w:pPr>
    <w:rPr>
      <w:rFonts w:ascii="宋体" w:hAnsi="Calibri"/>
      <w:kern w:val="0"/>
      <w:sz w:val="20"/>
      <w:szCs w:val="20"/>
    </w:rPr>
  </w:style>
  <w:style w:type="paragraph" w:customStyle="1" w:styleId="249">
    <w:name w:val="toc 57"/>
    <w:next w:val="1"/>
    <w:qFormat/>
    <w:uiPriority w:val="0"/>
    <w:pPr>
      <w:wordWrap w:val="0"/>
      <w:ind w:left="1700"/>
      <w:jc w:val="both"/>
    </w:pPr>
    <w:rPr>
      <w:rFonts w:ascii="Calibri" w:hAnsi="Calibri" w:eastAsia="宋体" w:cs="Times New Roman"/>
      <w:sz w:val="21"/>
      <w:lang w:val="en-US" w:eastAsia="zh-CN" w:bidi="ar-SA"/>
    </w:rPr>
  </w:style>
  <w:style w:type="paragraph" w:customStyle="1" w:styleId="250">
    <w:name w:val="toc 912"/>
    <w:next w:val="1"/>
    <w:qFormat/>
    <w:uiPriority w:val="0"/>
    <w:pPr>
      <w:wordWrap w:val="0"/>
      <w:ind w:left="3400"/>
      <w:jc w:val="both"/>
    </w:pPr>
    <w:rPr>
      <w:rFonts w:ascii="Calibri" w:hAnsi="Calibri" w:eastAsia="宋体" w:cs="Times New Roman"/>
      <w:sz w:val="21"/>
      <w:lang w:val="en-US" w:eastAsia="zh-CN" w:bidi="ar-SA"/>
    </w:rPr>
  </w:style>
  <w:style w:type="paragraph" w:customStyle="1" w:styleId="251">
    <w:name w:val="toc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52">
    <w:name w:val="toc 38"/>
    <w:next w:val="1"/>
    <w:qFormat/>
    <w:uiPriority w:val="0"/>
    <w:pPr>
      <w:wordWrap w:val="0"/>
      <w:ind w:left="850"/>
      <w:jc w:val="both"/>
    </w:pPr>
    <w:rPr>
      <w:rFonts w:ascii="Calibri" w:hAnsi="Calibri" w:eastAsia="宋体" w:cs="Times New Roman"/>
      <w:sz w:val="21"/>
      <w:lang w:val="en-US" w:eastAsia="zh-CN" w:bidi="ar-SA"/>
    </w:rPr>
  </w:style>
  <w:style w:type="paragraph" w:customStyle="1" w:styleId="253">
    <w:name w:val="toc 95"/>
    <w:next w:val="1"/>
    <w:qFormat/>
    <w:uiPriority w:val="0"/>
    <w:pPr>
      <w:wordWrap w:val="0"/>
      <w:ind w:left="3400"/>
      <w:jc w:val="both"/>
    </w:pPr>
    <w:rPr>
      <w:rFonts w:ascii="Calibri" w:hAnsi="Calibri" w:eastAsia="宋体" w:cs="Times New Roman"/>
      <w:sz w:val="21"/>
      <w:lang w:val="en-US" w:eastAsia="zh-CN" w:bidi="ar-SA"/>
    </w:rPr>
  </w:style>
  <w:style w:type="paragraph" w:customStyle="1" w:styleId="254">
    <w:name w:val="列出段落5"/>
    <w:basedOn w:val="1"/>
    <w:next w:val="255"/>
    <w:qFormat/>
    <w:uiPriority w:val="0"/>
    <w:pPr>
      <w:ind w:firstLine="420"/>
    </w:pPr>
    <w:rPr>
      <w:rFonts w:hAnsi="Calibri"/>
      <w:kern w:val="0"/>
      <w:szCs w:val="20"/>
    </w:rPr>
  </w:style>
  <w:style w:type="paragraph" w:customStyle="1" w:styleId="255">
    <w:name w:val="toc 312"/>
    <w:next w:val="1"/>
    <w:qFormat/>
    <w:uiPriority w:val="0"/>
    <w:pPr>
      <w:wordWrap w:val="0"/>
      <w:ind w:left="850"/>
      <w:jc w:val="both"/>
    </w:pPr>
    <w:rPr>
      <w:rFonts w:ascii="Calibri" w:hAnsi="Calibri" w:eastAsia="宋体" w:cs="Times New Roman"/>
      <w:sz w:val="21"/>
      <w:lang w:val="en-US" w:eastAsia="zh-CN" w:bidi="ar-SA"/>
    </w:rPr>
  </w:style>
  <w:style w:type="paragraph" w:customStyle="1" w:styleId="256">
    <w:name w:val="xl66"/>
    <w:basedOn w:val="1"/>
    <w:next w:val="257"/>
    <w:qFormat/>
    <w:uiPriority w:val="0"/>
    <w:pPr>
      <w:widowControl/>
      <w:shd w:val="clear" w:color="000000" w:fill="FFFFFF"/>
      <w:spacing w:before="280" w:after="280"/>
    </w:pPr>
    <w:rPr>
      <w:rFonts w:ascii="宋体" w:hAnsi="Calibri"/>
      <w:kern w:val="0"/>
      <w:sz w:val="20"/>
      <w:szCs w:val="20"/>
    </w:rPr>
  </w:style>
  <w:style w:type="paragraph" w:customStyle="1" w:styleId="257">
    <w:name w:val="toc 56"/>
    <w:next w:val="1"/>
    <w:qFormat/>
    <w:uiPriority w:val="0"/>
    <w:pPr>
      <w:wordWrap w:val="0"/>
      <w:ind w:left="1700"/>
      <w:jc w:val="both"/>
    </w:pPr>
    <w:rPr>
      <w:rFonts w:ascii="Calibri" w:hAnsi="Calibri" w:eastAsia="宋体" w:cs="Times New Roman"/>
      <w:sz w:val="21"/>
      <w:lang w:val="en-US" w:eastAsia="zh-CN" w:bidi="ar-SA"/>
    </w:rPr>
  </w:style>
  <w:style w:type="paragraph" w:customStyle="1" w:styleId="258">
    <w:name w:val="TOC Heading3"/>
    <w:next w:val="1"/>
    <w:qFormat/>
    <w:uiPriority w:val="0"/>
    <w:pPr>
      <w:wordWrap w:val="0"/>
    </w:pPr>
    <w:rPr>
      <w:rFonts w:ascii="Calibri" w:hAnsi="Calibri" w:eastAsia="宋体" w:cs="Times New Roman"/>
      <w:sz w:val="32"/>
      <w:lang w:val="en-US" w:eastAsia="zh-CN" w:bidi="ar-SA"/>
    </w:rPr>
  </w:style>
  <w:style w:type="paragraph" w:customStyle="1" w:styleId="259">
    <w:name w:val="toc 65"/>
    <w:next w:val="1"/>
    <w:qFormat/>
    <w:uiPriority w:val="0"/>
    <w:pPr>
      <w:wordWrap w:val="0"/>
      <w:ind w:left="2125"/>
      <w:jc w:val="both"/>
    </w:pPr>
    <w:rPr>
      <w:rFonts w:ascii="Calibri" w:hAnsi="Calibri" w:eastAsia="宋体" w:cs="Times New Roman"/>
      <w:sz w:val="21"/>
      <w:lang w:val="en-US" w:eastAsia="zh-CN" w:bidi="ar-SA"/>
    </w:rPr>
  </w:style>
  <w:style w:type="paragraph" w:customStyle="1" w:styleId="260">
    <w:name w:val="toc 25"/>
    <w:next w:val="1"/>
    <w:qFormat/>
    <w:uiPriority w:val="0"/>
    <w:pPr>
      <w:wordWrap w:val="0"/>
      <w:ind w:left="425"/>
      <w:jc w:val="both"/>
    </w:pPr>
    <w:rPr>
      <w:rFonts w:ascii="Calibri" w:hAnsi="Calibri" w:eastAsia="宋体" w:cs="Times New Roman"/>
      <w:sz w:val="21"/>
      <w:lang w:val="en-US" w:eastAsia="zh-CN" w:bidi="ar-SA"/>
    </w:rPr>
  </w:style>
  <w:style w:type="paragraph" w:customStyle="1" w:styleId="261">
    <w:name w:val="xl84"/>
    <w:basedOn w:val="1"/>
    <w:next w:val="262"/>
    <w:qFormat/>
    <w:uiPriority w:val="0"/>
    <w:pPr>
      <w:widowControl/>
      <w:shd w:val="clear" w:color="000000" w:fill="FFFFFF"/>
      <w:spacing w:before="280" w:after="280"/>
      <w:jc w:val="center"/>
    </w:pPr>
    <w:rPr>
      <w:rFonts w:ascii="宋体" w:hAnsi="Calibri"/>
      <w:kern w:val="0"/>
      <w:sz w:val="20"/>
      <w:szCs w:val="20"/>
    </w:rPr>
  </w:style>
  <w:style w:type="paragraph" w:customStyle="1" w:styleId="262">
    <w:name w:val="toc 99"/>
    <w:next w:val="1"/>
    <w:qFormat/>
    <w:uiPriority w:val="0"/>
    <w:pPr>
      <w:wordWrap w:val="0"/>
      <w:ind w:left="3400"/>
      <w:jc w:val="both"/>
    </w:pPr>
    <w:rPr>
      <w:rFonts w:ascii="Calibri" w:hAnsi="Calibri" w:eastAsia="宋体" w:cs="Times New Roman"/>
      <w:sz w:val="21"/>
      <w:lang w:val="en-US" w:eastAsia="zh-CN" w:bidi="ar-SA"/>
    </w:rPr>
  </w:style>
  <w:style w:type="paragraph" w:customStyle="1" w:styleId="263">
    <w:name w:val="xl81"/>
    <w:basedOn w:val="1"/>
    <w:next w:val="264"/>
    <w:qFormat/>
    <w:uiPriority w:val="0"/>
    <w:pPr>
      <w:widowControl/>
      <w:shd w:val="clear" w:color="000000" w:fill="FFFFFF"/>
      <w:spacing w:before="280" w:after="280"/>
    </w:pPr>
    <w:rPr>
      <w:rFonts w:ascii="宋体" w:hAnsi="Calibri"/>
      <w:kern w:val="0"/>
      <w:sz w:val="20"/>
      <w:szCs w:val="20"/>
    </w:rPr>
  </w:style>
  <w:style w:type="paragraph" w:customStyle="1" w:styleId="264">
    <w:name w:val="toc 59"/>
    <w:next w:val="1"/>
    <w:qFormat/>
    <w:uiPriority w:val="0"/>
    <w:pPr>
      <w:wordWrap w:val="0"/>
      <w:ind w:left="1700"/>
      <w:jc w:val="both"/>
    </w:pPr>
    <w:rPr>
      <w:rFonts w:ascii="Calibri" w:hAnsi="Calibri" w:eastAsia="宋体" w:cs="Times New Roman"/>
      <w:sz w:val="21"/>
      <w:lang w:val="en-US" w:eastAsia="zh-CN" w:bidi="ar-SA"/>
    </w:rPr>
  </w:style>
  <w:style w:type="paragraph" w:customStyle="1" w:styleId="265">
    <w:name w:val="目录 11"/>
    <w:next w:val="1"/>
    <w:qFormat/>
    <w:uiPriority w:val="0"/>
    <w:pPr>
      <w:wordWrap w:val="0"/>
      <w:jc w:val="both"/>
    </w:pPr>
    <w:rPr>
      <w:rFonts w:ascii="Calibri" w:hAnsi="Calibri" w:eastAsia="宋体" w:cs="Times New Roman"/>
      <w:sz w:val="21"/>
      <w:lang w:val="en-US" w:eastAsia="zh-CN" w:bidi="ar-SA"/>
    </w:rPr>
  </w:style>
  <w:style w:type="paragraph" w:customStyle="1" w:styleId="266">
    <w:name w:val="toc 513"/>
    <w:next w:val="1"/>
    <w:qFormat/>
    <w:uiPriority w:val="0"/>
    <w:pPr>
      <w:wordWrap w:val="0"/>
      <w:ind w:left="1700"/>
      <w:jc w:val="both"/>
    </w:pPr>
    <w:rPr>
      <w:rFonts w:ascii="Calibri" w:hAnsi="Calibri" w:eastAsia="宋体" w:cs="Times New Roman"/>
      <w:sz w:val="21"/>
      <w:lang w:val="en-US" w:eastAsia="zh-CN" w:bidi="ar-SA"/>
    </w:rPr>
  </w:style>
  <w:style w:type="paragraph" w:customStyle="1" w:styleId="267">
    <w:name w:val="TOC Heading12"/>
    <w:next w:val="1"/>
    <w:qFormat/>
    <w:uiPriority w:val="0"/>
    <w:pPr>
      <w:wordWrap w:val="0"/>
    </w:pPr>
    <w:rPr>
      <w:rFonts w:ascii="Calibri" w:hAnsi="Calibri" w:eastAsia="宋体" w:cs="Times New Roman"/>
      <w:sz w:val="32"/>
      <w:lang w:val="en-US" w:eastAsia="zh-CN" w:bidi="ar-SA"/>
    </w:rPr>
  </w:style>
  <w:style w:type="paragraph" w:customStyle="1" w:styleId="268">
    <w:name w:val="TOC Heading8"/>
    <w:next w:val="1"/>
    <w:qFormat/>
    <w:uiPriority w:val="0"/>
    <w:pPr>
      <w:wordWrap w:val="0"/>
    </w:pPr>
    <w:rPr>
      <w:rFonts w:ascii="Calibri" w:hAnsi="Calibri" w:eastAsia="宋体" w:cs="Times New Roman"/>
      <w:sz w:val="32"/>
      <w:lang w:val="en-US" w:eastAsia="zh-CN" w:bidi="ar-SA"/>
    </w:rPr>
  </w:style>
  <w:style w:type="paragraph" w:customStyle="1" w:styleId="269">
    <w:name w:val="toc 711"/>
    <w:next w:val="1"/>
    <w:qFormat/>
    <w:uiPriority w:val="0"/>
    <w:pPr>
      <w:wordWrap w:val="0"/>
      <w:ind w:left="2550"/>
      <w:jc w:val="both"/>
    </w:pPr>
    <w:rPr>
      <w:rFonts w:ascii="Calibri" w:hAnsi="Calibri" w:eastAsia="宋体" w:cs="Times New Roman"/>
      <w:sz w:val="21"/>
      <w:lang w:val="en-US" w:eastAsia="zh-CN" w:bidi="ar-SA"/>
    </w:rPr>
  </w:style>
  <w:style w:type="paragraph" w:customStyle="1" w:styleId="270">
    <w:name w:val="toc 212"/>
    <w:next w:val="1"/>
    <w:qFormat/>
    <w:uiPriority w:val="0"/>
    <w:pPr>
      <w:wordWrap w:val="0"/>
      <w:ind w:left="425"/>
      <w:jc w:val="both"/>
    </w:pPr>
    <w:rPr>
      <w:rFonts w:ascii="Calibri" w:hAnsi="Calibri" w:eastAsia="宋体" w:cs="Times New Roman"/>
      <w:sz w:val="21"/>
      <w:lang w:val="en-US" w:eastAsia="zh-CN" w:bidi="ar-SA"/>
    </w:rPr>
  </w:style>
  <w:style w:type="paragraph" w:customStyle="1" w:styleId="271">
    <w:name w:val="目录 21"/>
    <w:next w:val="1"/>
    <w:qFormat/>
    <w:uiPriority w:val="0"/>
    <w:pPr>
      <w:wordWrap w:val="0"/>
      <w:ind w:left="425"/>
      <w:jc w:val="both"/>
    </w:pPr>
    <w:rPr>
      <w:rFonts w:ascii="Calibri" w:hAnsi="Calibri" w:eastAsia="宋体" w:cs="Times New Roman"/>
      <w:sz w:val="21"/>
      <w:lang w:val="en-US" w:eastAsia="zh-CN" w:bidi="ar-SA"/>
    </w:rPr>
  </w:style>
  <w:style w:type="paragraph" w:customStyle="1" w:styleId="272">
    <w:name w:val="toc 45"/>
    <w:next w:val="1"/>
    <w:qFormat/>
    <w:uiPriority w:val="0"/>
    <w:pPr>
      <w:wordWrap w:val="0"/>
      <w:ind w:left="1275"/>
      <w:jc w:val="both"/>
    </w:pPr>
    <w:rPr>
      <w:rFonts w:ascii="Calibri" w:hAnsi="Calibri" w:eastAsia="宋体" w:cs="Times New Roman"/>
      <w:sz w:val="21"/>
      <w:lang w:val="en-US" w:eastAsia="zh-CN" w:bidi="ar-SA"/>
    </w:rPr>
  </w:style>
  <w:style w:type="paragraph" w:customStyle="1" w:styleId="273">
    <w:name w:val="xl116"/>
    <w:basedOn w:val="1"/>
    <w:next w:val="274"/>
    <w:qFormat/>
    <w:uiPriority w:val="0"/>
    <w:pPr>
      <w:widowControl/>
      <w:shd w:val="clear" w:color="000000" w:fill="FFFFFF"/>
      <w:spacing w:before="280" w:after="280"/>
      <w:jc w:val="center"/>
    </w:pPr>
    <w:rPr>
      <w:rFonts w:ascii="Arial Narrow" w:hAnsi="Calibri"/>
      <w:kern w:val="0"/>
      <w:sz w:val="20"/>
      <w:szCs w:val="20"/>
    </w:rPr>
  </w:style>
  <w:style w:type="paragraph" w:customStyle="1" w:styleId="274">
    <w:name w:val="toc 78"/>
    <w:next w:val="1"/>
    <w:qFormat/>
    <w:uiPriority w:val="0"/>
    <w:pPr>
      <w:wordWrap w:val="0"/>
      <w:ind w:left="2550"/>
      <w:jc w:val="both"/>
    </w:pPr>
    <w:rPr>
      <w:rFonts w:ascii="Calibri" w:hAnsi="Calibri" w:eastAsia="宋体" w:cs="Times New Roman"/>
      <w:sz w:val="21"/>
      <w:lang w:val="en-US" w:eastAsia="zh-CN" w:bidi="ar-SA"/>
    </w:rPr>
  </w:style>
  <w:style w:type="paragraph" w:customStyle="1" w:styleId="275">
    <w:name w:val="font8"/>
    <w:basedOn w:val="1"/>
    <w:next w:val="276"/>
    <w:qFormat/>
    <w:uiPriority w:val="0"/>
    <w:pPr>
      <w:widowControl/>
      <w:spacing w:before="280" w:after="280"/>
    </w:pPr>
    <w:rPr>
      <w:rFonts w:ascii="Arial" w:hAnsi="Calibri"/>
      <w:kern w:val="0"/>
      <w:sz w:val="20"/>
      <w:szCs w:val="20"/>
    </w:rPr>
  </w:style>
  <w:style w:type="paragraph" w:customStyle="1" w:styleId="276">
    <w:name w:val="TOC Heading11"/>
    <w:next w:val="1"/>
    <w:qFormat/>
    <w:uiPriority w:val="0"/>
    <w:pPr>
      <w:wordWrap w:val="0"/>
    </w:pPr>
    <w:rPr>
      <w:rFonts w:ascii="Calibri" w:hAnsi="Calibri" w:eastAsia="宋体" w:cs="Times New Roman"/>
      <w:sz w:val="32"/>
      <w:lang w:val="en-US" w:eastAsia="zh-CN" w:bidi="ar-SA"/>
    </w:rPr>
  </w:style>
  <w:style w:type="paragraph" w:customStyle="1" w:styleId="277">
    <w:name w:val="xl69"/>
    <w:basedOn w:val="1"/>
    <w:next w:val="278"/>
    <w:qFormat/>
    <w:uiPriority w:val="0"/>
    <w:pPr>
      <w:widowControl/>
      <w:shd w:val="clear" w:color="000000" w:fill="FFFFFF"/>
      <w:spacing w:before="280" w:after="280"/>
    </w:pPr>
    <w:rPr>
      <w:rFonts w:ascii="宋体" w:hAnsi="Calibri"/>
      <w:b/>
      <w:kern w:val="0"/>
      <w:sz w:val="20"/>
      <w:szCs w:val="20"/>
    </w:rPr>
  </w:style>
  <w:style w:type="paragraph" w:customStyle="1" w:styleId="278">
    <w:name w:val="toc 48"/>
    <w:next w:val="1"/>
    <w:qFormat/>
    <w:uiPriority w:val="0"/>
    <w:pPr>
      <w:wordWrap w:val="0"/>
      <w:ind w:left="1275"/>
      <w:jc w:val="both"/>
    </w:pPr>
    <w:rPr>
      <w:rFonts w:ascii="Calibri" w:hAnsi="Calibri" w:eastAsia="宋体" w:cs="Times New Roman"/>
      <w:sz w:val="21"/>
      <w:lang w:val="en-US" w:eastAsia="zh-CN" w:bidi="ar-SA"/>
    </w:rPr>
  </w:style>
  <w:style w:type="paragraph" w:customStyle="1" w:styleId="279">
    <w:name w:val="toc 813"/>
    <w:next w:val="1"/>
    <w:qFormat/>
    <w:uiPriority w:val="0"/>
    <w:pPr>
      <w:wordWrap w:val="0"/>
      <w:ind w:left="2975"/>
      <w:jc w:val="both"/>
    </w:pPr>
    <w:rPr>
      <w:rFonts w:ascii="Calibri" w:hAnsi="Calibri" w:eastAsia="宋体" w:cs="Times New Roman"/>
      <w:sz w:val="21"/>
      <w:lang w:val="en-US" w:eastAsia="zh-CN" w:bidi="ar-SA"/>
    </w:rPr>
  </w:style>
  <w:style w:type="paragraph" w:customStyle="1" w:styleId="280">
    <w:name w:val="目录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81">
    <w:name w:val="列出段落3"/>
    <w:basedOn w:val="1"/>
    <w:next w:val="282"/>
    <w:qFormat/>
    <w:uiPriority w:val="0"/>
    <w:pPr>
      <w:ind w:firstLine="420"/>
    </w:pPr>
    <w:rPr>
      <w:rFonts w:hAnsi="Calibri"/>
      <w:kern w:val="0"/>
      <w:szCs w:val="20"/>
    </w:rPr>
  </w:style>
  <w:style w:type="paragraph" w:customStyle="1" w:styleId="282">
    <w:name w:val="toc 213"/>
    <w:next w:val="1"/>
    <w:qFormat/>
    <w:uiPriority w:val="0"/>
    <w:pPr>
      <w:wordWrap w:val="0"/>
      <w:ind w:left="425"/>
      <w:jc w:val="both"/>
    </w:pPr>
    <w:rPr>
      <w:rFonts w:ascii="Calibri" w:hAnsi="Calibri" w:eastAsia="宋体" w:cs="Times New Roman"/>
      <w:sz w:val="21"/>
      <w:lang w:val="en-US" w:eastAsia="zh-CN" w:bidi="ar-SA"/>
    </w:rPr>
  </w:style>
  <w:style w:type="paragraph" w:customStyle="1" w:styleId="283">
    <w:name w:val="TOC 标题1"/>
    <w:next w:val="1"/>
    <w:qFormat/>
    <w:uiPriority w:val="0"/>
    <w:pPr>
      <w:wordWrap w:val="0"/>
    </w:pPr>
    <w:rPr>
      <w:rFonts w:ascii="Calibri" w:hAnsi="Calibri" w:eastAsia="宋体" w:cs="Times New Roman"/>
      <w:sz w:val="32"/>
      <w:lang w:val="en-US" w:eastAsia="zh-CN" w:bidi="ar-SA"/>
    </w:rPr>
  </w:style>
  <w:style w:type="paragraph" w:customStyle="1" w:styleId="284">
    <w:name w:val="TOC Heading5"/>
    <w:next w:val="1"/>
    <w:qFormat/>
    <w:uiPriority w:val="0"/>
    <w:pPr>
      <w:wordWrap w:val="0"/>
    </w:pPr>
    <w:rPr>
      <w:rFonts w:ascii="Calibri" w:hAnsi="Calibri" w:eastAsia="宋体" w:cs="Times New Roman"/>
      <w:sz w:val="32"/>
      <w:lang w:val="en-US" w:eastAsia="zh-CN" w:bidi="ar-SA"/>
    </w:rPr>
  </w:style>
  <w:style w:type="paragraph" w:customStyle="1" w:styleId="285">
    <w:name w:val="toc 313"/>
    <w:next w:val="1"/>
    <w:qFormat/>
    <w:uiPriority w:val="0"/>
    <w:pPr>
      <w:wordWrap w:val="0"/>
      <w:ind w:left="850"/>
      <w:jc w:val="both"/>
    </w:pPr>
    <w:rPr>
      <w:rFonts w:ascii="Calibri" w:hAnsi="Calibri" w:eastAsia="宋体" w:cs="Times New Roman"/>
      <w:sz w:val="21"/>
      <w:lang w:val="en-US" w:eastAsia="zh-CN" w:bidi="ar-SA"/>
    </w:rPr>
  </w:style>
  <w:style w:type="paragraph" w:customStyle="1" w:styleId="286">
    <w:name w:val="toc 716"/>
    <w:next w:val="1"/>
    <w:qFormat/>
    <w:uiPriority w:val="0"/>
    <w:pPr>
      <w:wordWrap w:val="0"/>
      <w:ind w:left="2550"/>
      <w:jc w:val="both"/>
    </w:pPr>
    <w:rPr>
      <w:rFonts w:ascii="Calibri" w:hAnsi="Calibri" w:eastAsia="宋体" w:cs="Times New Roman"/>
      <w:sz w:val="21"/>
      <w:lang w:val="en-US" w:eastAsia="zh-CN" w:bidi="ar-SA"/>
    </w:rPr>
  </w:style>
  <w:style w:type="paragraph" w:customStyle="1" w:styleId="287">
    <w:name w:val="xl115"/>
    <w:basedOn w:val="1"/>
    <w:next w:val="288"/>
    <w:qFormat/>
    <w:uiPriority w:val="0"/>
    <w:pPr>
      <w:widowControl/>
      <w:shd w:val="clear" w:color="000000" w:fill="FFFFFF"/>
      <w:spacing w:before="280" w:after="280"/>
      <w:jc w:val="center"/>
    </w:pPr>
    <w:rPr>
      <w:rFonts w:ascii="宋体" w:hAnsi="Calibri"/>
      <w:b/>
      <w:kern w:val="0"/>
      <w:sz w:val="20"/>
      <w:szCs w:val="20"/>
    </w:rPr>
  </w:style>
  <w:style w:type="paragraph" w:customStyle="1" w:styleId="288">
    <w:name w:val="toc 712"/>
    <w:next w:val="1"/>
    <w:qFormat/>
    <w:uiPriority w:val="0"/>
    <w:pPr>
      <w:wordWrap w:val="0"/>
      <w:ind w:left="2550"/>
      <w:jc w:val="both"/>
    </w:pPr>
    <w:rPr>
      <w:rFonts w:ascii="Calibri" w:hAnsi="Calibri" w:eastAsia="宋体" w:cs="Times New Roman"/>
      <w:sz w:val="21"/>
      <w:lang w:val="en-US" w:eastAsia="zh-CN" w:bidi="ar-SA"/>
    </w:rPr>
  </w:style>
  <w:style w:type="paragraph" w:customStyle="1" w:styleId="289">
    <w:name w:val="toc 64"/>
    <w:next w:val="1"/>
    <w:qFormat/>
    <w:uiPriority w:val="0"/>
    <w:pPr>
      <w:wordWrap w:val="0"/>
      <w:ind w:left="2125"/>
      <w:jc w:val="both"/>
    </w:pPr>
    <w:rPr>
      <w:rFonts w:ascii="Calibri" w:hAnsi="Calibri" w:eastAsia="宋体" w:cs="Times New Roman"/>
      <w:sz w:val="21"/>
      <w:lang w:val="en-US" w:eastAsia="zh-CN" w:bidi="ar-SA"/>
    </w:rPr>
  </w:style>
  <w:style w:type="paragraph" w:customStyle="1" w:styleId="290">
    <w:name w:val="toc 24"/>
    <w:next w:val="1"/>
    <w:qFormat/>
    <w:uiPriority w:val="0"/>
    <w:pPr>
      <w:wordWrap w:val="0"/>
      <w:ind w:left="425"/>
      <w:jc w:val="both"/>
    </w:pPr>
    <w:rPr>
      <w:rFonts w:ascii="Calibri" w:hAnsi="Calibri" w:eastAsia="宋体" w:cs="Times New Roman"/>
      <w:sz w:val="21"/>
      <w:lang w:val="en-US" w:eastAsia="zh-CN" w:bidi="ar-SA"/>
    </w:rPr>
  </w:style>
  <w:style w:type="paragraph" w:customStyle="1" w:styleId="291">
    <w:name w:val="toc 54"/>
    <w:next w:val="1"/>
    <w:qFormat/>
    <w:uiPriority w:val="0"/>
    <w:pPr>
      <w:wordWrap w:val="0"/>
      <w:ind w:left="1700"/>
      <w:jc w:val="both"/>
    </w:pPr>
    <w:rPr>
      <w:rFonts w:ascii="Calibri" w:hAnsi="Calibri" w:eastAsia="宋体" w:cs="Times New Roman"/>
      <w:sz w:val="21"/>
      <w:lang w:val="en-US" w:eastAsia="zh-CN" w:bidi="ar-SA"/>
    </w:rPr>
  </w:style>
  <w:style w:type="paragraph" w:customStyle="1" w:styleId="292">
    <w:name w:val="xl93"/>
    <w:basedOn w:val="1"/>
    <w:next w:val="293"/>
    <w:qFormat/>
    <w:uiPriority w:val="0"/>
    <w:pPr>
      <w:widowControl/>
      <w:shd w:val="clear" w:color="000000" w:fill="FFFFFF"/>
      <w:spacing w:before="280" w:after="280"/>
      <w:jc w:val="center"/>
    </w:pPr>
    <w:rPr>
      <w:rFonts w:ascii="宋体" w:hAnsi="Calibri"/>
      <w:kern w:val="0"/>
      <w:sz w:val="20"/>
      <w:szCs w:val="20"/>
    </w:rPr>
  </w:style>
  <w:style w:type="paragraph" w:customStyle="1" w:styleId="293">
    <w:name w:val="toc 112"/>
    <w:next w:val="1"/>
    <w:qFormat/>
    <w:uiPriority w:val="0"/>
    <w:pPr>
      <w:wordWrap w:val="0"/>
      <w:jc w:val="both"/>
    </w:pPr>
    <w:rPr>
      <w:rFonts w:ascii="Calibri" w:hAnsi="Calibri" w:eastAsia="宋体" w:cs="Times New Roman"/>
      <w:sz w:val="21"/>
      <w:lang w:val="en-US" w:eastAsia="zh-CN" w:bidi="ar-SA"/>
    </w:rPr>
  </w:style>
  <w:style w:type="paragraph" w:customStyle="1" w:styleId="294">
    <w:name w:val="xl96"/>
    <w:basedOn w:val="1"/>
    <w:next w:val="245"/>
    <w:qFormat/>
    <w:uiPriority w:val="0"/>
    <w:pPr>
      <w:widowControl/>
      <w:shd w:val="clear" w:color="000000" w:fill="FFFFFF"/>
      <w:spacing w:before="280" w:after="280"/>
      <w:jc w:val="center"/>
    </w:pPr>
    <w:rPr>
      <w:rFonts w:ascii="宋体" w:hAnsi="Calibri"/>
      <w:kern w:val="0"/>
      <w:sz w:val="20"/>
      <w:szCs w:val="20"/>
    </w:rPr>
  </w:style>
  <w:style w:type="paragraph" w:customStyle="1" w:styleId="295">
    <w:name w:val="xl106"/>
    <w:basedOn w:val="1"/>
    <w:next w:val="279"/>
    <w:qFormat/>
    <w:uiPriority w:val="0"/>
    <w:pPr>
      <w:widowControl/>
      <w:shd w:val="clear" w:color="000000" w:fill="FFFFFF"/>
      <w:spacing w:before="280" w:after="280"/>
    </w:pPr>
    <w:rPr>
      <w:rFonts w:ascii="宋体" w:hAnsi="Calibri"/>
      <w:kern w:val="0"/>
      <w:sz w:val="20"/>
      <w:szCs w:val="20"/>
    </w:rPr>
  </w:style>
  <w:style w:type="paragraph" w:customStyle="1" w:styleId="296">
    <w:name w:val="toc 35"/>
    <w:next w:val="1"/>
    <w:qFormat/>
    <w:uiPriority w:val="0"/>
    <w:pPr>
      <w:wordWrap w:val="0"/>
      <w:ind w:left="850"/>
      <w:jc w:val="both"/>
    </w:pPr>
    <w:rPr>
      <w:rFonts w:ascii="Calibri" w:hAnsi="Calibri" w:eastAsia="宋体" w:cs="Times New Roman"/>
      <w:sz w:val="21"/>
      <w:lang w:val="en-US" w:eastAsia="zh-CN" w:bidi="ar-SA"/>
    </w:rPr>
  </w:style>
  <w:style w:type="paragraph" w:customStyle="1" w:styleId="297">
    <w:name w:val="TOC Heading14"/>
    <w:next w:val="1"/>
    <w:qFormat/>
    <w:uiPriority w:val="0"/>
    <w:pPr>
      <w:wordWrap w:val="0"/>
    </w:pPr>
    <w:rPr>
      <w:rFonts w:ascii="Calibri" w:hAnsi="Calibri" w:eastAsia="宋体" w:cs="Times New Roman"/>
      <w:sz w:val="32"/>
      <w:lang w:val="en-US" w:eastAsia="zh-CN" w:bidi="ar-SA"/>
    </w:rPr>
  </w:style>
  <w:style w:type="paragraph" w:customStyle="1" w:styleId="298">
    <w:name w:val="Char Char Char Char Char Char Char1"/>
    <w:basedOn w:val="1"/>
    <w:next w:val="299"/>
    <w:qFormat/>
    <w:uiPriority w:val="0"/>
    <w:pPr>
      <w:widowControl/>
      <w:spacing w:after="160" w:line="240" w:lineRule="exact"/>
    </w:pPr>
    <w:rPr>
      <w:rFonts w:hAnsi="Calibri"/>
      <w:kern w:val="0"/>
      <w:szCs w:val="20"/>
    </w:rPr>
  </w:style>
  <w:style w:type="paragraph" w:customStyle="1" w:styleId="299">
    <w:name w:val="toc 67"/>
    <w:next w:val="1"/>
    <w:qFormat/>
    <w:uiPriority w:val="0"/>
    <w:pPr>
      <w:wordWrap w:val="0"/>
      <w:ind w:left="2125"/>
      <w:jc w:val="both"/>
    </w:pPr>
    <w:rPr>
      <w:rFonts w:ascii="Calibri" w:hAnsi="Calibri" w:eastAsia="宋体" w:cs="Times New Roman"/>
      <w:sz w:val="21"/>
      <w:lang w:val="en-US" w:eastAsia="zh-CN" w:bidi="ar-SA"/>
    </w:rPr>
  </w:style>
  <w:style w:type="paragraph" w:customStyle="1" w:styleId="300">
    <w:name w:val="列出段落4"/>
    <w:basedOn w:val="1"/>
    <w:next w:val="301"/>
    <w:qFormat/>
    <w:uiPriority w:val="0"/>
    <w:pPr>
      <w:ind w:firstLine="420"/>
    </w:pPr>
    <w:rPr>
      <w:rFonts w:hAnsi="Calibri"/>
      <w:kern w:val="0"/>
      <w:szCs w:val="20"/>
    </w:rPr>
  </w:style>
  <w:style w:type="paragraph" w:customStyle="1" w:styleId="301">
    <w:name w:val="TOC Heading9"/>
    <w:next w:val="1"/>
    <w:qFormat/>
    <w:uiPriority w:val="0"/>
    <w:pPr>
      <w:wordWrap w:val="0"/>
    </w:pPr>
    <w:rPr>
      <w:rFonts w:ascii="Calibri" w:hAnsi="Calibri" w:eastAsia="宋体" w:cs="Times New Roman"/>
      <w:sz w:val="32"/>
      <w:lang w:val="en-US" w:eastAsia="zh-CN" w:bidi="ar-SA"/>
    </w:rPr>
  </w:style>
  <w:style w:type="paragraph" w:customStyle="1" w:styleId="302">
    <w:name w:val="xl71"/>
    <w:basedOn w:val="1"/>
    <w:next w:val="303"/>
    <w:qFormat/>
    <w:uiPriority w:val="0"/>
    <w:pPr>
      <w:widowControl/>
      <w:shd w:val="clear" w:color="000000" w:fill="FFFFFF"/>
      <w:spacing w:before="280" w:after="280"/>
    </w:pPr>
    <w:rPr>
      <w:rFonts w:ascii="宋体" w:hAnsi="Calibri"/>
      <w:kern w:val="0"/>
      <w:sz w:val="24"/>
      <w:szCs w:val="20"/>
    </w:rPr>
  </w:style>
  <w:style w:type="paragraph" w:customStyle="1" w:styleId="303">
    <w:name w:val="toc 115"/>
    <w:next w:val="1"/>
    <w:qFormat/>
    <w:uiPriority w:val="0"/>
    <w:pPr>
      <w:wordWrap w:val="0"/>
      <w:jc w:val="both"/>
    </w:pPr>
    <w:rPr>
      <w:rFonts w:ascii="Calibri" w:hAnsi="Calibri" w:eastAsia="宋体" w:cs="Times New Roman"/>
      <w:sz w:val="21"/>
      <w:lang w:val="en-US" w:eastAsia="zh-CN" w:bidi="ar-SA"/>
    </w:rPr>
  </w:style>
  <w:style w:type="paragraph" w:customStyle="1" w:styleId="304">
    <w:name w:val="toc 51"/>
    <w:next w:val="1"/>
    <w:qFormat/>
    <w:uiPriority w:val="0"/>
    <w:pPr>
      <w:wordWrap w:val="0"/>
      <w:ind w:left="1700"/>
      <w:jc w:val="both"/>
    </w:pPr>
    <w:rPr>
      <w:rFonts w:ascii="Calibri" w:hAnsi="Calibri" w:eastAsia="宋体" w:cs="Times New Roman"/>
      <w:sz w:val="21"/>
      <w:lang w:val="en-US" w:eastAsia="zh-CN" w:bidi="ar-SA"/>
    </w:rPr>
  </w:style>
  <w:style w:type="paragraph" w:customStyle="1" w:styleId="305">
    <w:name w:val="toc 47"/>
    <w:next w:val="1"/>
    <w:qFormat/>
    <w:uiPriority w:val="0"/>
    <w:pPr>
      <w:wordWrap w:val="0"/>
      <w:ind w:left="1275"/>
      <w:jc w:val="both"/>
    </w:pPr>
    <w:rPr>
      <w:rFonts w:ascii="Calibri" w:hAnsi="Calibri" w:eastAsia="宋体" w:cs="Times New Roman"/>
      <w:sz w:val="21"/>
      <w:lang w:val="en-US" w:eastAsia="zh-CN" w:bidi="ar-SA"/>
    </w:rPr>
  </w:style>
  <w:style w:type="paragraph" w:customStyle="1" w:styleId="306">
    <w:name w:val="xl108"/>
    <w:basedOn w:val="1"/>
    <w:next w:val="307"/>
    <w:qFormat/>
    <w:uiPriority w:val="0"/>
    <w:pPr>
      <w:widowControl/>
      <w:shd w:val="clear" w:color="000000" w:fill="FFFFFF"/>
      <w:spacing w:before="280" w:after="280"/>
    </w:pPr>
    <w:rPr>
      <w:rFonts w:ascii="宋体" w:hAnsi="Calibri"/>
      <w:kern w:val="0"/>
      <w:sz w:val="18"/>
      <w:szCs w:val="20"/>
    </w:rPr>
  </w:style>
  <w:style w:type="paragraph" w:customStyle="1" w:styleId="307">
    <w:name w:val="toc 18"/>
    <w:next w:val="1"/>
    <w:qFormat/>
    <w:uiPriority w:val="0"/>
    <w:pPr>
      <w:wordWrap w:val="0"/>
      <w:jc w:val="both"/>
    </w:pPr>
    <w:rPr>
      <w:rFonts w:ascii="Calibri" w:hAnsi="Calibri" w:eastAsia="宋体" w:cs="Times New Roman"/>
      <w:sz w:val="21"/>
      <w:lang w:val="en-US" w:eastAsia="zh-CN" w:bidi="ar-SA"/>
    </w:rPr>
  </w:style>
  <w:style w:type="paragraph" w:customStyle="1" w:styleId="308">
    <w:name w:val="TOC Heading7"/>
    <w:next w:val="1"/>
    <w:qFormat/>
    <w:uiPriority w:val="0"/>
    <w:pPr>
      <w:wordWrap w:val="0"/>
    </w:pPr>
    <w:rPr>
      <w:rFonts w:ascii="Calibri" w:hAnsi="Calibri" w:eastAsia="宋体" w:cs="Times New Roman"/>
      <w:sz w:val="32"/>
      <w:lang w:val="en-US" w:eastAsia="zh-CN" w:bidi="ar-SA"/>
    </w:rPr>
  </w:style>
  <w:style w:type="character" w:customStyle="1" w:styleId="309">
    <w:name w:val="副标题 字符"/>
    <w:basedOn w:val="46"/>
    <w:link w:val="31"/>
    <w:qFormat/>
    <w:uiPriority w:val="0"/>
    <w:rPr>
      <w:rFonts w:ascii="Calibri" w:hAnsi="Calibri"/>
      <w:sz w:val="24"/>
    </w:rPr>
  </w:style>
  <w:style w:type="paragraph" w:customStyle="1" w:styleId="310">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311">
    <w:name w:val="toc 413"/>
    <w:next w:val="1"/>
    <w:qFormat/>
    <w:uiPriority w:val="0"/>
    <w:pPr>
      <w:wordWrap w:val="0"/>
      <w:ind w:left="1275"/>
      <w:jc w:val="both"/>
    </w:pPr>
    <w:rPr>
      <w:rFonts w:ascii="Calibri" w:hAnsi="Calibri" w:eastAsia="宋体" w:cs="Times New Roman"/>
      <w:sz w:val="21"/>
      <w:lang w:val="en-US" w:eastAsia="zh-CN" w:bidi="ar-SA"/>
    </w:rPr>
  </w:style>
  <w:style w:type="paragraph" w:customStyle="1" w:styleId="312">
    <w:name w:val="toc 85"/>
    <w:next w:val="1"/>
    <w:qFormat/>
    <w:uiPriority w:val="0"/>
    <w:pPr>
      <w:wordWrap w:val="0"/>
      <w:ind w:left="2975"/>
      <w:jc w:val="both"/>
    </w:pPr>
    <w:rPr>
      <w:rFonts w:ascii="Calibri" w:hAnsi="Calibri" w:eastAsia="宋体" w:cs="Times New Roman"/>
      <w:sz w:val="21"/>
      <w:lang w:val="en-US" w:eastAsia="zh-CN" w:bidi="ar-SA"/>
    </w:rPr>
  </w:style>
  <w:style w:type="paragraph" w:customStyle="1" w:styleId="313">
    <w:name w:val="列出段落6"/>
    <w:basedOn w:val="1"/>
    <w:next w:val="314"/>
    <w:qFormat/>
    <w:uiPriority w:val="0"/>
    <w:pPr>
      <w:ind w:firstLine="420"/>
    </w:pPr>
    <w:rPr>
      <w:rFonts w:hAnsi="Calibri"/>
      <w:kern w:val="0"/>
      <w:szCs w:val="20"/>
    </w:rPr>
  </w:style>
  <w:style w:type="paragraph" w:customStyle="1" w:styleId="314">
    <w:name w:val="toc 86"/>
    <w:next w:val="1"/>
    <w:qFormat/>
    <w:uiPriority w:val="0"/>
    <w:pPr>
      <w:wordWrap w:val="0"/>
      <w:ind w:left="2975"/>
      <w:jc w:val="both"/>
    </w:pPr>
    <w:rPr>
      <w:rFonts w:ascii="Calibri" w:hAnsi="Calibri" w:eastAsia="宋体" w:cs="Times New Roman"/>
      <w:sz w:val="21"/>
      <w:lang w:val="en-US" w:eastAsia="zh-CN" w:bidi="ar-SA"/>
    </w:rPr>
  </w:style>
  <w:style w:type="paragraph" w:customStyle="1" w:styleId="315">
    <w:name w:val="xl80"/>
    <w:basedOn w:val="1"/>
    <w:next w:val="316"/>
    <w:qFormat/>
    <w:uiPriority w:val="0"/>
    <w:pPr>
      <w:widowControl/>
      <w:shd w:val="clear" w:color="000000" w:fill="FFFFFF"/>
      <w:spacing w:before="280" w:after="280"/>
      <w:jc w:val="center"/>
    </w:pPr>
    <w:rPr>
      <w:rFonts w:ascii="宋体" w:hAnsi="Calibri"/>
      <w:b/>
      <w:kern w:val="0"/>
      <w:sz w:val="20"/>
      <w:szCs w:val="20"/>
    </w:rPr>
  </w:style>
  <w:style w:type="paragraph" w:customStyle="1" w:styleId="316">
    <w:name w:val="toc 49"/>
    <w:next w:val="1"/>
    <w:qFormat/>
    <w:uiPriority w:val="0"/>
    <w:pPr>
      <w:wordWrap w:val="0"/>
      <w:ind w:left="1275"/>
      <w:jc w:val="both"/>
    </w:pPr>
    <w:rPr>
      <w:rFonts w:ascii="Calibri" w:hAnsi="Calibri" w:eastAsia="宋体" w:cs="Times New Roman"/>
      <w:sz w:val="21"/>
      <w:lang w:val="en-US" w:eastAsia="zh-CN" w:bidi="ar-SA"/>
    </w:rPr>
  </w:style>
  <w:style w:type="paragraph" w:customStyle="1" w:styleId="317">
    <w:name w:val="Char Char Char Char1"/>
    <w:basedOn w:val="1"/>
    <w:next w:val="318"/>
    <w:qFormat/>
    <w:uiPriority w:val="0"/>
    <w:pPr>
      <w:widowControl/>
      <w:spacing w:after="160" w:line="240" w:lineRule="exact"/>
    </w:pPr>
    <w:rPr>
      <w:rFonts w:ascii="Verdana" w:hAnsi="Calibri" w:eastAsia="仿宋_GB2312"/>
      <w:kern w:val="0"/>
      <w:sz w:val="24"/>
      <w:szCs w:val="20"/>
    </w:rPr>
  </w:style>
  <w:style w:type="paragraph" w:customStyle="1" w:styleId="318">
    <w:name w:val="toc 713"/>
    <w:next w:val="1"/>
    <w:qFormat/>
    <w:uiPriority w:val="0"/>
    <w:pPr>
      <w:wordWrap w:val="0"/>
      <w:ind w:left="2550"/>
      <w:jc w:val="both"/>
    </w:pPr>
    <w:rPr>
      <w:rFonts w:ascii="Calibri" w:hAnsi="Calibri" w:eastAsia="宋体" w:cs="Times New Roman"/>
      <w:sz w:val="21"/>
      <w:lang w:val="en-US" w:eastAsia="zh-CN" w:bidi="ar-SA"/>
    </w:rPr>
  </w:style>
  <w:style w:type="paragraph" w:customStyle="1" w:styleId="319">
    <w:name w:val="xl102"/>
    <w:basedOn w:val="1"/>
    <w:next w:val="320"/>
    <w:qFormat/>
    <w:uiPriority w:val="0"/>
    <w:pPr>
      <w:widowControl/>
      <w:shd w:val="clear" w:color="000000" w:fill="FFFFFF"/>
      <w:spacing w:before="280" w:after="280"/>
      <w:jc w:val="right"/>
    </w:pPr>
    <w:rPr>
      <w:rFonts w:ascii="宋体" w:hAnsi="Calibri"/>
      <w:kern w:val="0"/>
      <w:sz w:val="20"/>
      <w:szCs w:val="20"/>
    </w:rPr>
  </w:style>
  <w:style w:type="paragraph" w:customStyle="1" w:styleId="320">
    <w:name w:val="toc 17"/>
    <w:next w:val="1"/>
    <w:qFormat/>
    <w:uiPriority w:val="0"/>
    <w:pPr>
      <w:wordWrap w:val="0"/>
      <w:jc w:val="both"/>
    </w:pPr>
    <w:rPr>
      <w:rFonts w:ascii="Calibri" w:hAnsi="Calibri" w:eastAsia="宋体" w:cs="Times New Roman"/>
      <w:sz w:val="21"/>
      <w:lang w:val="en-US" w:eastAsia="zh-CN" w:bidi="ar-SA"/>
    </w:rPr>
  </w:style>
  <w:style w:type="paragraph" w:customStyle="1" w:styleId="321">
    <w:name w:val="toc 46"/>
    <w:next w:val="1"/>
    <w:qFormat/>
    <w:uiPriority w:val="0"/>
    <w:pPr>
      <w:wordWrap w:val="0"/>
      <w:ind w:left="1275"/>
      <w:jc w:val="both"/>
    </w:pPr>
    <w:rPr>
      <w:rFonts w:ascii="Calibri" w:hAnsi="Calibri" w:eastAsia="宋体" w:cs="Times New Roman"/>
      <w:sz w:val="21"/>
      <w:lang w:val="en-US" w:eastAsia="zh-CN" w:bidi="ar-SA"/>
    </w:rPr>
  </w:style>
  <w:style w:type="paragraph" w:customStyle="1" w:styleId="322">
    <w:name w:val="toc 311"/>
    <w:next w:val="1"/>
    <w:qFormat/>
    <w:uiPriority w:val="0"/>
    <w:pPr>
      <w:wordWrap w:val="0"/>
      <w:ind w:left="850"/>
      <w:jc w:val="both"/>
    </w:pPr>
    <w:rPr>
      <w:rFonts w:ascii="Calibri" w:hAnsi="Calibri" w:eastAsia="宋体" w:cs="Times New Roman"/>
      <w:sz w:val="21"/>
      <w:lang w:val="en-US" w:eastAsia="zh-CN" w:bidi="ar-SA"/>
    </w:rPr>
  </w:style>
  <w:style w:type="paragraph" w:customStyle="1" w:styleId="323">
    <w:name w:val="xl65"/>
    <w:basedOn w:val="1"/>
    <w:next w:val="224"/>
    <w:qFormat/>
    <w:uiPriority w:val="0"/>
    <w:pPr>
      <w:widowControl/>
      <w:shd w:val="clear" w:color="000000" w:fill="FFFFFF"/>
      <w:spacing w:before="280" w:after="280"/>
      <w:jc w:val="center"/>
    </w:pPr>
    <w:rPr>
      <w:rFonts w:ascii="宋体" w:hAnsi="Calibri"/>
      <w:kern w:val="0"/>
      <w:sz w:val="20"/>
      <w:szCs w:val="20"/>
    </w:rPr>
  </w:style>
  <w:style w:type="paragraph" w:customStyle="1" w:styleId="324">
    <w:name w:val="toc 94"/>
    <w:next w:val="1"/>
    <w:qFormat/>
    <w:uiPriority w:val="0"/>
    <w:pPr>
      <w:wordWrap w:val="0"/>
      <w:ind w:left="3400"/>
      <w:jc w:val="both"/>
    </w:pPr>
    <w:rPr>
      <w:rFonts w:ascii="Calibri" w:hAnsi="Calibri" w:eastAsia="宋体" w:cs="Times New Roman"/>
      <w:sz w:val="21"/>
      <w:lang w:val="en-US" w:eastAsia="zh-CN" w:bidi="ar-SA"/>
    </w:rPr>
  </w:style>
  <w:style w:type="paragraph" w:customStyle="1" w:styleId="325">
    <w:name w:val="toc 55"/>
    <w:next w:val="1"/>
    <w:qFormat/>
    <w:uiPriority w:val="0"/>
    <w:pPr>
      <w:wordWrap w:val="0"/>
      <w:ind w:left="1700"/>
      <w:jc w:val="both"/>
    </w:pPr>
    <w:rPr>
      <w:rFonts w:ascii="Calibri" w:hAnsi="Calibri" w:eastAsia="宋体" w:cs="Times New Roman"/>
      <w:sz w:val="21"/>
      <w:lang w:val="en-US" w:eastAsia="zh-CN" w:bidi="ar-SA"/>
    </w:rPr>
  </w:style>
  <w:style w:type="paragraph" w:customStyle="1" w:styleId="326">
    <w:name w:val="toc 812"/>
    <w:next w:val="1"/>
    <w:qFormat/>
    <w:uiPriority w:val="0"/>
    <w:pPr>
      <w:wordWrap w:val="0"/>
      <w:ind w:left="2975"/>
      <w:jc w:val="both"/>
    </w:pPr>
    <w:rPr>
      <w:rFonts w:ascii="Calibri" w:hAnsi="Calibri" w:eastAsia="宋体" w:cs="Times New Roman"/>
      <w:sz w:val="21"/>
      <w:lang w:val="en-US" w:eastAsia="zh-CN" w:bidi="ar-SA"/>
    </w:rPr>
  </w:style>
  <w:style w:type="paragraph" w:customStyle="1" w:styleId="327">
    <w:name w:val="xl75"/>
    <w:basedOn w:val="1"/>
    <w:next w:val="328"/>
    <w:qFormat/>
    <w:uiPriority w:val="0"/>
    <w:pPr>
      <w:widowControl/>
      <w:shd w:val="clear" w:color="000000" w:fill="FFFFFF"/>
      <w:spacing w:before="280" w:after="280"/>
    </w:pPr>
    <w:rPr>
      <w:rFonts w:ascii="宋体" w:hAnsi="Calibri"/>
      <w:kern w:val="0"/>
      <w:sz w:val="20"/>
      <w:szCs w:val="20"/>
    </w:rPr>
  </w:style>
  <w:style w:type="paragraph" w:customStyle="1" w:styleId="328">
    <w:name w:val="toc 914"/>
    <w:next w:val="1"/>
    <w:qFormat/>
    <w:uiPriority w:val="0"/>
    <w:pPr>
      <w:wordWrap w:val="0"/>
      <w:ind w:left="3400"/>
      <w:jc w:val="both"/>
    </w:pPr>
    <w:rPr>
      <w:rFonts w:ascii="Calibri" w:hAnsi="Calibri" w:eastAsia="宋体" w:cs="Times New Roman"/>
      <w:sz w:val="21"/>
      <w:lang w:val="en-US" w:eastAsia="zh-CN" w:bidi="ar-SA"/>
    </w:rPr>
  </w:style>
  <w:style w:type="paragraph" w:customStyle="1" w:styleId="329">
    <w:name w:val="toc 19"/>
    <w:next w:val="1"/>
    <w:qFormat/>
    <w:uiPriority w:val="0"/>
    <w:pPr>
      <w:wordWrap w:val="0"/>
      <w:jc w:val="both"/>
    </w:pPr>
    <w:rPr>
      <w:rFonts w:ascii="Calibri" w:hAnsi="Calibri" w:eastAsia="宋体" w:cs="Times New Roman"/>
      <w:sz w:val="21"/>
      <w:lang w:val="en-US" w:eastAsia="zh-CN" w:bidi="ar-SA"/>
    </w:rPr>
  </w:style>
  <w:style w:type="paragraph" w:customStyle="1" w:styleId="330">
    <w:name w:val="TOC Heading6"/>
    <w:next w:val="1"/>
    <w:qFormat/>
    <w:uiPriority w:val="0"/>
    <w:pPr>
      <w:wordWrap w:val="0"/>
    </w:pPr>
    <w:rPr>
      <w:rFonts w:ascii="Calibri" w:hAnsi="Calibri" w:eastAsia="宋体" w:cs="Times New Roman"/>
      <w:sz w:val="32"/>
      <w:lang w:val="en-US" w:eastAsia="zh-CN" w:bidi="ar-SA"/>
    </w:rPr>
  </w:style>
  <w:style w:type="paragraph" w:customStyle="1" w:styleId="331">
    <w:name w:val="toc 52"/>
    <w:next w:val="1"/>
    <w:qFormat/>
    <w:uiPriority w:val="0"/>
    <w:pPr>
      <w:wordWrap w:val="0"/>
      <w:ind w:left="1700"/>
      <w:jc w:val="both"/>
    </w:pPr>
    <w:rPr>
      <w:rFonts w:ascii="Calibri" w:hAnsi="Calibri" w:eastAsia="宋体" w:cs="Times New Roman"/>
      <w:sz w:val="21"/>
      <w:lang w:val="en-US" w:eastAsia="zh-CN" w:bidi="ar-SA"/>
    </w:rPr>
  </w:style>
  <w:style w:type="paragraph" w:customStyle="1" w:styleId="332">
    <w:name w:val="toc 36"/>
    <w:next w:val="1"/>
    <w:qFormat/>
    <w:uiPriority w:val="0"/>
    <w:pPr>
      <w:wordWrap w:val="0"/>
      <w:ind w:left="850"/>
      <w:jc w:val="both"/>
    </w:pPr>
    <w:rPr>
      <w:rFonts w:ascii="Calibri" w:hAnsi="Calibri" w:eastAsia="宋体" w:cs="Times New Roman"/>
      <w:sz w:val="21"/>
      <w:lang w:val="en-US" w:eastAsia="zh-CN" w:bidi="ar-SA"/>
    </w:rPr>
  </w:style>
  <w:style w:type="paragraph" w:customStyle="1" w:styleId="333">
    <w:name w:val="toc 82"/>
    <w:next w:val="1"/>
    <w:qFormat/>
    <w:uiPriority w:val="0"/>
    <w:pPr>
      <w:wordWrap w:val="0"/>
      <w:ind w:left="2975"/>
      <w:jc w:val="both"/>
    </w:pPr>
    <w:rPr>
      <w:rFonts w:ascii="Calibri" w:hAnsi="Calibri" w:eastAsia="宋体" w:cs="Times New Roman"/>
      <w:sz w:val="21"/>
      <w:lang w:val="en-US" w:eastAsia="zh-CN" w:bidi="ar-SA"/>
    </w:rPr>
  </w:style>
  <w:style w:type="paragraph" w:customStyle="1" w:styleId="334">
    <w:name w:val="xl104"/>
    <w:basedOn w:val="1"/>
    <w:next w:val="335"/>
    <w:qFormat/>
    <w:uiPriority w:val="0"/>
    <w:pPr>
      <w:widowControl/>
      <w:shd w:val="clear" w:color="000000" w:fill="FFFFFF"/>
      <w:spacing w:before="280" w:after="280"/>
      <w:jc w:val="center"/>
    </w:pPr>
    <w:rPr>
      <w:rFonts w:ascii="宋体" w:hAnsi="Calibri"/>
      <w:kern w:val="0"/>
      <w:sz w:val="20"/>
      <w:szCs w:val="20"/>
    </w:rPr>
  </w:style>
  <w:style w:type="paragraph" w:customStyle="1" w:styleId="335">
    <w:name w:val="toc 210"/>
    <w:next w:val="1"/>
    <w:qFormat/>
    <w:uiPriority w:val="0"/>
    <w:pPr>
      <w:wordWrap w:val="0"/>
      <w:ind w:left="425"/>
      <w:jc w:val="both"/>
    </w:pPr>
    <w:rPr>
      <w:rFonts w:ascii="Calibri" w:hAnsi="Calibri" w:eastAsia="宋体" w:cs="Times New Roman"/>
      <w:sz w:val="21"/>
      <w:lang w:val="en-US" w:eastAsia="zh-CN" w:bidi="ar-SA"/>
    </w:rPr>
  </w:style>
  <w:style w:type="paragraph" w:customStyle="1" w:styleId="336">
    <w:name w:val="toc 110"/>
    <w:next w:val="1"/>
    <w:qFormat/>
    <w:uiPriority w:val="0"/>
    <w:pPr>
      <w:wordWrap w:val="0"/>
      <w:jc w:val="both"/>
    </w:pPr>
    <w:rPr>
      <w:rFonts w:ascii="Calibri" w:hAnsi="Calibri" w:eastAsia="宋体" w:cs="Times New Roman"/>
      <w:sz w:val="21"/>
      <w:lang w:val="en-US" w:eastAsia="zh-CN" w:bidi="ar-SA"/>
    </w:rPr>
  </w:style>
  <w:style w:type="paragraph" w:customStyle="1" w:styleId="337">
    <w:name w:val="toc 66"/>
    <w:next w:val="1"/>
    <w:qFormat/>
    <w:uiPriority w:val="0"/>
    <w:pPr>
      <w:wordWrap w:val="0"/>
      <w:ind w:left="2125"/>
      <w:jc w:val="both"/>
    </w:pPr>
    <w:rPr>
      <w:rFonts w:ascii="Calibri" w:hAnsi="Calibri" w:eastAsia="宋体" w:cs="Times New Roman"/>
      <w:sz w:val="21"/>
      <w:lang w:val="en-US" w:eastAsia="zh-CN" w:bidi="ar-SA"/>
    </w:rPr>
  </w:style>
  <w:style w:type="paragraph" w:customStyle="1" w:styleId="338">
    <w:name w:val="toc 31"/>
    <w:next w:val="1"/>
    <w:qFormat/>
    <w:uiPriority w:val="0"/>
    <w:pPr>
      <w:wordWrap w:val="0"/>
      <w:ind w:left="850"/>
      <w:jc w:val="both"/>
    </w:pPr>
    <w:rPr>
      <w:rFonts w:ascii="Calibri" w:hAnsi="Calibri" w:eastAsia="宋体" w:cs="Times New Roman"/>
      <w:sz w:val="21"/>
      <w:lang w:val="en-US" w:eastAsia="zh-CN" w:bidi="ar-SA"/>
    </w:rPr>
  </w:style>
  <w:style w:type="paragraph" w:customStyle="1" w:styleId="339">
    <w:name w:val="toc 93"/>
    <w:next w:val="1"/>
    <w:qFormat/>
    <w:uiPriority w:val="0"/>
    <w:pPr>
      <w:wordWrap w:val="0"/>
      <w:ind w:left="3400"/>
      <w:jc w:val="both"/>
    </w:pPr>
    <w:rPr>
      <w:rFonts w:ascii="Calibri" w:hAnsi="Calibri" w:eastAsia="宋体" w:cs="Times New Roman"/>
      <w:sz w:val="21"/>
      <w:lang w:val="en-US" w:eastAsia="zh-CN" w:bidi="ar-SA"/>
    </w:rPr>
  </w:style>
  <w:style w:type="paragraph" w:customStyle="1" w:styleId="340">
    <w:name w:val="toc 614"/>
    <w:next w:val="1"/>
    <w:qFormat/>
    <w:uiPriority w:val="0"/>
    <w:pPr>
      <w:wordWrap w:val="0"/>
      <w:ind w:left="2125"/>
      <w:jc w:val="both"/>
    </w:pPr>
    <w:rPr>
      <w:rFonts w:ascii="Calibri" w:hAnsi="Calibri" w:eastAsia="宋体" w:cs="Times New Roman"/>
      <w:sz w:val="21"/>
      <w:lang w:val="en-US" w:eastAsia="zh-CN" w:bidi="ar-SA"/>
    </w:rPr>
  </w:style>
  <w:style w:type="paragraph" w:customStyle="1" w:styleId="341">
    <w:name w:val="无间隔1"/>
    <w:next w:val="336"/>
    <w:qFormat/>
    <w:uiPriority w:val="0"/>
    <w:pPr>
      <w:widowControl w:val="0"/>
      <w:jc w:val="both"/>
    </w:pPr>
    <w:rPr>
      <w:rFonts w:ascii="Calibri" w:hAnsi="Calibri" w:eastAsia="宋体" w:cs="Times New Roman"/>
      <w:sz w:val="22"/>
      <w:lang w:val="en-US" w:eastAsia="zh-CN" w:bidi="ar-SA"/>
    </w:rPr>
  </w:style>
  <w:style w:type="paragraph" w:customStyle="1" w:styleId="342">
    <w:name w:val="目录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3">
    <w:name w:val="xl105"/>
    <w:basedOn w:val="1"/>
    <w:next w:val="344"/>
    <w:qFormat/>
    <w:uiPriority w:val="0"/>
    <w:pPr>
      <w:widowControl/>
      <w:shd w:val="clear" w:color="000000" w:fill="FFFFFF"/>
      <w:spacing w:before="280" w:after="280"/>
    </w:pPr>
    <w:rPr>
      <w:rFonts w:ascii="宋体" w:hAnsi="Calibri"/>
      <w:kern w:val="0"/>
      <w:sz w:val="18"/>
      <w:szCs w:val="20"/>
    </w:rPr>
  </w:style>
  <w:style w:type="paragraph" w:customStyle="1" w:styleId="344">
    <w:name w:val="toc 615"/>
    <w:next w:val="1"/>
    <w:qFormat/>
    <w:uiPriority w:val="0"/>
    <w:pPr>
      <w:wordWrap w:val="0"/>
      <w:ind w:left="2125"/>
      <w:jc w:val="both"/>
    </w:pPr>
    <w:rPr>
      <w:rFonts w:ascii="Calibri" w:hAnsi="Calibri" w:eastAsia="宋体" w:cs="Times New Roman"/>
      <w:sz w:val="21"/>
      <w:lang w:val="en-US" w:eastAsia="zh-CN" w:bidi="ar-SA"/>
    </w:rPr>
  </w:style>
  <w:style w:type="paragraph" w:customStyle="1" w:styleId="345">
    <w:name w:val="toc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6">
    <w:name w:val="toc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47">
    <w:name w:val="xl111"/>
    <w:basedOn w:val="1"/>
    <w:next w:val="348"/>
    <w:qFormat/>
    <w:uiPriority w:val="0"/>
    <w:pPr>
      <w:widowControl/>
      <w:shd w:val="clear" w:color="000000" w:fill="FFFFFF"/>
      <w:spacing w:before="280" w:after="280"/>
      <w:jc w:val="center"/>
    </w:pPr>
    <w:rPr>
      <w:rFonts w:ascii="宋体" w:hAnsi="Calibri"/>
      <w:b/>
      <w:kern w:val="0"/>
      <w:sz w:val="20"/>
      <w:szCs w:val="20"/>
    </w:rPr>
  </w:style>
  <w:style w:type="paragraph" w:customStyle="1" w:styleId="348">
    <w:name w:val="toc 88"/>
    <w:next w:val="1"/>
    <w:qFormat/>
    <w:uiPriority w:val="0"/>
    <w:pPr>
      <w:wordWrap w:val="0"/>
      <w:ind w:left="2975"/>
      <w:jc w:val="both"/>
    </w:pPr>
    <w:rPr>
      <w:rFonts w:ascii="Calibri" w:hAnsi="Calibri" w:eastAsia="宋体" w:cs="Times New Roman"/>
      <w:sz w:val="21"/>
      <w:lang w:val="en-US" w:eastAsia="zh-CN" w:bidi="ar-SA"/>
    </w:rPr>
  </w:style>
  <w:style w:type="paragraph" w:customStyle="1" w:styleId="349">
    <w:name w:val="toc 84"/>
    <w:next w:val="1"/>
    <w:qFormat/>
    <w:uiPriority w:val="0"/>
    <w:pPr>
      <w:wordWrap w:val="0"/>
      <w:ind w:left="2975"/>
      <w:jc w:val="both"/>
    </w:pPr>
    <w:rPr>
      <w:rFonts w:ascii="Calibri" w:hAnsi="Calibri" w:eastAsia="宋体" w:cs="Times New Roman"/>
      <w:sz w:val="21"/>
      <w:lang w:val="en-US" w:eastAsia="zh-CN" w:bidi="ar-SA"/>
    </w:rPr>
  </w:style>
  <w:style w:type="paragraph" w:customStyle="1" w:styleId="350">
    <w:name w:val="p0"/>
    <w:basedOn w:val="1"/>
    <w:next w:val="351"/>
    <w:qFormat/>
    <w:uiPriority w:val="0"/>
    <w:pPr>
      <w:widowControl/>
      <w:spacing w:before="280" w:after="280"/>
    </w:pPr>
    <w:rPr>
      <w:rFonts w:ascii="宋体" w:hAnsi="Calibri"/>
      <w:kern w:val="0"/>
      <w:sz w:val="24"/>
      <w:szCs w:val="20"/>
    </w:rPr>
  </w:style>
  <w:style w:type="paragraph" w:customStyle="1" w:styleId="351">
    <w:name w:val="toc 69"/>
    <w:next w:val="1"/>
    <w:qFormat/>
    <w:uiPriority w:val="0"/>
    <w:pPr>
      <w:wordWrap w:val="0"/>
      <w:ind w:left="2125"/>
      <w:jc w:val="both"/>
    </w:pPr>
    <w:rPr>
      <w:rFonts w:ascii="Calibri" w:hAnsi="Calibri" w:eastAsia="宋体" w:cs="Times New Roman"/>
      <w:sz w:val="21"/>
      <w:lang w:val="en-US" w:eastAsia="zh-CN" w:bidi="ar-SA"/>
    </w:rPr>
  </w:style>
  <w:style w:type="paragraph" w:customStyle="1" w:styleId="352">
    <w:name w:val="列出段落11"/>
    <w:basedOn w:val="1"/>
    <w:next w:val="353"/>
    <w:qFormat/>
    <w:uiPriority w:val="0"/>
    <w:pPr>
      <w:widowControl/>
      <w:spacing w:line="360" w:lineRule="auto"/>
      <w:ind w:firstLine="420"/>
    </w:pPr>
    <w:rPr>
      <w:rFonts w:hAnsi="Calibri" w:eastAsia="微软雅黑"/>
      <w:kern w:val="0"/>
      <w:sz w:val="24"/>
      <w:szCs w:val="20"/>
    </w:rPr>
  </w:style>
  <w:style w:type="paragraph" w:customStyle="1" w:styleId="353">
    <w:name w:val="toc 214"/>
    <w:next w:val="1"/>
    <w:qFormat/>
    <w:uiPriority w:val="0"/>
    <w:pPr>
      <w:wordWrap w:val="0"/>
      <w:ind w:left="425"/>
      <w:jc w:val="both"/>
    </w:pPr>
    <w:rPr>
      <w:rFonts w:ascii="Calibri" w:hAnsi="Calibri" w:eastAsia="宋体" w:cs="Times New Roman"/>
      <w:sz w:val="21"/>
      <w:lang w:val="en-US" w:eastAsia="zh-CN" w:bidi="ar-SA"/>
    </w:rPr>
  </w:style>
  <w:style w:type="paragraph" w:customStyle="1" w:styleId="354">
    <w:name w:val="toc 63"/>
    <w:next w:val="1"/>
    <w:qFormat/>
    <w:uiPriority w:val="0"/>
    <w:pPr>
      <w:wordWrap w:val="0"/>
      <w:ind w:left="2125"/>
      <w:jc w:val="both"/>
    </w:pPr>
    <w:rPr>
      <w:rFonts w:ascii="Calibri" w:hAnsi="Calibri" w:eastAsia="宋体" w:cs="Times New Roman"/>
      <w:sz w:val="21"/>
      <w:lang w:val="en-US" w:eastAsia="zh-CN" w:bidi="ar-SA"/>
    </w:rPr>
  </w:style>
  <w:style w:type="paragraph" w:customStyle="1" w:styleId="355">
    <w:name w:val="xl91"/>
    <w:basedOn w:val="1"/>
    <w:next w:val="252"/>
    <w:qFormat/>
    <w:uiPriority w:val="0"/>
    <w:pPr>
      <w:widowControl/>
      <w:shd w:val="clear" w:color="000000" w:fill="FFFFFF"/>
      <w:spacing w:before="280" w:after="280"/>
    </w:pPr>
    <w:rPr>
      <w:rFonts w:ascii="宋体" w:hAnsi="Calibri"/>
      <w:kern w:val="0"/>
      <w:sz w:val="20"/>
      <w:szCs w:val="20"/>
    </w:rPr>
  </w:style>
  <w:style w:type="paragraph" w:customStyle="1" w:styleId="356">
    <w:name w:val="toc 316"/>
    <w:next w:val="1"/>
    <w:qFormat/>
    <w:uiPriority w:val="0"/>
    <w:pPr>
      <w:wordWrap w:val="0"/>
      <w:ind w:left="850"/>
      <w:jc w:val="both"/>
    </w:pPr>
    <w:rPr>
      <w:rFonts w:ascii="Calibri" w:hAnsi="Calibri" w:eastAsia="宋体" w:cs="Times New Roman"/>
      <w:sz w:val="21"/>
      <w:lang w:val="en-US" w:eastAsia="zh-CN" w:bidi="ar-SA"/>
    </w:rPr>
  </w:style>
  <w:style w:type="paragraph" w:customStyle="1" w:styleId="357">
    <w:name w:val="_Style 1"/>
    <w:basedOn w:val="1"/>
    <w:next w:val="358"/>
    <w:qFormat/>
    <w:uiPriority w:val="0"/>
    <w:pPr>
      <w:ind w:firstLine="420"/>
    </w:pPr>
    <w:rPr>
      <w:rFonts w:hAnsi="Calibri"/>
      <w:kern w:val="0"/>
      <w:szCs w:val="20"/>
    </w:rPr>
  </w:style>
  <w:style w:type="paragraph" w:customStyle="1" w:styleId="358">
    <w:name w:val="TOC Heading13"/>
    <w:next w:val="1"/>
    <w:qFormat/>
    <w:uiPriority w:val="0"/>
    <w:pPr>
      <w:wordWrap w:val="0"/>
    </w:pPr>
    <w:rPr>
      <w:rFonts w:ascii="Calibri" w:hAnsi="Calibri" w:eastAsia="宋体" w:cs="Times New Roman"/>
      <w:sz w:val="32"/>
      <w:lang w:val="en-US" w:eastAsia="zh-CN" w:bidi="ar-SA"/>
    </w:rPr>
  </w:style>
  <w:style w:type="paragraph" w:customStyle="1" w:styleId="359">
    <w:name w:val="toc 116"/>
    <w:next w:val="1"/>
    <w:qFormat/>
    <w:uiPriority w:val="0"/>
    <w:pPr>
      <w:wordWrap w:val="0"/>
      <w:jc w:val="both"/>
    </w:pPr>
    <w:rPr>
      <w:rFonts w:ascii="Calibri" w:hAnsi="Calibri" w:eastAsia="宋体" w:cs="Times New Roman"/>
      <w:sz w:val="21"/>
      <w:lang w:val="en-US" w:eastAsia="zh-CN" w:bidi="ar-SA"/>
    </w:rPr>
  </w:style>
  <w:style w:type="paragraph" w:customStyle="1" w:styleId="360">
    <w:name w:val="toc 72"/>
    <w:next w:val="1"/>
    <w:qFormat/>
    <w:uiPriority w:val="0"/>
    <w:pPr>
      <w:wordWrap w:val="0"/>
      <w:ind w:left="2550"/>
      <w:jc w:val="both"/>
    </w:pPr>
    <w:rPr>
      <w:rFonts w:ascii="Calibri" w:hAnsi="Calibri" w:eastAsia="宋体" w:cs="Times New Roman"/>
      <w:sz w:val="21"/>
      <w:lang w:val="en-US" w:eastAsia="zh-CN" w:bidi="ar-SA"/>
    </w:rPr>
  </w:style>
  <w:style w:type="paragraph" w:customStyle="1" w:styleId="361">
    <w:name w:val="x_msonormal"/>
    <w:basedOn w:val="1"/>
    <w:next w:val="311"/>
    <w:qFormat/>
    <w:uiPriority w:val="0"/>
    <w:pPr>
      <w:widowControl/>
      <w:spacing w:before="280" w:after="280"/>
    </w:pPr>
    <w:rPr>
      <w:rFonts w:ascii="PMingLiU" w:hAnsi="Calibri" w:eastAsia="PMingLiU"/>
      <w:kern w:val="0"/>
      <w:sz w:val="24"/>
      <w:szCs w:val="20"/>
    </w:rPr>
  </w:style>
  <w:style w:type="paragraph" w:customStyle="1" w:styleId="362">
    <w:name w:val="toc 310"/>
    <w:next w:val="1"/>
    <w:qFormat/>
    <w:uiPriority w:val="0"/>
    <w:pPr>
      <w:wordWrap w:val="0"/>
      <w:ind w:left="850"/>
      <w:jc w:val="both"/>
    </w:pPr>
    <w:rPr>
      <w:rFonts w:ascii="Calibri" w:hAnsi="Calibri" w:eastAsia="宋体" w:cs="Times New Roman"/>
      <w:sz w:val="21"/>
      <w:lang w:val="en-US" w:eastAsia="zh-CN" w:bidi="ar-SA"/>
    </w:rPr>
  </w:style>
  <w:style w:type="paragraph" w:customStyle="1" w:styleId="363">
    <w:name w:val="toc 83"/>
    <w:next w:val="1"/>
    <w:qFormat/>
    <w:uiPriority w:val="0"/>
    <w:pPr>
      <w:wordWrap w:val="0"/>
      <w:ind w:left="2975"/>
      <w:jc w:val="both"/>
    </w:pPr>
    <w:rPr>
      <w:rFonts w:ascii="Calibri" w:hAnsi="Calibri" w:eastAsia="宋体" w:cs="Times New Roman"/>
      <w:sz w:val="21"/>
      <w:lang w:val="en-US" w:eastAsia="zh-CN" w:bidi="ar-SA"/>
    </w:rPr>
  </w:style>
  <w:style w:type="paragraph" w:customStyle="1" w:styleId="364">
    <w:name w:val="TOC Heading17"/>
    <w:next w:val="1"/>
    <w:qFormat/>
    <w:uiPriority w:val="0"/>
    <w:pPr>
      <w:wordWrap w:val="0"/>
    </w:pPr>
    <w:rPr>
      <w:rFonts w:ascii="Calibri" w:hAnsi="Calibri" w:eastAsia="宋体" w:cs="Times New Roman"/>
      <w:sz w:val="32"/>
      <w:lang w:val="en-US" w:eastAsia="zh-CN" w:bidi="ar-SA"/>
    </w:rPr>
  </w:style>
  <w:style w:type="paragraph" w:customStyle="1" w:styleId="365">
    <w:name w:val="toc 911"/>
    <w:next w:val="1"/>
    <w:qFormat/>
    <w:uiPriority w:val="0"/>
    <w:pPr>
      <w:wordWrap w:val="0"/>
      <w:ind w:left="3400"/>
      <w:jc w:val="both"/>
    </w:pPr>
    <w:rPr>
      <w:rFonts w:ascii="Calibri" w:hAnsi="Calibri" w:eastAsia="宋体" w:cs="Times New Roman"/>
      <w:sz w:val="21"/>
      <w:lang w:val="en-US" w:eastAsia="zh-CN" w:bidi="ar-SA"/>
    </w:rPr>
  </w:style>
  <w:style w:type="paragraph" w:customStyle="1" w:styleId="366">
    <w:name w:val="toc 811"/>
    <w:next w:val="1"/>
    <w:qFormat/>
    <w:uiPriority w:val="0"/>
    <w:pPr>
      <w:wordWrap w:val="0"/>
      <w:ind w:left="2975"/>
      <w:jc w:val="both"/>
    </w:pPr>
    <w:rPr>
      <w:rFonts w:ascii="Calibri" w:hAnsi="Calibri" w:eastAsia="宋体" w:cs="Times New Roman"/>
      <w:sz w:val="21"/>
      <w:lang w:val="en-US" w:eastAsia="zh-CN" w:bidi="ar-SA"/>
    </w:rPr>
  </w:style>
  <w:style w:type="paragraph" w:customStyle="1" w:styleId="367">
    <w:name w:val="目录 31"/>
    <w:next w:val="1"/>
    <w:qFormat/>
    <w:uiPriority w:val="0"/>
    <w:pPr>
      <w:wordWrap w:val="0"/>
      <w:ind w:left="850"/>
      <w:jc w:val="both"/>
    </w:pPr>
    <w:rPr>
      <w:rFonts w:ascii="Calibri" w:hAnsi="Calibri" w:eastAsia="宋体" w:cs="Times New Roman"/>
      <w:sz w:val="21"/>
      <w:lang w:val="en-US" w:eastAsia="zh-CN" w:bidi="ar-SA"/>
    </w:rPr>
  </w:style>
  <w:style w:type="paragraph" w:customStyle="1" w:styleId="368">
    <w:name w:val="xl118"/>
    <w:basedOn w:val="1"/>
    <w:next w:val="242"/>
    <w:qFormat/>
    <w:uiPriority w:val="0"/>
    <w:pPr>
      <w:widowControl/>
      <w:shd w:val="clear" w:color="000000" w:fill="FFFFFF"/>
      <w:spacing w:before="280" w:after="280"/>
      <w:jc w:val="center"/>
    </w:pPr>
    <w:rPr>
      <w:rFonts w:ascii="宋体" w:hAnsi="Calibri"/>
      <w:b/>
      <w:kern w:val="0"/>
      <w:sz w:val="20"/>
      <w:szCs w:val="20"/>
    </w:rPr>
  </w:style>
  <w:style w:type="paragraph" w:customStyle="1" w:styleId="369">
    <w:name w:val="xl83"/>
    <w:basedOn w:val="1"/>
    <w:next w:val="297"/>
    <w:qFormat/>
    <w:uiPriority w:val="0"/>
    <w:pPr>
      <w:widowControl/>
      <w:shd w:val="clear" w:color="000000" w:fill="FFFFFF"/>
      <w:spacing w:before="280" w:after="280"/>
    </w:pPr>
    <w:rPr>
      <w:rFonts w:ascii="宋体" w:hAnsi="Calibri"/>
      <w:kern w:val="0"/>
      <w:sz w:val="20"/>
      <w:szCs w:val="20"/>
    </w:rPr>
  </w:style>
  <w:style w:type="paragraph" w:customStyle="1" w:styleId="370">
    <w:name w:val="xl103"/>
    <w:basedOn w:val="1"/>
    <w:next w:val="371"/>
    <w:qFormat/>
    <w:uiPriority w:val="0"/>
    <w:pPr>
      <w:widowControl/>
      <w:shd w:val="clear" w:color="000000" w:fill="FFFFFF"/>
      <w:spacing w:before="280" w:after="280"/>
    </w:pPr>
    <w:rPr>
      <w:rFonts w:ascii="宋体" w:hAnsi="Calibri"/>
      <w:kern w:val="0"/>
      <w:sz w:val="20"/>
      <w:szCs w:val="20"/>
    </w:rPr>
  </w:style>
  <w:style w:type="paragraph" w:customStyle="1" w:styleId="371">
    <w:name w:val="toc 111"/>
    <w:next w:val="1"/>
    <w:qFormat/>
    <w:uiPriority w:val="0"/>
    <w:pPr>
      <w:wordWrap w:val="0"/>
      <w:jc w:val="both"/>
    </w:pPr>
    <w:rPr>
      <w:rFonts w:ascii="Calibri" w:hAnsi="Calibri" w:eastAsia="宋体" w:cs="Times New Roman"/>
      <w:sz w:val="21"/>
      <w:lang w:val="en-US" w:eastAsia="zh-CN" w:bidi="ar-SA"/>
    </w:rPr>
  </w:style>
  <w:style w:type="paragraph" w:customStyle="1" w:styleId="372">
    <w:name w:val="xl68"/>
    <w:basedOn w:val="1"/>
    <w:next w:val="373"/>
    <w:qFormat/>
    <w:uiPriority w:val="0"/>
    <w:pPr>
      <w:widowControl/>
      <w:shd w:val="clear" w:color="000000" w:fill="FFFFFF"/>
      <w:spacing w:before="280" w:after="280"/>
    </w:pPr>
    <w:rPr>
      <w:rFonts w:ascii="宋体" w:hAnsi="Calibri"/>
      <w:b/>
      <w:kern w:val="0"/>
      <w:sz w:val="20"/>
      <w:szCs w:val="20"/>
    </w:rPr>
  </w:style>
  <w:style w:type="paragraph" w:customStyle="1" w:styleId="373">
    <w:name w:val="TOC Heading16"/>
    <w:next w:val="1"/>
    <w:qFormat/>
    <w:uiPriority w:val="0"/>
    <w:pPr>
      <w:wordWrap w:val="0"/>
    </w:pPr>
    <w:rPr>
      <w:rFonts w:ascii="Calibri" w:hAnsi="Calibri" w:eastAsia="宋体" w:cs="Times New Roman"/>
      <w:sz w:val="32"/>
      <w:lang w:val="en-US" w:eastAsia="zh-CN" w:bidi="ar-SA"/>
    </w:rPr>
  </w:style>
  <w:style w:type="paragraph" w:customStyle="1" w:styleId="374">
    <w:name w:val="toc 113"/>
    <w:next w:val="1"/>
    <w:qFormat/>
    <w:uiPriority w:val="0"/>
    <w:pPr>
      <w:wordWrap w:val="0"/>
      <w:jc w:val="both"/>
    </w:pPr>
    <w:rPr>
      <w:rFonts w:ascii="Calibri" w:hAnsi="Calibri" w:eastAsia="宋体" w:cs="Times New Roman"/>
      <w:sz w:val="21"/>
      <w:lang w:val="en-US" w:eastAsia="zh-CN" w:bidi="ar-SA"/>
    </w:rPr>
  </w:style>
  <w:style w:type="paragraph" w:customStyle="1" w:styleId="375">
    <w:name w:val="xl94"/>
    <w:basedOn w:val="1"/>
    <w:next w:val="266"/>
    <w:qFormat/>
    <w:uiPriority w:val="0"/>
    <w:pPr>
      <w:widowControl/>
      <w:shd w:val="clear" w:color="000000" w:fill="FFFFFF"/>
      <w:spacing w:before="280" w:after="280"/>
      <w:jc w:val="center"/>
    </w:pPr>
    <w:rPr>
      <w:rFonts w:ascii="宋体" w:hAnsi="Calibri"/>
      <w:kern w:val="0"/>
      <w:sz w:val="20"/>
      <w:szCs w:val="20"/>
    </w:rPr>
  </w:style>
  <w:style w:type="paragraph" w:customStyle="1" w:styleId="376">
    <w:name w:val="toc 53"/>
    <w:next w:val="1"/>
    <w:qFormat/>
    <w:uiPriority w:val="0"/>
    <w:pPr>
      <w:wordWrap w:val="0"/>
      <w:ind w:left="1700"/>
      <w:jc w:val="both"/>
    </w:pPr>
    <w:rPr>
      <w:rFonts w:ascii="Calibri" w:hAnsi="Calibri" w:eastAsia="宋体" w:cs="Times New Roman"/>
      <w:sz w:val="21"/>
      <w:lang w:val="en-US" w:eastAsia="zh-CN" w:bidi="ar-SA"/>
    </w:rPr>
  </w:style>
  <w:style w:type="paragraph" w:customStyle="1" w:styleId="377">
    <w:name w:val="xl92"/>
    <w:basedOn w:val="1"/>
    <w:next w:val="378"/>
    <w:qFormat/>
    <w:uiPriority w:val="0"/>
    <w:pPr>
      <w:widowControl/>
      <w:shd w:val="clear" w:color="000000" w:fill="FFFFFF"/>
      <w:spacing w:before="280" w:after="280"/>
    </w:pPr>
    <w:rPr>
      <w:rFonts w:ascii="宋体" w:hAnsi="Calibri"/>
      <w:kern w:val="0"/>
      <w:sz w:val="20"/>
      <w:szCs w:val="20"/>
    </w:rPr>
  </w:style>
  <w:style w:type="paragraph" w:customStyle="1" w:styleId="378">
    <w:name w:val="toc 913"/>
    <w:next w:val="1"/>
    <w:qFormat/>
    <w:uiPriority w:val="0"/>
    <w:pPr>
      <w:wordWrap w:val="0"/>
      <w:ind w:left="3400"/>
      <w:jc w:val="both"/>
    </w:pPr>
    <w:rPr>
      <w:rFonts w:ascii="Calibri" w:hAnsi="Calibri" w:eastAsia="宋体" w:cs="Times New Roman"/>
      <w:sz w:val="21"/>
      <w:lang w:val="en-US" w:eastAsia="zh-CN" w:bidi="ar-SA"/>
    </w:rPr>
  </w:style>
  <w:style w:type="paragraph" w:customStyle="1" w:styleId="379">
    <w:name w:val="toc 512"/>
    <w:next w:val="1"/>
    <w:qFormat/>
    <w:uiPriority w:val="0"/>
    <w:pPr>
      <w:wordWrap w:val="0"/>
      <w:ind w:left="1700"/>
      <w:jc w:val="both"/>
    </w:pPr>
    <w:rPr>
      <w:rFonts w:ascii="Calibri" w:hAnsi="Calibri" w:eastAsia="宋体" w:cs="Times New Roman"/>
      <w:sz w:val="21"/>
      <w:lang w:val="en-US" w:eastAsia="zh-CN" w:bidi="ar-SA"/>
    </w:rPr>
  </w:style>
  <w:style w:type="paragraph" w:customStyle="1" w:styleId="380">
    <w:name w:val="目录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81">
    <w:name w:val="正文表标题"/>
    <w:next w:val="1"/>
    <w:qFormat/>
    <w:uiPriority w:val="0"/>
    <w:pPr>
      <w:ind w:left="630"/>
      <w:jc w:val="center"/>
    </w:pPr>
    <w:rPr>
      <w:rFonts w:ascii="黑体" w:hAnsi="Calibri" w:eastAsia="黑体" w:cs="Times New Roman"/>
      <w:sz w:val="21"/>
      <w:lang w:val="en-US" w:eastAsia="zh-CN" w:bidi="ar-SA"/>
    </w:rPr>
  </w:style>
  <w:style w:type="paragraph" w:customStyle="1" w:styleId="382">
    <w:name w:val="toc 28"/>
    <w:next w:val="1"/>
    <w:qFormat/>
    <w:uiPriority w:val="0"/>
    <w:pPr>
      <w:wordWrap w:val="0"/>
      <w:ind w:left="425"/>
      <w:jc w:val="both"/>
    </w:pPr>
    <w:rPr>
      <w:rFonts w:ascii="Calibri" w:hAnsi="Calibri" w:eastAsia="宋体" w:cs="Times New Roman"/>
      <w:sz w:val="21"/>
      <w:lang w:val="en-US" w:eastAsia="zh-CN" w:bidi="ar-SA"/>
    </w:rPr>
  </w:style>
  <w:style w:type="paragraph" w:customStyle="1" w:styleId="383">
    <w:name w:val="toc 79"/>
    <w:next w:val="1"/>
    <w:qFormat/>
    <w:uiPriority w:val="0"/>
    <w:pPr>
      <w:wordWrap w:val="0"/>
      <w:ind w:left="2550"/>
      <w:jc w:val="both"/>
    </w:pPr>
    <w:rPr>
      <w:rFonts w:ascii="Calibri" w:hAnsi="Calibri" w:eastAsia="宋体" w:cs="Times New Roman"/>
      <w:sz w:val="21"/>
      <w:lang w:val="en-US" w:eastAsia="zh-CN" w:bidi="ar-SA"/>
    </w:rPr>
  </w:style>
  <w:style w:type="paragraph" w:customStyle="1" w:styleId="384">
    <w:name w:val="xl110"/>
    <w:basedOn w:val="1"/>
    <w:next w:val="340"/>
    <w:qFormat/>
    <w:uiPriority w:val="0"/>
    <w:pPr>
      <w:widowControl/>
      <w:shd w:val="clear" w:color="000000" w:fill="FFFFFF"/>
      <w:spacing w:before="280" w:after="280"/>
      <w:jc w:val="center"/>
    </w:pPr>
    <w:rPr>
      <w:rFonts w:ascii="宋体" w:hAnsi="Calibri"/>
      <w:kern w:val="0"/>
      <w:sz w:val="20"/>
      <w:szCs w:val="20"/>
    </w:rPr>
  </w:style>
  <w:style w:type="paragraph" w:customStyle="1" w:styleId="385">
    <w:name w:val="toc 511"/>
    <w:next w:val="1"/>
    <w:qFormat/>
    <w:uiPriority w:val="0"/>
    <w:pPr>
      <w:wordWrap w:val="0"/>
      <w:ind w:left="1700"/>
      <w:jc w:val="both"/>
    </w:pPr>
    <w:rPr>
      <w:rFonts w:ascii="Calibri" w:hAnsi="Calibri" w:eastAsia="宋体" w:cs="Times New Roman"/>
      <w:sz w:val="21"/>
      <w:lang w:val="en-US" w:eastAsia="zh-CN" w:bidi="ar-SA"/>
    </w:rPr>
  </w:style>
  <w:style w:type="paragraph" w:customStyle="1" w:styleId="386">
    <w:name w:val="toc 416"/>
    <w:next w:val="1"/>
    <w:qFormat/>
    <w:uiPriority w:val="0"/>
    <w:pPr>
      <w:wordWrap w:val="0"/>
      <w:ind w:left="1275"/>
      <w:jc w:val="both"/>
    </w:pPr>
    <w:rPr>
      <w:rFonts w:ascii="Calibri" w:hAnsi="Calibri" w:eastAsia="宋体" w:cs="Times New Roman"/>
      <w:sz w:val="21"/>
      <w:lang w:val="en-US" w:eastAsia="zh-CN" w:bidi="ar-SA"/>
    </w:rPr>
  </w:style>
  <w:style w:type="paragraph" w:customStyle="1" w:styleId="387">
    <w:name w:val="xl85"/>
    <w:basedOn w:val="1"/>
    <w:next w:val="388"/>
    <w:qFormat/>
    <w:uiPriority w:val="0"/>
    <w:pPr>
      <w:widowControl/>
      <w:shd w:val="clear" w:color="000000" w:fill="FFFFFF"/>
      <w:spacing w:before="280" w:after="280"/>
      <w:jc w:val="center"/>
    </w:pPr>
    <w:rPr>
      <w:rFonts w:ascii="宋体" w:hAnsi="Calibri"/>
      <w:kern w:val="0"/>
      <w:sz w:val="20"/>
      <w:szCs w:val="20"/>
    </w:rPr>
  </w:style>
  <w:style w:type="paragraph" w:customStyle="1" w:styleId="388">
    <w:name w:val="toc 76"/>
    <w:next w:val="1"/>
    <w:qFormat/>
    <w:uiPriority w:val="0"/>
    <w:pPr>
      <w:wordWrap w:val="0"/>
      <w:ind w:left="2550"/>
      <w:jc w:val="both"/>
    </w:pPr>
    <w:rPr>
      <w:rFonts w:ascii="Calibri" w:hAnsi="Calibri" w:eastAsia="宋体" w:cs="Times New Roman"/>
      <w:sz w:val="21"/>
      <w:lang w:val="en-US" w:eastAsia="zh-CN" w:bidi="ar-SA"/>
    </w:rPr>
  </w:style>
  <w:style w:type="paragraph" w:customStyle="1" w:styleId="389">
    <w:name w:val="toc 27"/>
    <w:next w:val="1"/>
    <w:qFormat/>
    <w:uiPriority w:val="0"/>
    <w:pPr>
      <w:wordWrap w:val="0"/>
      <w:ind w:left="425"/>
      <w:jc w:val="both"/>
    </w:pPr>
    <w:rPr>
      <w:rFonts w:ascii="Calibri" w:hAnsi="Calibri" w:eastAsia="宋体" w:cs="Times New Roman"/>
      <w:sz w:val="21"/>
      <w:lang w:val="en-US" w:eastAsia="zh-CN" w:bidi="ar-SA"/>
    </w:rPr>
  </w:style>
  <w:style w:type="paragraph" w:customStyle="1" w:styleId="390">
    <w:name w:val="toc 916"/>
    <w:next w:val="1"/>
    <w:qFormat/>
    <w:uiPriority w:val="0"/>
    <w:pPr>
      <w:wordWrap w:val="0"/>
      <w:ind w:left="3400"/>
      <w:jc w:val="both"/>
    </w:pPr>
    <w:rPr>
      <w:rFonts w:ascii="Calibri" w:hAnsi="Calibri" w:eastAsia="宋体" w:cs="Times New Roman"/>
      <w:sz w:val="21"/>
      <w:lang w:val="en-US" w:eastAsia="zh-CN" w:bidi="ar-SA"/>
    </w:rPr>
  </w:style>
  <w:style w:type="paragraph" w:customStyle="1" w:styleId="391">
    <w:name w:val="toc 77"/>
    <w:next w:val="1"/>
    <w:qFormat/>
    <w:uiPriority w:val="0"/>
    <w:pPr>
      <w:wordWrap w:val="0"/>
      <w:ind w:left="2550"/>
      <w:jc w:val="both"/>
    </w:pPr>
    <w:rPr>
      <w:rFonts w:ascii="Calibri" w:hAnsi="Calibri" w:eastAsia="宋体" w:cs="Times New Roman"/>
      <w:sz w:val="21"/>
      <w:lang w:val="en-US" w:eastAsia="zh-CN" w:bidi="ar-SA"/>
    </w:rPr>
  </w:style>
  <w:style w:type="paragraph" w:customStyle="1" w:styleId="392">
    <w:name w:val="toc 211"/>
    <w:next w:val="1"/>
    <w:qFormat/>
    <w:uiPriority w:val="0"/>
    <w:pPr>
      <w:wordWrap w:val="0"/>
      <w:ind w:left="425"/>
      <w:jc w:val="both"/>
    </w:pPr>
    <w:rPr>
      <w:rFonts w:ascii="Calibri" w:hAnsi="Calibri" w:eastAsia="宋体" w:cs="Times New Roman"/>
      <w:sz w:val="21"/>
      <w:lang w:val="en-US" w:eastAsia="zh-CN" w:bidi="ar-SA"/>
    </w:rPr>
  </w:style>
  <w:style w:type="paragraph" w:customStyle="1" w:styleId="393">
    <w:name w:val="toc 815"/>
    <w:next w:val="1"/>
    <w:qFormat/>
    <w:uiPriority w:val="0"/>
    <w:pPr>
      <w:wordWrap w:val="0"/>
      <w:ind w:left="2975"/>
      <w:jc w:val="both"/>
    </w:pPr>
    <w:rPr>
      <w:rFonts w:ascii="Calibri" w:hAnsi="Calibri" w:eastAsia="宋体" w:cs="Times New Roman"/>
      <w:sz w:val="21"/>
      <w:lang w:val="en-US" w:eastAsia="zh-CN" w:bidi="ar-SA"/>
    </w:rPr>
  </w:style>
  <w:style w:type="paragraph" w:customStyle="1" w:styleId="394">
    <w:name w:val="xl99"/>
    <w:basedOn w:val="1"/>
    <w:next w:val="379"/>
    <w:qFormat/>
    <w:uiPriority w:val="0"/>
    <w:pPr>
      <w:widowControl/>
      <w:shd w:val="clear" w:color="000000" w:fill="FFFFFF"/>
      <w:spacing w:before="280" w:after="280"/>
    </w:pPr>
    <w:rPr>
      <w:rFonts w:ascii="宋体" w:hAnsi="Calibri"/>
      <w:kern w:val="0"/>
      <w:sz w:val="18"/>
      <w:szCs w:val="20"/>
    </w:rPr>
  </w:style>
  <w:style w:type="paragraph" w:customStyle="1" w:styleId="395">
    <w:name w:val="xl97"/>
    <w:basedOn w:val="1"/>
    <w:next w:val="267"/>
    <w:qFormat/>
    <w:uiPriority w:val="0"/>
    <w:pPr>
      <w:widowControl/>
      <w:shd w:val="clear" w:color="000000" w:fill="FFFFFF"/>
      <w:spacing w:before="280" w:after="280"/>
      <w:jc w:val="center"/>
    </w:pPr>
    <w:rPr>
      <w:rFonts w:ascii="宋体" w:hAnsi="Calibri"/>
      <w:kern w:val="0"/>
      <w:sz w:val="20"/>
      <w:szCs w:val="20"/>
    </w:rPr>
  </w:style>
  <w:style w:type="paragraph" w:customStyle="1" w:styleId="396">
    <w:name w:val="toc 612"/>
    <w:next w:val="1"/>
    <w:qFormat/>
    <w:uiPriority w:val="0"/>
    <w:pPr>
      <w:wordWrap w:val="0"/>
      <w:ind w:left="2125"/>
      <w:jc w:val="both"/>
    </w:pPr>
    <w:rPr>
      <w:rFonts w:ascii="Calibri" w:hAnsi="Calibri" w:eastAsia="宋体" w:cs="Times New Roman"/>
      <w:sz w:val="21"/>
      <w:lang w:val="en-US" w:eastAsia="zh-CN" w:bidi="ar-SA"/>
    </w:rPr>
  </w:style>
  <w:style w:type="paragraph" w:customStyle="1" w:styleId="397">
    <w:name w:val="toc 315"/>
    <w:next w:val="1"/>
    <w:qFormat/>
    <w:uiPriority w:val="0"/>
    <w:pPr>
      <w:wordWrap w:val="0"/>
      <w:ind w:left="850"/>
      <w:jc w:val="both"/>
    </w:pPr>
    <w:rPr>
      <w:rFonts w:ascii="Calibri" w:hAnsi="Calibri" w:eastAsia="宋体" w:cs="Times New Roman"/>
      <w:sz w:val="21"/>
      <w:lang w:val="en-US" w:eastAsia="zh-CN" w:bidi="ar-SA"/>
    </w:rPr>
  </w:style>
  <w:style w:type="paragraph" w:customStyle="1" w:styleId="398">
    <w:name w:val="TOC Heading15"/>
    <w:next w:val="1"/>
    <w:qFormat/>
    <w:uiPriority w:val="0"/>
    <w:pPr>
      <w:wordWrap w:val="0"/>
    </w:pPr>
    <w:rPr>
      <w:rFonts w:ascii="Calibri" w:hAnsi="Calibri" w:eastAsia="宋体" w:cs="Times New Roman"/>
      <w:sz w:val="32"/>
      <w:lang w:val="en-US" w:eastAsia="zh-CN" w:bidi="ar-SA"/>
    </w:rPr>
  </w:style>
  <w:style w:type="paragraph" w:customStyle="1" w:styleId="399">
    <w:name w:val="toc 915"/>
    <w:next w:val="1"/>
    <w:qFormat/>
    <w:uiPriority w:val="0"/>
    <w:pPr>
      <w:wordWrap w:val="0"/>
      <w:ind w:left="3400"/>
      <w:jc w:val="both"/>
    </w:pPr>
    <w:rPr>
      <w:rFonts w:ascii="Calibri" w:hAnsi="Calibri" w:eastAsia="宋体" w:cs="Times New Roman"/>
      <w:sz w:val="21"/>
      <w:lang w:val="en-US" w:eastAsia="zh-CN" w:bidi="ar-SA"/>
    </w:rPr>
  </w:style>
  <w:style w:type="paragraph" w:customStyle="1" w:styleId="400">
    <w:name w:val="toc 39"/>
    <w:next w:val="1"/>
    <w:qFormat/>
    <w:uiPriority w:val="0"/>
    <w:pPr>
      <w:wordWrap w:val="0"/>
      <w:ind w:left="850"/>
      <w:jc w:val="both"/>
    </w:pPr>
    <w:rPr>
      <w:rFonts w:ascii="Calibri" w:hAnsi="Calibri" w:eastAsia="宋体" w:cs="Times New Roman"/>
      <w:sz w:val="21"/>
      <w:lang w:val="en-US" w:eastAsia="zh-CN" w:bidi="ar-SA"/>
    </w:rPr>
  </w:style>
  <w:style w:type="paragraph" w:customStyle="1" w:styleId="401">
    <w:name w:val="toc 710"/>
    <w:next w:val="1"/>
    <w:qFormat/>
    <w:uiPriority w:val="0"/>
    <w:pPr>
      <w:wordWrap w:val="0"/>
      <w:ind w:left="2550"/>
      <w:jc w:val="both"/>
    </w:pPr>
    <w:rPr>
      <w:rFonts w:ascii="Calibri" w:hAnsi="Calibri" w:eastAsia="宋体" w:cs="Times New Roman"/>
      <w:sz w:val="21"/>
      <w:lang w:val="en-US" w:eastAsia="zh-CN" w:bidi="ar-SA"/>
    </w:rPr>
  </w:style>
  <w:style w:type="paragraph" w:customStyle="1" w:styleId="402">
    <w:name w:val="toc 12"/>
    <w:next w:val="1"/>
    <w:qFormat/>
    <w:uiPriority w:val="0"/>
    <w:pPr>
      <w:wordWrap w:val="0"/>
      <w:jc w:val="both"/>
    </w:pPr>
    <w:rPr>
      <w:rFonts w:ascii="Calibri" w:hAnsi="Calibri" w:eastAsia="宋体" w:cs="Times New Roman"/>
      <w:sz w:val="21"/>
      <w:lang w:val="en-US" w:eastAsia="zh-CN" w:bidi="ar-SA"/>
    </w:rPr>
  </w:style>
  <w:style w:type="paragraph" w:customStyle="1" w:styleId="403">
    <w:name w:val="xl95"/>
    <w:basedOn w:val="1"/>
    <w:next w:val="404"/>
    <w:qFormat/>
    <w:uiPriority w:val="0"/>
    <w:pPr>
      <w:widowControl/>
      <w:shd w:val="clear" w:color="000000" w:fill="FFFFFF"/>
      <w:spacing w:before="280" w:after="280"/>
    </w:pPr>
    <w:rPr>
      <w:rFonts w:ascii="宋体" w:hAnsi="Calibri"/>
      <w:kern w:val="0"/>
      <w:sz w:val="20"/>
      <w:szCs w:val="20"/>
    </w:rPr>
  </w:style>
  <w:style w:type="paragraph" w:customStyle="1" w:styleId="404">
    <w:name w:val="toc 415"/>
    <w:next w:val="1"/>
    <w:qFormat/>
    <w:uiPriority w:val="0"/>
    <w:pPr>
      <w:wordWrap w:val="0"/>
      <w:ind w:left="1275"/>
      <w:jc w:val="both"/>
    </w:pPr>
    <w:rPr>
      <w:rFonts w:ascii="Calibri" w:hAnsi="Calibri" w:eastAsia="宋体" w:cs="Times New Roman"/>
      <w:sz w:val="21"/>
      <w:lang w:val="en-US" w:eastAsia="zh-CN" w:bidi="ar-SA"/>
    </w:rPr>
  </w:style>
  <w:style w:type="paragraph" w:customStyle="1" w:styleId="405">
    <w:name w:val="toc 29"/>
    <w:next w:val="1"/>
    <w:qFormat/>
    <w:uiPriority w:val="0"/>
    <w:pPr>
      <w:wordWrap w:val="0"/>
      <w:ind w:left="425"/>
      <w:jc w:val="both"/>
    </w:pPr>
    <w:rPr>
      <w:rFonts w:ascii="Calibri" w:hAnsi="Calibri" w:eastAsia="宋体" w:cs="Times New Roman"/>
      <w:sz w:val="21"/>
      <w:lang w:val="en-US" w:eastAsia="zh-CN" w:bidi="ar-SA"/>
    </w:rPr>
  </w:style>
  <w:style w:type="paragraph" w:customStyle="1" w:styleId="406">
    <w:name w:val="xl67"/>
    <w:basedOn w:val="1"/>
    <w:next w:val="407"/>
    <w:qFormat/>
    <w:uiPriority w:val="0"/>
    <w:pPr>
      <w:widowControl/>
      <w:shd w:val="clear" w:color="000000" w:fill="FFFFFF"/>
      <w:spacing w:before="280" w:after="280"/>
      <w:jc w:val="center"/>
    </w:pPr>
    <w:rPr>
      <w:rFonts w:ascii="宋体" w:hAnsi="Calibri"/>
      <w:b/>
      <w:kern w:val="0"/>
      <w:sz w:val="20"/>
      <w:szCs w:val="20"/>
    </w:rPr>
  </w:style>
  <w:style w:type="paragraph" w:customStyle="1" w:styleId="407">
    <w:name w:val="toc 714"/>
    <w:next w:val="1"/>
    <w:qFormat/>
    <w:uiPriority w:val="0"/>
    <w:pPr>
      <w:wordWrap w:val="0"/>
      <w:ind w:left="2550"/>
      <w:jc w:val="both"/>
    </w:pPr>
    <w:rPr>
      <w:rFonts w:ascii="Calibri" w:hAnsi="Calibri" w:eastAsia="宋体" w:cs="Times New Roman"/>
      <w:sz w:val="21"/>
      <w:lang w:val="en-US" w:eastAsia="zh-CN" w:bidi="ar-SA"/>
    </w:rPr>
  </w:style>
  <w:style w:type="paragraph" w:customStyle="1" w:styleId="408">
    <w:name w:val="toc 21"/>
    <w:next w:val="1"/>
    <w:qFormat/>
    <w:uiPriority w:val="0"/>
    <w:pPr>
      <w:wordWrap w:val="0"/>
      <w:ind w:left="425"/>
      <w:jc w:val="both"/>
    </w:pPr>
    <w:rPr>
      <w:rFonts w:ascii="Calibri" w:hAnsi="Calibri" w:eastAsia="宋体" w:cs="Times New Roman"/>
      <w:sz w:val="21"/>
      <w:lang w:val="en-US" w:eastAsia="zh-CN" w:bidi="ar-SA"/>
    </w:rPr>
  </w:style>
  <w:style w:type="paragraph" w:customStyle="1" w:styleId="409">
    <w:name w:val="正文 A"/>
    <w:next w:val="326"/>
    <w:qFormat/>
    <w:uiPriority w:val="0"/>
    <w:rPr>
      <w:rFonts w:ascii="Arial" w:hAnsi="Calibri" w:eastAsia="Arial Unicode MS" w:cs="Times New Roman"/>
      <w:color w:val="000000"/>
      <w:sz w:val="21"/>
      <w:lang w:val="en-US" w:eastAsia="zh-CN" w:bidi="ar-SA"/>
    </w:rPr>
  </w:style>
  <w:style w:type="paragraph" w:customStyle="1" w:styleId="410">
    <w:name w:val="toc 68"/>
    <w:next w:val="1"/>
    <w:qFormat/>
    <w:uiPriority w:val="0"/>
    <w:pPr>
      <w:wordWrap w:val="0"/>
      <w:ind w:left="2125"/>
      <w:jc w:val="both"/>
    </w:pPr>
    <w:rPr>
      <w:rFonts w:ascii="Calibri" w:hAnsi="Calibri" w:eastAsia="宋体" w:cs="Times New Roman"/>
      <w:sz w:val="21"/>
      <w:lang w:val="en-US" w:eastAsia="zh-CN" w:bidi="ar-SA"/>
    </w:rPr>
  </w:style>
  <w:style w:type="paragraph" w:customStyle="1" w:styleId="411">
    <w:name w:val="toc 58"/>
    <w:next w:val="1"/>
    <w:qFormat/>
    <w:uiPriority w:val="0"/>
    <w:pPr>
      <w:wordWrap w:val="0"/>
      <w:ind w:left="1700"/>
      <w:jc w:val="both"/>
    </w:pPr>
    <w:rPr>
      <w:rFonts w:ascii="Calibri" w:hAnsi="Calibri" w:eastAsia="宋体" w:cs="Times New Roman"/>
      <w:sz w:val="21"/>
      <w:lang w:val="en-US" w:eastAsia="zh-CN" w:bidi="ar-SA"/>
    </w:rPr>
  </w:style>
  <w:style w:type="paragraph" w:customStyle="1" w:styleId="412">
    <w:name w:val="xl88"/>
    <w:basedOn w:val="1"/>
    <w:next w:val="398"/>
    <w:qFormat/>
    <w:uiPriority w:val="0"/>
    <w:pPr>
      <w:widowControl/>
      <w:shd w:val="clear" w:color="000000" w:fill="FFFFFF"/>
      <w:spacing w:before="280" w:after="280"/>
      <w:jc w:val="center"/>
    </w:pPr>
    <w:rPr>
      <w:rFonts w:ascii="宋体" w:hAnsi="Calibri"/>
      <w:kern w:val="0"/>
      <w:sz w:val="20"/>
      <w:szCs w:val="20"/>
    </w:rPr>
  </w:style>
  <w:style w:type="paragraph" w:customStyle="1" w:styleId="413">
    <w:name w:val="toc 71"/>
    <w:next w:val="1"/>
    <w:qFormat/>
    <w:uiPriority w:val="0"/>
    <w:pPr>
      <w:wordWrap w:val="0"/>
      <w:ind w:left="2550"/>
      <w:jc w:val="both"/>
    </w:pPr>
    <w:rPr>
      <w:rFonts w:ascii="Calibri" w:hAnsi="Calibri" w:eastAsia="宋体" w:cs="Times New Roman"/>
      <w:sz w:val="21"/>
      <w:lang w:val="en-US" w:eastAsia="zh-CN" w:bidi="ar-SA"/>
    </w:rPr>
  </w:style>
  <w:style w:type="paragraph" w:customStyle="1" w:styleId="414">
    <w:name w:val="xl100"/>
    <w:basedOn w:val="1"/>
    <w:next w:val="415"/>
    <w:qFormat/>
    <w:uiPriority w:val="0"/>
    <w:pPr>
      <w:widowControl/>
      <w:shd w:val="clear" w:color="000000" w:fill="FFFFFF"/>
      <w:spacing w:before="280" w:after="280"/>
    </w:pPr>
    <w:rPr>
      <w:rFonts w:ascii="宋体" w:hAnsi="Calibri"/>
      <w:kern w:val="0"/>
      <w:sz w:val="20"/>
      <w:szCs w:val="20"/>
    </w:rPr>
  </w:style>
  <w:style w:type="paragraph" w:customStyle="1" w:styleId="415">
    <w:name w:val="toc 510"/>
    <w:next w:val="1"/>
    <w:qFormat/>
    <w:uiPriority w:val="0"/>
    <w:pPr>
      <w:wordWrap w:val="0"/>
      <w:ind w:left="1700"/>
      <w:jc w:val="both"/>
    </w:pPr>
    <w:rPr>
      <w:rFonts w:ascii="Calibri" w:hAnsi="Calibri" w:eastAsia="宋体" w:cs="Times New Roman"/>
      <w:sz w:val="21"/>
      <w:lang w:val="en-US" w:eastAsia="zh-CN" w:bidi="ar-SA"/>
    </w:rPr>
  </w:style>
  <w:style w:type="paragraph" w:customStyle="1" w:styleId="416">
    <w:name w:val="toc 314"/>
    <w:next w:val="1"/>
    <w:qFormat/>
    <w:uiPriority w:val="0"/>
    <w:pPr>
      <w:wordWrap w:val="0"/>
      <w:ind w:left="850"/>
      <w:jc w:val="both"/>
    </w:pPr>
    <w:rPr>
      <w:rFonts w:ascii="Calibri" w:hAnsi="Calibri" w:eastAsia="宋体" w:cs="Times New Roman"/>
      <w:sz w:val="21"/>
      <w:lang w:val="en-US" w:eastAsia="zh-CN" w:bidi="ar-SA"/>
    </w:rPr>
  </w:style>
  <w:style w:type="paragraph" w:customStyle="1" w:styleId="417">
    <w:name w:val="xl114"/>
    <w:basedOn w:val="1"/>
    <w:next w:val="269"/>
    <w:qFormat/>
    <w:uiPriority w:val="0"/>
    <w:pPr>
      <w:widowControl/>
      <w:shd w:val="clear" w:color="000000" w:fill="FFFFFF"/>
      <w:spacing w:before="280" w:after="280"/>
      <w:jc w:val="center"/>
    </w:pPr>
    <w:rPr>
      <w:rFonts w:ascii="宋体" w:hAnsi="Calibri"/>
      <w:b/>
      <w:kern w:val="0"/>
      <w:sz w:val="20"/>
      <w:szCs w:val="20"/>
    </w:rPr>
  </w:style>
  <w:style w:type="paragraph" w:customStyle="1" w:styleId="418">
    <w:name w:val="xl107"/>
    <w:basedOn w:val="1"/>
    <w:next w:val="419"/>
    <w:qFormat/>
    <w:uiPriority w:val="0"/>
    <w:pPr>
      <w:widowControl/>
      <w:shd w:val="clear" w:color="000000" w:fill="FFFFFF"/>
      <w:spacing w:before="280" w:after="280"/>
    </w:pPr>
    <w:rPr>
      <w:rFonts w:ascii="宋体" w:hAnsi="Calibri"/>
      <w:kern w:val="0"/>
      <w:sz w:val="20"/>
      <w:szCs w:val="20"/>
    </w:rPr>
  </w:style>
  <w:style w:type="paragraph" w:customStyle="1" w:styleId="419">
    <w:name w:val="toc 610"/>
    <w:next w:val="1"/>
    <w:qFormat/>
    <w:uiPriority w:val="0"/>
    <w:pPr>
      <w:wordWrap w:val="0"/>
      <w:ind w:left="2125"/>
      <w:jc w:val="both"/>
    </w:pPr>
    <w:rPr>
      <w:rFonts w:ascii="Calibri" w:hAnsi="Calibri" w:eastAsia="宋体" w:cs="Times New Roman"/>
      <w:sz w:val="21"/>
      <w:lang w:val="en-US" w:eastAsia="zh-CN" w:bidi="ar-SA"/>
    </w:rPr>
  </w:style>
  <w:style w:type="paragraph" w:customStyle="1" w:styleId="420">
    <w:name w:val="toc 22"/>
    <w:next w:val="1"/>
    <w:qFormat/>
    <w:uiPriority w:val="0"/>
    <w:pPr>
      <w:wordWrap w:val="0"/>
      <w:ind w:left="425"/>
      <w:jc w:val="both"/>
    </w:pPr>
    <w:rPr>
      <w:rFonts w:ascii="Calibri" w:hAnsi="Calibri" w:eastAsia="宋体" w:cs="Times New Roman"/>
      <w:sz w:val="21"/>
      <w:lang w:val="en-US" w:eastAsia="zh-CN" w:bidi="ar-SA"/>
    </w:rPr>
  </w:style>
  <w:style w:type="paragraph" w:customStyle="1" w:styleId="421">
    <w:name w:val="xl90"/>
    <w:basedOn w:val="1"/>
    <w:next w:val="223"/>
    <w:qFormat/>
    <w:uiPriority w:val="0"/>
    <w:pPr>
      <w:widowControl/>
      <w:shd w:val="clear" w:color="000000" w:fill="FFFFFF"/>
      <w:spacing w:before="280" w:after="280"/>
    </w:pPr>
    <w:rPr>
      <w:rFonts w:ascii="宋体" w:hAnsi="Calibri"/>
      <w:kern w:val="0"/>
      <w:sz w:val="18"/>
      <w:szCs w:val="20"/>
    </w:rPr>
  </w:style>
  <w:style w:type="paragraph" w:customStyle="1" w:styleId="422">
    <w:name w:val="toc 616"/>
    <w:next w:val="1"/>
    <w:qFormat/>
    <w:uiPriority w:val="0"/>
    <w:pPr>
      <w:wordWrap w:val="0"/>
      <w:ind w:left="2125"/>
      <w:jc w:val="both"/>
    </w:pPr>
    <w:rPr>
      <w:rFonts w:ascii="Calibri" w:hAnsi="Calibri" w:eastAsia="宋体" w:cs="Times New Roman"/>
      <w:sz w:val="21"/>
      <w:lang w:val="en-US" w:eastAsia="zh-CN" w:bidi="ar-SA"/>
    </w:rPr>
  </w:style>
  <w:style w:type="paragraph" w:customStyle="1" w:styleId="423">
    <w:name w:val="toc 96"/>
    <w:next w:val="1"/>
    <w:qFormat/>
    <w:uiPriority w:val="0"/>
    <w:pPr>
      <w:wordWrap w:val="0"/>
      <w:ind w:left="3400"/>
      <w:jc w:val="both"/>
    </w:pPr>
    <w:rPr>
      <w:rFonts w:ascii="Calibri" w:hAnsi="Calibri" w:eastAsia="宋体" w:cs="Times New Roman"/>
      <w:sz w:val="21"/>
      <w:lang w:val="en-US" w:eastAsia="zh-CN" w:bidi="ar-SA"/>
    </w:rPr>
  </w:style>
  <w:style w:type="paragraph" w:customStyle="1" w:styleId="424">
    <w:name w:val="toc 42"/>
    <w:next w:val="1"/>
    <w:qFormat/>
    <w:uiPriority w:val="0"/>
    <w:pPr>
      <w:wordWrap w:val="0"/>
      <w:ind w:left="1275"/>
      <w:jc w:val="both"/>
    </w:pPr>
    <w:rPr>
      <w:rFonts w:ascii="Calibri" w:hAnsi="Calibri" w:eastAsia="宋体" w:cs="Times New Roman"/>
      <w:sz w:val="21"/>
      <w:lang w:val="en-US" w:eastAsia="zh-CN" w:bidi="ar-SA"/>
    </w:rPr>
  </w:style>
  <w:style w:type="paragraph" w:customStyle="1" w:styleId="425">
    <w:name w:val="xl117"/>
    <w:basedOn w:val="1"/>
    <w:next w:val="322"/>
    <w:qFormat/>
    <w:uiPriority w:val="0"/>
    <w:pPr>
      <w:widowControl/>
      <w:shd w:val="clear" w:color="000000" w:fill="FFFFFF"/>
      <w:spacing w:before="280" w:after="280"/>
      <w:jc w:val="center"/>
    </w:pPr>
    <w:rPr>
      <w:rFonts w:ascii="Arial Narrow" w:hAnsi="Calibri"/>
      <w:kern w:val="0"/>
      <w:sz w:val="24"/>
      <w:szCs w:val="20"/>
    </w:rPr>
  </w:style>
  <w:style w:type="paragraph" w:customStyle="1" w:styleId="426">
    <w:name w:val="p15"/>
    <w:basedOn w:val="1"/>
    <w:next w:val="247"/>
    <w:qFormat/>
    <w:uiPriority w:val="0"/>
    <w:pPr>
      <w:widowControl/>
      <w:ind w:firstLine="420"/>
    </w:pPr>
    <w:rPr>
      <w:rFonts w:hAnsi="Calibri"/>
      <w:kern w:val="0"/>
      <w:szCs w:val="20"/>
    </w:rPr>
  </w:style>
  <w:style w:type="paragraph" w:customStyle="1" w:styleId="427">
    <w:name w:val="xl87"/>
    <w:basedOn w:val="1"/>
    <w:next w:val="428"/>
    <w:qFormat/>
    <w:uiPriority w:val="0"/>
    <w:pPr>
      <w:widowControl/>
      <w:shd w:val="clear" w:color="000000" w:fill="FFFFFF"/>
      <w:spacing w:before="280" w:after="280"/>
    </w:pPr>
    <w:rPr>
      <w:rFonts w:ascii="Arial" w:hAnsi="Calibri"/>
      <w:kern w:val="0"/>
      <w:sz w:val="18"/>
      <w:szCs w:val="20"/>
    </w:rPr>
  </w:style>
  <w:style w:type="paragraph" w:customStyle="1" w:styleId="428">
    <w:name w:val="toc 98"/>
    <w:next w:val="1"/>
    <w:qFormat/>
    <w:uiPriority w:val="0"/>
    <w:pPr>
      <w:wordWrap w:val="0"/>
      <w:ind w:left="3400"/>
      <w:jc w:val="both"/>
    </w:pPr>
    <w:rPr>
      <w:rFonts w:ascii="Calibri" w:hAnsi="Calibri" w:eastAsia="宋体" w:cs="Times New Roman"/>
      <w:sz w:val="21"/>
      <w:lang w:val="en-US" w:eastAsia="zh-CN" w:bidi="ar-SA"/>
    </w:rPr>
  </w:style>
  <w:style w:type="paragraph" w:customStyle="1" w:styleId="429">
    <w:name w:val="列出段落7"/>
    <w:basedOn w:val="1"/>
    <w:next w:val="411"/>
    <w:qFormat/>
    <w:uiPriority w:val="0"/>
    <w:pPr>
      <w:ind w:firstLine="420"/>
    </w:pPr>
    <w:rPr>
      <w:rFonts w:hAnsi="Calibri"/>
      <w:kern w:val="0"/>
      <w:szCs w:val="20"/>
    </w:rPr>
  </w:style>
  <w:style w:type="paragraph" w:customStyle="1" w:styleId="430">
    <w:name w:val="xl78"/>
    <w:basedOn w:val="1"/>
    <w:next w:val="401"/>
    <w:qFormat/>
    <w:uiPriority w:val="0"/>
    <w:pPr>
      <w:widowControl/>
      <w:shd w:val="clear" w:color="000000" w:fill="FFFFFF"/>
      <w:spacing w:before="280" w:after="280"/>
    </w:pPr>
    <w:rPr>
      <w:rFonts w:ascii="宋体" w:hAnsi="Calibri"/>
      <w:b/>
      <w:kern w:val="0"/>
      <w:sz w:val="20"/>
      <w:szCs w:val="20"/>
    </w:rPr>
  </w:style>
  <w:style w:type="paragraph" w:customStyle="1" w:styleId="431">
    <w:name w:val="toc 516"/>
    <w:next w:val="1"/>
    <w:qFormat/>
    <w:uiPriority w:val="0"/>
    <w:pPr>
      <w:wordWrap w:val="0"/>
      <w:ind w:left="1700"/>
      <w:jc w:val="both"/>
    </w:pPr>
    <w:rPr>
      <w:rFonts w:ascii="Calibri" w:hAnsi="Calibri" w:eastAsia="宋体" w:cs="Times New Roman"/>
      <w:sz w:val="21"/>
      <w:lang w:val="en-US" w:eastAsia="zh-CN" w:bidi="ar-SA"/>
    </w:rPr>
  </w:style>
  <w:style w:type="paragraph" w:customStyle="1" w:styleId="432">
    <w:name w:val="xl89"/>
    <w:basedOn w:val="1"/>
    <w:next w:val="366"/>
    <w:qFormat/>
    <w:uiPriority w:val="0"/>
    <w:pPr>
      <w:widowControl/>
      <w:shd w:val="clear" w:color="000000" w:fill="FFFFFF"/>
      <w:spacing w:before="280" w:after="280"/>
    </w:pPr>
    <w:rPr>
      <w:rFonts w:ascii="宋体" w:hAnsi="Calibri"/>
      <w:kern w:val="0"/>
      <w:sz w:val="20"/>
      <w:szCs w:val="20"/>
    </w:rPr>
  </w:style>
  <w:style w:type="paragraph" w:customStyle="1" w:styleId="433">
    <w:name w:val="toc 910"/>
    <w:next w:val="1"/>
    <w:qFormat/>
    <w:uiPriority w:val="0"/>
    <w:pPr>
      <w:wordWrap w:val="0"/>
      <w:ind w:left="3400"/>
      <w:jc w:val="both"/>
    </w:pPr>
    <w:rPr>
      <w:rFonts w:ascii="Calibri" w:hAnsi="Calibri" w:eastAsia="宋体" w:cs="Times New Roman"/>
      <w:sz w:val="21"/>
      <w:lang w:val="en-US" w:eastAsia="zh-CN" w:bidi="ar-SA"/>
    </w:rPr>
  </w:style>
  <w:style w:type="paragraph" w:customStyle="1" w:styleId="434">
    <w:name w:val="toc 34"/>
    <w:next w:val="1"/>
    <w:qFormat/>
    <w:uiPriority w:val="0"/>
    <w:pPr>
      <w:wordWrap w:val="0"/>
      <w:ind w:left="850"/>
      <w:jc w:val="both"/>
    </w:pPr>
    <w:rPr>
      <w:rFonts w:ascii="Calibri" w:hAnsi="Calibri" w:eastAsia="宋体" w:cs="Times New Roman"/>
      <w:sz w:val="21"/>
      <w:lang w:val="en-US" w:eastAsia="zh-CN" w:bidi="ar-SA"/>
    </w:rPr>
  </w:style>
  <w:style w:type="paragraph" w:customStyle="1" w:styleId="435">
    <w:name w:val="toc 816"/>
    <w:next w:val="1"/>
    <w:qFormat/>
    <w:uiPriority w:val="0"/>
    <w:pPr>
      <w:wordWrap w:val="0"/>
      <w:ind w:left="2975"/>
      <w:jc w:val="both"/>
    </w:pPr>
    <w:rPr>
      <w:rFonts w:ascii="Calibri" w:hAnsi="Calibri" w:eastAsia="宋体" w:cs="Times New Roman"/>
      <w:sz w:val="21"/>
      <w:lang w:val="en-US" w:eastAsia="zh-CN" w:bidi="ar-SA"/>
    </w:rPr>
  </w:style>
  <w:style w:type="paragraph" w:customStyle="1" w:styleId="436">
    <w:name w:val="toc 43"/>
    <w:next w:val="1"/>
    <w:qFormat/>
    <w:uiPriority w:val="0"/>
    <w:pPr>
      <w:wordWrap w:val="0"/>
      <w:ind w:left="1275"/>
      <w:jc w:val="both"/>
    </w:pPr>
    <w:rPr>
      <w:rFonts w:ascii="Calibri" w:hAnsi="Calibri" w:eastAsia="宋体" w:cs="Times New Roman"/>
      <w:sz w:val="21"/>
      <w:lang w:val="en-US" w:eastAsia="zh-CN" w:bidi="ar-SA"/>
    </w:rPr>
  </w:style>
  <w:style w:type="paragraph" w:customStyle="1" w:styleId="437">
    <w:name w:val="toc 16"/>
    <w:next w:val="1"/>
    <w:qFormat/>
    <w:uiPriority w:val="0"/>
    <w:pPr>
      <w:wordWrap w:val="0"/>
      <w:jc w:val="both"/>
    </w:pPr>
    <w:rPr>
      <w:rFonts w:ascii="Calibri" w:hAnsi="Calibri" w:eastAsia="宋体" w:cs="Times New Roman"/>
      <w:sz w:val="21"/>
      <w:lang w:val="en-US" w:eastAsia="zh-CN" w:bidi="ar-SA"/>
    </w:rPr>
  </w:style>
  <w:style w:type="paragraph" w:styleId="438">
    <w:name w:val="Quote"/>
    <w:next w:val="1"/>
    <w:link w:val="439"/>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439">
    <w:name w:val="引用 字符"/>
    <w:basedOn w:val="46"/>
    <w:link w:val="438"/>
    <w:qFormat/>
    <w:uiPriority w:val="0"/>
    <w:rPr>
      <w:rFonts w:ascii="Calibri" w:hAnsi="Calibri"/>
      <w:i/>
      <w:sz w:val="21"/>
    </w:rPr>
  </w:style>
  <w:style w:type="paragraph" w:customStyle="1" w:styleId="440">
    <w:name w:val="toc 114"/>
    <w:next w:val="1"/>
    <w:qFormat/>
    <w:uiPriority w:val="0"/>
    <w:pPr>
      <w:wordWrap w:val="0"/>
      <w:jc w:val="both"/>
    </w:pPr>
    <w:rPr>
      <w:rFonts w:ascii="Calibri" w:hAnsi="Calibri" w:eastAsia="宋体" w:cs="Times New Roman"/>
      <w:sz w:val="21"/>
      <w:lang w:val="en-US" w:eastAsia="zh-CN" w:bidi="ar-SA"/>
    </w:rPr>
  </w:style>
  <w:style w:type="paragraph" w:customStyle="1" w:styleId="441">
    <w:name w:val="xl119"/>
    <w:basedOn w:val="1"/>
    <w:next w:val="416"/>
    <w:qFormat/>
    <w:uiPriority w:val="0"/>
    <w:pPr>
      <w:widowControl/>
      <w:shd w:val="clear" w:color="000000" w:fill="FFFFFF"/>
      <w:spacing w:before="280" w:after="280"/>
      <w:jc w:val="center"/>
    </w:pPr>
    <w:rPr>
      <w:rFonts w:ascii="宋体" w:hAnsi="Calibri"/>
      <w:b/>
      <w:kern w:val="0"/>
      <w:sz w:val="20"/>
      <w:szCs w:val="20"/>
    </w:rPr>
  </w:style>
  <w:style w:type="paragraph" w:customStyle="1" w:styleId="442">
    <w:name w:val="toc 37"/>
    <w:next w:val="1"/>
    <w:qFormat/>
    <w:uiPriority w:val="0"/>
    <w:pPr>
      <w:wordWrap w:val="0"/>
      <w:ind w:left="850"/>
      <w:jc w:val="both"/>
    </w:pPr>
    <w:rPr>
      <w:rFonts w:ascii="Calibri" w:hAnsi="Calibri" w:eastAsia="宋体" w:cs="Times New Roman"/>
      <w:sz w:val="21"/>
      <w:lang w:val="en-US" w:eastAsia="zh-CN" w:bidi="ar-SA"/>
    </w:rPr>
  </w:style>
  <w:style w:type="paragraph" w:customStyle="1" w:styleId="443">
    <w:name w:val="xl109"/>
    <w:basedOn w:val="1"/>
    <w:next w:val="389"/>
    <w:qFormat/>
    <w:uiPriority w:val="0"/>
    <w:pPr>
      <w:widowControl/>
      <w:shd w:val="clear" w:color="000000" w:fill="FFFFFF"/>
      <w:spacing w:before="280" w:after="280"/>
    </w:pPr>
    <w:rPr>
      <w:rFonts w:ascii="宋体" w:hAnsi="Calibri"/>
      <w:kern w:val="0"/>
      <w:sz w:val="20"/>
      <w:szCs w:val="20"/>
    </w:rPr>
  </w:style>
  <w:style w:type="paragraph" w:customStyle="1" w:styleId="444">
    <w:name w:val="toc 215"/>
    <w:next w:val="1"/>
    <w:qFormat/>
    <w:uiPriority w:val="0"/>
    <w:pPr>
      <w:wordWrap w:val="0"/>
      <w:ind w:left="425"/>
      <w:jc w:val="both"/>
    </w:pPr>
    <w:rPr>
      <w:rFonts w:ascii="Calibri" w:hAnsi="Calibri" w:eastAsia="宋体" w:cs="Times New Roman"/>
      <w:sz w:val="21"/>
      <w:lang w:val="en-US" w:eastAsia="zh-CN" w:bidi="ar-SA"/>
    </w:rPr>
  </w:style>
  <w:style w:type="paragraph" w:customStyle="1" w:styleId="445">
    <w:name w:val="xl76"/>
    <w:basedOn w:val="1"/>
    <w:next w:val="397"/>
    <w:qFormat/>
    <w:uiPriority w:val="0"/>
    <w:pPr>
      <w:widowControl/>
      <w:shd w:val="clear" w:color="000000" w:fill="FFFFFF"/>
      <w:spacing w:before="280" w:after="280"/>
      <w:jc w:val="center"/>
    </w:pPr>
    <w:rPr>
      <w:rFonts w:ascii="宋体" w:hAnsi="Calibri"/>
      <w:b/>
      <w:kern w:val="0"/>
      <w:sz w:val="20"/>
      <w:szCs w:val="20"/>
    </w:rPr>
  </w:style>
  <w:style w:type="paragraph" w:customStyle="1" w:styleId="446">
    <w:name w:val="toc 92"/>
    <w:next w:val="1"/>
    <w:qFormat/>
    <w:uiPriority w:val="0"/>
    <w:pPr>
      <w:wordWrap w:val="0"/>
      <w:ind w:left="3400"/>
      <w:jc w:val="both"/>
    </w:pPr>
    <w:rPr>
      <w:rFonts w:ascii="Calibri" w:hAnsi="Calibri" w:eastAsia="宋体" w:cs="Times New Roman"/>
      <w:sz w:val="21"/>
      <w:lang w:val="en-US" w:eastAsia="zh-CN" w:bidi="ar-SA"/>
    </w:rPr>
  </w:style>
  <w:style w:type="paragraph" w:customStyle="1" w:styleId="447">
    <w:name w:val="toc 216"/>
    <w:next w:val="1"/>
    <w:qFormat/>
    <w:uiPriority w:val="0"/>
    <w:pPr>
      <w:wordWrap w:val="0"/>
      <w:ind w:left="425"/>
      <w:jc w:val="both"/>
    </w:pPr>
    <w:rPr>
      <w:rFonts w:ascii="Calibri" w:hAnsi="Calibri" w:eastAsia="宋体" w:cs="Times New Roman"/>
      <w:sz w:val="21"/>
      <w:lang w:val="en-US" w:eastAsia="zh-CN" w:bidi="ar-SA"/>
    </w:rPr>
  </w:style>
  <w:style w:type="paragraph" w:customStyle="1" w:styleId="448">
    <w:name w:val="xl70"/>
    <w:basedOn w:val="1"/>
    <w:next w:val="374"/>
    <w:qFormat/>
    <w:uiPriority w:val="0"/>
    <w:pPr>
      <w:widowControl/>
      <w:shd w:val="clear" w:color="000000" w:fill="FFFFFF"/>
      <w:spacing w:before="280" w:after="280"/>
    </w:pPr>
    <w:rPr>
      <w:rFonts w:ascii="宋体" w:hAnsi="Calibri"/>
      <w:kern w:val="0"/>
      <w:sz w:val="20"/>
      <w:szCs w:val="20"/>
    </w:rPr>
  </w:style>
  <w:style w:type="paragraph" w:customStyle="1" w:styleId="449">
    <w:name w:val="toc 33"/>
    <w:next w:val="1"/>
    <w:qFormat/>
    <w:uiPriority w:val="0"/>
    <w:pPr>
      <w:wordWrap w:val="0"/>
      <w:ind w:left="850"/>
      <w:jc w:val="both"/>
    </w:pPr>
    <w:rPr>
      <w:rFonts w:ascii="Calibri" w:hAnsi="Calibri" w:eastAsia="宋体" w:cs="Times New Roman"/>
      <w:sz w:val="21"/>
      <w:lang w:val="en-US" w:eastAsia="zh-CN" w:bidi="ar-SA"/>
    </w:rPr>
  </w:style>
  <w:style w:type="paragraph" w:customStyle="1" w:styleId="450">
    <w:name w:val="toc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51">
    <w:name w:val="xl98"/>
    <w:basedOn w:val="1"/>
    <w:next w:val="392"/>
    <w:qFormat/>
    <w:uiPriority w:val="0"/>
    <w:pPr>
      <w:widowControl/>
      <w:shd w:val="clear" w:color="000000" w:fill="FFFFFF"/>
      <w:spacing w:before="280" w:after="280"/>
      <w:jc w:val="center"/>
    </w:pPr>
    <w:rPr>
      <w:rFonts w:ascii="宋体" w:hAnsi="Calibri"/>
      <w:kern w:val="0"/>
      <w:sz w:val="20"/>
      <w:szCs w:val="20"/>
    </w:rPr>
  </w:style>
  <w:style w:type="paragraph" w:customStyle="1" w:styleId="452">
    <w:name w:val="toc 26"/>
    <w:next w:val="1"/>
    <w:qFormat/>
    <w:uiPriority w:val="0"/>
    <w:pPr>
      <w:wordWrap w:val="0"/>
      <w:ind w:left="425"/>
      <w:jc w:val="both"/>
    </w:pPr>
    <w:rPr>
      <w:rFonts w:ascii="Calibri" w:hAnsi="Calibri" w:eastAsia="宋体" w:cs="Times New Roman"/>
      <w:sz w:val="21"/>
      <w:lang w:val="en-US" w:eastAsia="zh-CN" w:bidi="ar-SA"/>
    </w:rPr>
  </w:style>
  <w:style w:type="paragraph" w:customStyle="1" w:styleId="453">
    <w:name w:val="toc 13"/>
    <w:next w:val="1"/>
    <w:qFormat/>
    <w:uiPriority w:val="0"/>
    <w:pPr>
      <w:wordWrap w:val="0"/>
      <w:jc w:val="both"/>
    </w:pPr>
    <w:rPr>
      <w:rFonts w:ascii="Calibri" w:hAnsi="Calibri" w:eastAsia="宋体" w:cs="Times New Roman"/>
      <w:sz w:val="21"/>
      <w:lang w:val="en-US" w:eastAsia="zh-CN" w:bidi="ar-SA"/>
    </w:rPr>
  </w:style>
  <w:style w:type="paragraph" w:customStyle="1" w:styleId="454">
    <w:name w:val="目录 51"/>
    <w:next w:val="1"/>
    <w:qFormat/>
    <w:uiPriority w:val="0"/>
    <w:pPr>
      <w:wordWrap w:val="0"/>
      <w:ind w:left="1700"/>
      <w:jc w:val="both"/>
    </w:pPr>
    <w:rPr>
      <w:rFonts w:ascii="Calibri" w:hAnsi="Calibri" w:eastAsia="宋体" w:cs="Times New Roman"/>
      <w:sz w:val="21"/>
      <w:lang w:val="en-US" w:eastAsia="zh-CN" w:bidi="ar-SA"/>
    </w:rPr>
  </w:style>
  <w:style w:type="paragraph" w:customStyle="1" w:styleId="455">
    <w:name w:val="xl101"/>
    <w:basedOn w:val="1"/>
    <w:next w:val="423"/>
    <w:qFormat/>
    <w:uiPriority w:val="0"/>
    <w:pPr>
      <w:widowControl/>
      <w:spacing w:before="280" w:after="280"/>
    </w:pPr>
    <w:rPr>
      <w:rFonts w:ascii="宋体" w:hAnsi="Calibri"/>
      <w:kern w:val="0"/>
      <w:sz w:val="20"/>
      <w:szCs w:val="20"/>
    </w:rPr>
  </w:style>
  <w:style w:type="paragraph" w:customStyle="1" w:styleId="456">
    <w:name w:val="toc 75"/>
    <w:next w:val="1"/>
    <w:qFormat/>
    <w:uiPriority w:val="0"/>
    <w:pPr>
      <w:wordWrap w:val="0"/>
      <w:ind w:left="2550"/>
      <w:jc w:val="both"/>
    </w:pPr>
    <w:rPr>
      <w:rFonts w:ascii="Calibri" w:hAnsi="Calibri" w:eastAsia="宋体" w:cs="Times New Roman"/>
      <w:sz w:val="21"/>
      <w:lang w:val="en-US" w:eastAsia="zh-CN" w:bidi="ar-SA"/>
    </w:rPr>
  </w:style>
  <w:style w:type="paragraph" w:customStyle="1" w:styleId="457">
    <w:name w:val="toc 715"/>
    <w:next w:val="1"/>
    <w:qFormat/>
    <w:uiPriority w:val="0"/>
    <w:pPr>
      <w:wordWrap w:val="0"/>
      <w:ind w:left="2550"/>
      <w:jc w:val="both"/>
    </w:pPr>
    <w:rPr>
      <w:rFonts w:ascii="Calibri" w:hAnsi="Calibri" w:eastAsia="宋体" w:cs="Times New Roman"/>
      <w:sz w:val="21"/>
      <w:lang w:val="en-US" w:eastAsia="zh-CN" w:bidi="ar-SA"/>
    </w:rPr>
  </w:style>
  <w:style w:type="paragraph" w:styleId="458">
    <w:name w:val="Intense Quote"/>
    <w:next w:val="1"/>
    <w:link w:val="459"/>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459">
    <w:name w:val="明显引用 字符"/>
    <w:basedOn w:val="46"/>
    <w:link w:val="458"/>
    <w:qFormat/>
    <w:uiPriority w:val="0"/>
    <w:rPr>
      <w:rFonts w:ascii="Calibri" w:hAnsi="Calibri"/>
      <w:i/>
      <w:sz w:val="21"/>
    </w:rPr>
  </w:style>
  <w:style w:type="paragraph" w:customStyle="1" w:styleId="460">
    <w:name w:val="Char Char Char Char Char Char Char"/>
    <w:basedOn w:val="1"/>
    <w:next w:val="444"/>
    <w:qFormat/>
    <w:uiPriority w:val="0"/>
    <w:pPr>
      <w:widowControl/>
      <w:spacing w:after="160" w:line="240" w:lineRule="exact"/>
    </w:pPr>
    <w:rPr>
      <w:rFonts w:hAnsi="Calibri"/>
      <w:kern w:val="0"/>
      <w:szCs w:val="20"/>
    </w:rPr>
  </w:style>
  <w:style w:type="paragraph" w:customStyle="1" w:styleId="461">
    <w:name w:val="toc 23"/>
    <w:next w:val="1"/>
    <w:qFormat/>
    <w:uiPriority w:val="0"/>
    <w:pPr>
      <w:wordWrap w:val="0"/>
      <w:ind w:left="425"/>
      <w:jc w:val="both"/>
    </w:pPr>
    <w:rPr>
      <w:rFonts w:ascii="Calibri" w:hAnsi="Calibri" w:eastAsia="宋体" w:cs="Times New Roman"/>
      <w:sz w:val="21"/>
      <w:lang w:val="en-US" w:eastAsia="zh-CN" w:bidi="ar-SA"/>
    </w:rPr>
  </w:style>
  <w:style w:type="paragraph" w:customStyle="1" w:styleId="462">
    <w:name w:val="目录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63">
    <w:name w:val="toc 97"/>
    <w:next w:val="1"/>
    <w:qFormat/>
    <w:uiPriority w:val="0"/>
    <w:pPr>
      <w:wordWrap w:val="0"/>
      <w:ind w:left="3400"/>
      <w:jc w:val="both"/>
    </w:pPr>
    <w:rPr>
      <w:rFonts w:ascii="Calibri" w:hAnsi="Calibri" w:eastAsia="宋体" w:cs="Times New Roman"/>
      <w:sz w:val="21"/>
      <w:lang w:val="en-US" w:eastAsia="zh-CN" w:bidi="ar-SA"/>
    </w:rPr>
  </w:style>
  <w:style w:type="paragraph" w:customStyle="1" w:styleId="464">
    <w:name w:val="toc 74"/>
    <w:next w:val="1"/>
    <w:qFormat/>
    <w:uiPriority w:val="0"/>
    <w:pPr>
      <w:wordWrap w:val="0"/>
      <w:ind w:left="2550"/>
      <w:jc w:val="both"/>
    </w:pPr>
    <w:rPr>
      <w:rFonts w:ascii="Calibri" w:hAnsi="Calibri" w:eastAsia="宋体" w:cs="Times New Roman"/>
      <w:sz w:val="21"/>
      <w:lang w:val="en-US" w:eastAsia="zh-CN" w:bidi="ar-SA"/>
    </w:rPr>
  </w:style>
  <w:style w:type="paragraph" w:customStyle="1" w:styleId="465">
    <w:name w:val="xl64"/>
    <w:basedOn w:val="1"/>
    <w:next w:val="440"/>
    <w:qFormat/>
    <w:uiPriority w:val="0"/>
    <w:pPr>
      <w:widowControl/>
      <w:shd w:val="clear" w:color="000000" w:fill="FFFFFF"/>
      <w:spacing w:before="280" w:after="280"/>
    </w:pPr>
    <w:rPr>
      <w:rFonts w:ascii="宋体" w:hAnsi="Calibri"/>
      <w:kern w:val="0"/>
      <w:sz w:val="20"/>
      <w:szCs w:val="20"/>
    </w:rPr>
  </w:style>
  <w:style w:type="paragraph" w:customStyle="1" w:styleId="466">
    <w:name w:val="xl82"/>
    <w:basedOn w:val="1"/>
    <w:next w:val="285"/>
    <w:qFormat/>
    <w:uiPriority w:val="0"/>
    <w:pPr>
      <w:widowControl/>
      <w:shd w:val="clear" w:color="000000" w:fill="FFFFFF"/>
      <w:spacing w:before="280" w:after="280"/>
    </w:pPr>
    <w:rPr>
      <w:rFonts w:ascii="宋体" w:hAnsi="Calibri"/>
      <w:kern w:val="0"/>
      <w:sz w:val="20"/>
      <w:szCs w:val="20"/>
    </w:rPr>
  </w:style>
  <w:style w:type="paragraph" w:customStyle="1" w:styleId="467">
    <w:name w:val="toc 32"/>
    <w:next w:val="1"/>
    <w:qFormat/>
    <w:uiPriority w:val="0"/>
    <w:pPr>
      <w:wordWrap w:val="0"/>
      <w:ind w:left="850"/>
      <w:jc w:val="both"/>
    </w:pPr>
    <w:rPr>
      <w:rFonts w:ascii="Calibri" w:hAnsi="Calibri" w:eastAsia="宋体" w:cs="Times New Roman"/>
      <w:sz w:val="21"/>
      <w:lang w:val="en-US" w:eastAsia="zh-CN" w:bidi="ar-SA"/>
    </w:rPr>
  </w:style>
  <w:style w:type="paragraph" w:customStyle="1" w:styleId="468">
    <w:name w:val="xl77"/>
    <w:basedOn w:val="1"/>
    <w:next w:val="433"/>
    <w:qFormat/>
    <w:uiPriority w:val="0"/>
    <w:pPr>
      <w:widowControl/>
      <w:shd w:val="clear" w:color="000000" w:fill="FFFFFF"/>
      <w:spacing w:before="280" w:after="280"/>
      <w:jc w:val="center"/>
    </w:pPr>
    <w:rPr>
      <w:rFonts w:ascii="宋体" w:hAnsi="Calibri"/>
      <w:kern w:val="0"/>
      <w:sz w:val="20"/>
      <w:szCs w:val="20"/>
    </w:rPr>
  </w:style>
  <w:style w:type="character" w:customStyle="1" w:styleId="469">
    <w:name w:val="正文缩进 Char1"/>
    <w:qFormat/>
    <w:uiPriority w:val="0"/>
    <w:rPr>
      <w:rFonts w:eastAsia="宋体"/>
      <w:kern w:val="2"/>
      <w:sz w:val="21"/>
      <w:lang w:val="en-US" w:eastAsia="zh-CN" w:bidi="ar-SA"/>
    </w:rPr>
  </w:style>
  <w:style w:type="character" w:customStyle="1" w:styleId="470">
    <w:name w:val="fielderror"/>
    <w:basedOn w:val="46"/>
    <w:qFormat/>
    <w:uiPriority w:val="0"/>
    <w:rPr>
      <w:color w:val="800000"/>
    </w:rPr>
  </w:style>
  <w:style w:type="character" w:customStyle="1" w:styleId="471">
    <w:name w:val="hilite6"/>
    <w:basedOn w:val="46"/>
    <w:qFormat/>
    <w:uiPriority w:val="0"/>
    <w:rPr>
      <w:color w:val="000000"/>
    </w:rPr>
  </w:style>
  <w:style w:type="character" w:customStyle="1" w:styleId="472">
    <w:name w:val="active6"/>
    <w:basedOn w:val="46"/>
    <w:qFormat/>
    <w:uiPriority w:val="0"/>
    <w:rPr>
      <w:color w:val="FFFFFF"/>
    </w:rPr>
  </w:style>
  <w:style w:type="character" w:customStyle="1" w:styleId="473">
    <w:name w:val="inline-help"/>
    <w:basedOn w:val="46"/>
    <w:qFormat/>
    <w:uiPriority w:val="0"/>
  </w:style>
  <w:style w:type="character" w:customStyle="1" w:styleId="474">
    <w:name w:val="active"/>
    <w:basedOn w:val="46"/>
    <w:qFormat/>
    <w:uiPriority w:val="0"/>
    <w:rPr>
      <w:color w:val="FFFFFF"/>
    </w:rPr>
  </w:style>
  <w:style w:type="character" w:customStyle="1" w:styleId="475">
    <w:name w:val="Unresolved Mention"/>
    <w:basedOn w:val="4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7F702-6EB3-4562-AAAA-35C08042619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43615</Words>
  <Characters>46463</Characters>
  <Lines>353</Lines>
  <Paragraphs>99</Paragraphs>
  <TotalTime>33</TotalTime>
  <ScaleCrop>false</ScaleCrop>
  <LinksUpToDate>false</LinksUpToDate>
  <CharactersWithSpaces>47826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2021-09-13T11:27:00Z</dcterms:created>
  <dc:creator>thsware</dc:creator>
  <cp:lastModifiedBy>小陈</cp:lastModifiedBy>
  <cp:lastPrinted>2021-05-16T11:04:00Z</cp:lastPrinted>
  <dcterms:modified xsi:type="dcterms:W3CDTF">2024-08-23T11:45:28Z</dcterms:modified>
  <dc:title>招  标　文　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162D267C028348BD8323AE91D6B5B8FE_12</vt:lpwstr>
  </property>
</Properties>
</file>