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A8F7">
      <w:pPr>
        <w:widowControl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  <w:t>附件1：招标目录</w:t>
      </w:r>
    </w:p>
    <w:tbl>
      <w:tblPr>
        <w:tblStyle w:val="2"/>
        <w:tblpPr w:leftFromText="180" w:rightFromText="180" w:vertAnchor="text" w:horzAnchor="page" w:tblpX="767" w:tblpY="304"/>
        <w:tblOverlap w:val="never"/>
        <w:tblW w:w="10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1913"/>
        <w:gridCol w:w="645"/>
        <w:gridCol w:w="705"/>
        <w:gridCol w:w="1275"/>
        <w:gridCol w:w="975"/>
        <w:gridCol w:w="789"/>
      </w:tblGrid>
      <w:tr w14:paraId="5886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0CABF5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A07B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77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B5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C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0034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 w14:paraId="39799EB6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 w14:paraId="0C48F22F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901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 w14:paraId="3E73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FF1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0141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E1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B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E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2F0B">
            <w:pP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E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设备名称</w:t>
            </w:r>
          </w:p>
          <w:p w14:paraId="639324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（适用范围）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4E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5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设备型号</w:t>
            </w:r>
          </w:p>
        </w:tc>
      </w:tr>
      <w:tr w14:paraId="2B07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8A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23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28D3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角膜保存液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2B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A94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17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DE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D3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C9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725C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2F9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B包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578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41A9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医用条码打印腕带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8B9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成人、儿童、新生儿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4D3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B8A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1.1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D028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适配现有打印机或免费配送全科室需要打印机数量，</w:t>
            </w: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打印保留时间超过60天，不同型号有颜色区分，需配红色腕带扣，区分过敏史病人</w:t>
            </w:r>
          </w:p>
        </w:tc>
      </w:tr>
      <w:tr w14:paraId="010B4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428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D包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B1A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5721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双目间接眼底镜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923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FF3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B2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F9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33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8A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18E3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28F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F2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9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D087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激光镜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F29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29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2B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8100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1D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7D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39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2861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23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65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181E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三面镜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8B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CE2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2A1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4500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DEA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61F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64B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7B345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77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0B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8D6A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医用放大镜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CF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B03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9F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5100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84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E4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80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015C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4A5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2C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18"/>
                <w:szCs w:val="18"/>
                <w:lang w:bidi="ar"/>
              </w:rPr>
              <w:t>12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2BF0"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bidi="ar"/>
              </w:rPr>
              <w:t>玻切镜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13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FAF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54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37500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35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515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21E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bidi="ar"/>
              </w:rPr>
            </w:pPr>
          </w:p>
        </w:tc>
      </w:tr>
      <w:tr w14:paraId="51F7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7C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E包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762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F5E8">
            <w:pPr>
              <w:widowControl/>
              <w:textAlignment w:val="center"/>
              <w:rPr>
                <w:rFonts w:hint="eastAsia" w:ascii="黑体" w:hAnsi="黑体" w:eastAsia="黑体" w:cs="黑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非接触眼底镜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7C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15A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FCB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3780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29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3A7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E43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  <w:tr w14:paraId="6DD6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72B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B8C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2C25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非接触裂隙灯前置镜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6C3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78E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DF1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4050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3B2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CB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0C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417F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B47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0CD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553A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接触式激光眼底诊断镜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B9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EFC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AA5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8550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19C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4FF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CB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2584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9F3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4F4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5732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房角镜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0D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8BC6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07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18000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20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14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7E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77E0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0C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1C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EF1E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玻切手术观察镜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11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各规格型号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464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024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8800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22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37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38A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 w14:paraId="1EB9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0B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F包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64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2D8B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飞秒激光工作站套件耗材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CA0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10F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756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2A3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飞秒激光工作站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F11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博士伦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19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  <w:t>VICTUS</w:t>
            </w:r>
          </w:p>
        </w:tc>
      </w:tr>
    </w:tbl>
    <w:p w14:paraId="63D04734"/>
    <w:p w14:paraId="2D081E7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2F71BF"/>
    <w:rsid w:val="00012AC7"/>
    <w:rsid w:val="0008025E"/>
    <w:rsid w:val="000C41A5"/>
    <w:rsid w:val="00185704"/>
    <w:rsid w:val="001B5B4C"/>
    <w:rsid w:val="00214ED6"/>
    <w:rsid w:val="002F71BF"/>
    <w:rsid w:val="008244F6"/>
    <w:rsid w:val="0089592A"/>
    <w:rsid w:val="009102BF"/>
    <w:rsid w:val="01341E9A"/>
    <w:rsid w:val="1634513D"/>
    <w:rsid w:val="1DD9233A"/>
    <w:rsid w:val="25AE0F34"/>
    <w:rsid w:val="310672EF"/>
    <w:rsid w:val="33DC3DA8"/>
    <w:rsid w:val="353A1227"/>
    <w:rsid w:val="37A146C1"/>
    <w:rsid w:val="39DE118D"/>
    <w:rsid w:val="3D0F526C"/>
    <w:rsid w:val="7CA25E58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rPr>
      <w:rFonts w:ascii="Calibri" w:hAnsi="Calibri" w:eastAsia="宋体" w:cs="Times New Roman"/>
      <w:szCs w:val="21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548</Characters>
  <Lines>6</Lines>
  <Paragraphs>1</Paragraphs>
  <TotalTime>3</TotalTime>
  <ScaleCrop>false</ScaleCrop>
  <LinksUpToDate>false</LinksUpToDate>
  <CharactersWithSpaces>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2024-09-02T06:44:52Z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9AA910A54E554459A32F31529AB4B7BC_12</vt:lpwstr>
  </property>
</Properties>
</file>